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0EFD40E4"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fr-CA" w:eastAsia="fr-CA"/>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04D3B02C" w:rsidR="00C9161D" w:rsidRPr="008E600F" w:rsidRDefault="00CF3966" w:rsidP="001C6487">
            <w:pPr>
              <w:suppressLineNumbers/>
              <w:suppressAutoHyphens/>
              <w:kinsoku w:val="0"/>
              <w:overflowPunct w:val="0"/>
              <w:autoSpaceDE w:val="0"/>
              <w:autoSpaceDN w:val="0"/>
              <w:adjustRightInd w:val="0"/>
              <w:snapToGrid w:val="0"/>
              <w:rPr>
                <w:kern w:val="22"/>
              </w:rPr>
            </w:pPr>
            <w:r>
              <w:rPr>
                <w:noProof/>
                <w:lang w:val="fr-CA" w:eastAsia="fr-CA"/>
              </w:rPr>
              <w:drawing>
                <wp:inline distT="0" distB="0" distL="0" distR="0" wp14:anchorId="45DD0306" wp14:editId="4E53EDB9">
                  <wp:extent cx="592455" cy="3435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 cy="34353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CF3966" w14:paraId="5D588668" w14:textId="77777777" w:rsidTr="00CF1848">
        <w:tc>
          <w:tcPr>
            <w:tcW w:w="6117" w:type="dxa"/>
            <w:gridSpan w:val="2"/>
            <w:tcBorders>
              <w:top w:val="single" w:sz="12" w:space="0" w:color="auto"/>
              <w:bottom w:val="single" w:sz="36" w:space="0" w:color="auto"/>
            </w:tcBorders>
            <w:vAlign w:val="center"/>
          </w:tcPr>
          <w:p w14:paraId="539A6BB2" w14:textId="1863F7FD" w:rsidR="00C9161D" w:rsidRPr="00CF3966" w:rsidRDefault="00CF3966" w:rsidP="001C6487">
            <w:pPr>
              <w:suppressLineNumbers/>
              <w:suppressAutoHyphens/>
              <w:kinsoku w:val="0"/>
              <w:overflowPunct w:val="0"/>
              <w:autoSpaceDE w:val="0"/>
              <w:autoSpaceDN w:val="0"/>
              <w:adjustRightInd w:val="0"/>
              <w:snapToGrid w:val="0"/>
              <w:rPr>
                <w:kern w:val="22"/>
                <w:lang w:val="fr-CA"/>
              </w:rPr>
            </w:pPr>
            <w:r w:rsidRPr="00CF3966">
              <w:rPr>
                <w:noProof/>
                <w:szCs w:val="22"/>
                <w:lang w:val="fr-CA" w:eastAsia="fr-CA"/>
              </w:rPr>
              <w:drawing>
                <wp:inline distT="0" distB="0" distL="0" distR="0" wp14:anchorId="25B4D169" wp14:editId="7971A8C1">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CF3966" w:rsidRDefault="00C9161D" w:rsidP="001C6487">
            <w:pPr>
              <w:suppressLineNumbers/>
              <w:suppressAutoHyphens/>
              <w:kinsoku w:val="0"/>
              <w:overflowPunct w:val="0"/>
              <w:autoSpaceDE w:val="0"/>
              <w:autoSpaceDN w:val="0"/>
              <w:adjustRightInd w:val="0"/>
              <w:snapToGrid w:val="0"/>
              <w:ind w:left="1215"/>
              <w:rPr>
                <w:kern w:val="22"/>
                <w:szCs w:val="22"/>
                <w:lang w:val="fr-CA"/>
              </w:rPr>
            </w:pPr>
            <w:proofErr w:type="spellStart"/>
            <w:r w:rsidRPr="00CF3966">
              <w:rPr>
                <w:kern w:val="22"/>
                <w:szCs w:val="22"/>
                <w:lang w:val="fr-CA"/>
              </w:rPr>
              <w:t>Distr</w:t>
            </w:r>
            <w:proofErr w:type="spellEnd"/>
            <w:r w:rsidRPr="00CF3966">
              <w:rPr>
                <w:kern w:val="22"/>
                <w:szCs w:val="22"/>
                <w:lang w:val="fr-CA"/>
              </w:rPr>
              <w:t>.</w:t>
            </w:r>
          </w:p>
          <w:p w14:paraId="4F49A6CC" w14:textId="7D030C4C" w:rsidR="00C9161D" w:rsidRPr="00CF3966" w:rsidRDefault="002A6EBE" w:rsidP="001C6487">
            <w:pPr>
              <w:suppressLineNumbers/>
              <w:suppressAutoHyphens/>
              <w:kinsoku w:val="0"/>
              <w:overflowPunct w:val="0"/>
              <w:autoSpaceDE w:val="0"/>
              <w:autoSpaceDN w:val="0"/>
              <w:adjustRightInd w:val="0"/>
              <w:snapToGrid w:val="0"/>
              <w:ind w:left="1215"/>
              <w:rPr>
                <w:kern w:val="22"/>
                <w:szCs w:val="22"/>
                <w:lang w:val="fr-CA"/>
              </w:rPr>
            </w:pPr>
            <w:sdt>
              <w:sdtPr>
                <w:rPr>
                  <w:caps/>
                  <w:kern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3966" w:rsidRPr="00CF3966">
                  <w:rPr>
                    <w:caps/>
                    <w:kern w:val="22"/>
                    <w:szCs w:val="22"/>
                    <w:lang w:val="fr-CA"/>
                  </w:rPr>
                  <w:t>GÉNÉRALE</w:t>
                </w:r>
              </w:sdtContent>
            </w:sdt>
          </w:p>
          <w:p w14:paraId="5790AD0F" w14:textId="77777777" w:rsidR="00C9161D" w:rsidRPr="00CF3966" w:rsidRDefault="00C9161D" w:rsidP="001C6487">
            <w:pPr>
              <w:suppressLineNumbers/>
              <w:suppressAutoHyphens/>
              <w:kinsoku w:val="0"/>
              <w:overflowPunct w:val="0"/>
              <w:autoSpaceDE w:val="0"/>
              <w:autoSpaceDN w:val="0"/>
              <w:adjustRightInd w:val="0"/>
              <w:snapToGrid w:val="0"/>
              <w:ind w:left="1215"/>
              <w:rPr>
                <w:kern w:val="22"/>
                <w:szCs w:val="22"/>
                <w:lang w:val="fr-CA"/>
              </w:rPr>
            </w:pPr>
          </w:p>
          <w:p w14:paraId="644C0731" w14:textId="77777777" w:rsidR="00C9161D" w:rsidRPr="00CF3966" w:rsidRDefault="002A6EBE" w:rsidP="001C6487">
            <w:pPr>
              <w:suppressLineNumbers/>
              <w:suppressAutoHyphens/>
              <w:kinsoku w:val="0"/>
              <w:overflowPunct w:val="0"/>
              <w:autoSpaceDE w:val="0"/>
              <w:autoSpaceDN w:val="0"/>
              <w:adjustRightInd w:val="0"/>
              <w:snapToGrid w:val="0"/>
              <w:ind w:left="1215"/>
              <w:rPr>
                <w:kern w:val="22"/>
                <w:szCs w:val="22"/>
                <w:lang w:val="fr-CA"/>
              </w:rPr>
            </w:pPr>
            <w:sdt>
              <w:sdtPr>
                <w:rPr>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CF3966">
                  <w:rPr>
                    <w:kern w:val="22"/>
                    <w:lang w:val="fr-CA"/>
                  </w:rPr>
                  <w:t>CBD/</w:t>
                </w:r>
                <w:proofErr w:type="spellStart"/>
                <w:r w:rsidR="00084813" w:rsidRPr="00CF3966">
                  <w:rPr>
                    <w:kern w:val="22"/>
                    <w:lang w:val="fr-CA"/>
                  </w:rPr>
                  <w:t>SBI</w:t>
                </w:r>
                <w:proofErr w:type="spellEnd"/>
                <w:r w:rsidR="00084813" w:rsidRPr="00CF3966">
                  <w:rPr>
                    <w:kern w:val="22"/>
                    <w:lang w:val="fr-CA"/>
                  </w:rPr>
                  <w:t>/</w:t>
                </w:r>
                <w:r w:rsidR="00EF7A74" w:rsidRPr="00CF3966">
                  <w:rPr>
                    <w:kern w:val="22"/>
                    <w:lang w:val="fr-CA"/>
                  </w:rPr>
                  <w:t>3</w:t>
                </w:r>
                <w:r w:rsidR="00084813" w:rsidRPr="00CF3966">
                  <w:rPr>
                    <w:kern w:val="22"/>
                    <w:lang w:val="fr-CA"/>
                  </w:rPr>
                  <w:t>/</w:t>
                </w:r>
                <w:r w:rsidR="00EF7A74" w:rsidRPr="00CF3966">
                  <w:rPr>
                    <w:kern w:val="22"/>
                    <w:lang w:val="fr-CA"/>
                  </w:rPr>
                  <w:t>5</w:t>
                </w:r>
              </w:sdtContent>
            </w:sdt>
          </w:p>
          <w:p w14:paraId="58F73715" w14:textId="7BB4C101" w:rsidR="005E046F" w:rsidRPr="00CF3966" w:rsidRDefault="005E046F" w:rsidP="001C6487">
            <w:pPr>
              <w:suppressLineNumbers/>
              <w:suppressAutoHyphens/>
              <w:kinsoku w:val="0"/>
              <w:overflowPunct w:val="0"/>
              <w:autoSpaceDE w:val="0"/>
              <w:autoSpaceDN w:val="0"/>
              <w:adjustRightInd w:val="0"/>
              <w:snapToGrid w:val="0"/>
              <w:ind w:left="1215"/>
              <w:rPr>
                <w:kern w:val="22"/>
                <w:szCs w:val="22"/>
                <w:lang w:val="fr-CA"/>
              </w:rPr>
            </w:pPr>
            <w:r w:rsidRPr="00CF3966">
              <w:rPr>
                <w:kern w:val="22"/>
                <w:szCs w:val="22"/>
                <w:lang w:val="fr-CA"/>
              </w:rPr>
              <w:t xml:space="preserve">18 </w:t>
            </w:r>
            <w:r w:rsidR="00CF3966" w:rsidRPr="00CF3966">
              <w:rPr>
                <w:kern w:val="22"/>
                <w:szCs w:val="22"/>
                <w:lang w:val="fr-CA"/>
              </w:rPr>
              <w:t>juin</w:t>
            </w:r>
            <w:r w:rsidRPr="00CF3966">
              <w:rPr>
                <w:kern w:val="22"/>
                <w:szCs w:val="22"/>
                <w:lang w:val="fr-CA"/>
              </w:rPr>
              <w:t xml:space="preserve"> 2020</w:t>
            </w:r>
          </w:p>
          <w:p w14:paraId="367D9F44" w14:textId="77777777" w:rsidR="005E046F" w:rsidRPr="00CF3966" w:rsidRDefault="005E046F" w:rsidP="001C6487">
            <w:pPr>
              <w:suppressLineNumbers/>
              <w:suppressAutoHyphens/>
              <w:kinsoku w:val="0"/>
              <w:overflowPunct w:val="0"/>
              <w:autoSpaceDE w:val="0"/>
              <w:autoSpaceDN w:val="0"/>
              <w:adjustRightInd w:val="0"/>
              <w:snapToGrid w:val="0"/>
              <w:ind w:left="1215"/>
              <w:rPr>
                <w:kern w:val="22"/>
                <w:szCs w:val="22"/>
                <w:lang w:val="fr-CA"/>
              </w:rPr>
            </w:pPr>
          </w:p>
          <w:p w14:paraId="76CD4E36" w14:textId="67A3D789" w:rsidR="00CF3966" w:rsidRPr="00CF3966" w:rsidRDefault="00CF3966" w:rsidP="001C6487">
            <w:pPr>
              <w:suppressLineNumbers/>
              <w:suppressAutoHyphens/>
              <w:kinsoku w:val="0"/>
              <w:overflowPunct w:val="0"/>
              <w:autoSpaceDE w:val="0"/>
              <w:autoSpaceDN w:val="0"/>
              <w:adjustRightInd w:val="0"/>
              <w:snapToGrid w:val="0"/>
              <w:ind w:left="1215"/>
              <w:rPr>
                <w:kern w:val="22"/>
                <w:szCs w:val="22"/>
                <w:lang w:val="fr-CA"/>
              </w:rPr>
            </w:pPr>
            <w:r w:rsidRPr="00CF3966">
              <w:rPr>
                <w:kern w:val="22"/>
                <w:szCs w:val="22"/>
                <w:lang w:val="fr-CA"/>
              </w:rPr>
              <w:t>FRANÇAIS</w:t>
            </w:r>
          </w:p>
          <w:p w14:paraId="641C2F9E" w14:textId="3D7D0432" w:rsidR="00C9161D" w:rsidRPr="00CF3966" w:rsidRDefault="006B2290" w:rsidP="001C6487">
            <w:pPr>
              <w:suppressLineNumbers/>
              <w:suppressAutoHyphens/>
              <w:kinsoku w:val="0"/>
              <w:overflowPunct w:val="0"/>
              <w:autoSpaceDE w:val="0"/>
              <w:autoSpaceDN w:val="0"/>
              <w:adjustRightInd w:val="0"/>
              <w:snapToGrid w:val="0"/>
              <w:ind w:left="1215"/>
              <w:rPr>
                <w:kern w:val="22"/>
                <w:szCs w:val="22"/>
                <w:lang w:val="fr-CA"/>
              </w:rPr>
            </w:pPr>
            <w:r w:rsidRPr="00CF3966">
              <w:rPr>
                <w:kern w:val="22"/>
                <w:szCs w:val="22"/>
                <w:lang w:val="fr-CA"/>
              </w:rPr>
              <w:t>ORIGINAL</w:t>
            </w:r>
            <w:r w:rsidR="00CF3966" w:rsidRPr="00CF3966">
              <w:rPr>
                <w:kern w:val="22"/>
                <w:szCs w:val="22"/>
                <w:lang w:val="fr-CA"/>
              </w:rPr>
              <w:t xml:space="preserve"> </w:t>
            </w:r>
            <w:r w:rsidRPr="00CF3966">
              <w:rPr>
                <w:kern w:val="22"/>
                <w:szCs w:val="22"/>
                <w:lang w:val="fr-CA"/>
              </w:rPr>
              <w:t xml:space="preserve">: </w:t>
            </w:r>
            <w:r w:rsidR="00CF3966" w:rsidRPr="00CF3966">
              <w:rPr>
                <w:kern w:val="22"/>
                <w:szCs w:val="22"/>
                <w:lang w:val="fr-CA"/>
              </w:rPr>
              <w:t>ANGLAIS</w:t>
            </w:r>
          </w:p>
          <w:p w14:paraId="285B9B10" w14:textId="77777777" w:rsidR="00C9161D" w:rsidRPr="00CF3966" w:rsidRDefault="00C9161D" w:rsidP="001C6487">
            <w:pPr>
              <w:suppressLineNumbers/>
              <w:suppressAutoHyphens/>
              <w:kinsoku w:val="0"/>
              <w:overflowPunct w:val="0"/>
              <w:autoSpaceDE w:val="0"/>
              <w:autoSpaceDN w:val="0"/>
              <w:adjustRightInd w:val="0"/>
              <w:snapToGrid w:val="0"/>
              <w:rPr>
                <w:kern w:val="22"/>
                <w:lang w:val="fr-CA"/>
              </w:rPr>
            </w:pPr>
          </w:p>
        </w:tc>
      </w:tr>
    </w:tbl>
    <w:p w14:paraId="3DB455E9" w14:textId="77BB23E2" w:rsidR="00CF3966" w:rsidRPr="00CF3966" w:rsidRDefault="00CF3966" w:rsidP="00304215">
      <w:pPr>
        <w:pStyle w:val="Cornernotation"/>
        <w:suppressLineNumbers/>
        <w:suppressAutoHyphens/>
        <w:kinsoku w:val="0"/>
        <w:overflowPunct w:val="0"/>
        <w:autoSpaceDE w:val="0"/>
        <w:autoSpaceDN w:val="0"/>
        <w:adjustRightInd w:val="0"/>
        <w:snapToGrid w:val="0"/>
        <w:ind w:left="340"/>
        <w:rPr>
          <w:kern w:val="22"/>
          <w:szCs w:val="22"/>
          <w:lang w:val="fr-CA"/>
        </w:rPr>
      </w:pPr>
      <w:r w:rsidRPr="00CF3966">
        <w:rPr>
          <w:kern w:val="22"/>
          <w:szCs w:val="22"/>
          <w:lang w:val="fr-CA"/>
        </w:rPr>
        <w:t>ORGANE SUBSIDIAIRE CHARGÉ</w:t>
      </w:r>
    </w:p>
    <w:p w14:paraId="28293C91" w14:textId="42F71859" w:rsidR="00084813" w:rsidRPr="00CF3966" w:rsidRDefault="00CF3966" w:rsidP="00304215">
      <w:pPr>
        <w:pStyle w:val="Cornernotation"/>
        <w:suppressLineNumbers/>
        <w:suppressAutoHyphens/>
        <w:kinsoku w:val="0"/>
        <w:overflowPunct w:val="0"/>
        <w:autoSpaceDE w:val="0"/>
        <w:autoSpaceDN w:val="0"/>
        <w:adjustRightInd w:val="0"/>
        <w:snapToGrid w:val="0"/>
        <w:ind w:left="340"/>
        <w:rPr>
          <w:kern w:val="22"/>
          <w:szCs w:val="22"/>
          <w:lang w:val="fr-CA"/>
        </w:rPr>
      </w:pPr>
      <w:r w:rsidRPr="00CF3966">
        <w:rPr>
          <w:kern w:val="22"/>
          <w:szCs w:val="22"/>
          <w:lang w:val="fr-CA"/>
        </w:rPr>
        <w:t>DE L’APPLICATION</w:t>
      </w:r>
    </w:p>
    <w:p w14:paraId="51055905" w14:textId="542BECE2" w:rsidR="00084813" w:rsidRPr="00CF3966" w:rsidRDefault="00CF3966" w:rsidP="001C6487">
      <w:pPr>
        <w:suppressLineNumbers/>
        <w:tabs>
          <w:tab w:val="left" w:pos="5954"/>
        </w:tabs>
        <w:suppressAutoHyphens/>
        <w:kinsoku w:val="0"/>
        <w:overflowPunct w:val="0"/>
        <w:autoSpaceDE w:val="0"/>
        <w:autoSpaceDN w:val="0"/>
        <w:adjustRightInd w:val="0"/>
        <w:snapToGrid w:val="0"/>
        <w:ind w:left="170" w:right="3406"/>
        <w:jc w:val="left"/>
        <w:rPr>
          <w:kern w:val="22"/>
          <w:szCs w:val="22"/>
          <w:lang w:val="fr-CA"/>
        </w:rPr>
      </w:pPr>
      <w:r w:rsidRPr="00CF3966">
        <w:rPr>
          <w:kern w:val="22"/>
          <w:szCs w:val="22"/>
          <w:lang w:val="fr-CA"/>
        </w:rPr>
        <w:t>Troisième réunion</w:t>
      </w:r>
    </w:p>
    <w:p w14:paraId="5535068E" w14:textId="4C8394D0" w:rsidR="00084813" w:rsidRPr="00CF3966" w:rsidRDefault="00CF3966" w:rsidP="001C6487">
      <w:pPr>
        <w:suppressLineNumbers/>
        <w:suppressAutoHyphens/>
        <w:kinsoku w:val="0"/>
        <w:overflowPunct w:val="0"/>
        <w:autoSpaceDE w:val="0"/>
        <w:autoSpaceDN w:val="0"/>
        <w:adjustRightInd w:val="0"/>
        <w:snapToGrid w:val="0"/>
        <w:ind w:left="170" w:right="3124"/>
        <w:jc w:val="left"/>
        <w:rPr>
          <w:kern w:val="22"/>
          <w:szCs w:val="22"/>
          <w:lang w:val="fr-CA"/>
        </w:rPr>
      </w:pPr>
      <w:r w:rsidRPr="00CF3966">
        <w:rPr>
          <w:kern w:val="22"/>
          <w:szCs w:val="22"/>
          <w:lang w:val="fr-CA"/>
        </w:rPr>
        <w:t>Québec</w:t>
      </w:r>
      <w:r w:rsidR="00822F21" w:rsidRPr="00CF3966">
        <w:rPr>
          <w:kern w:val="22"/>
          <w:szCs w:val="22"/>
          <w:lang w:val="fr-CA"/>
        </w:rPr>
        <w:t xml:space="preserve"> (</w:t>
      </w:r>
      <w:r w:rsidRPr="00CF3966">
        <w:rPr>
          <w:kern w:val="22"/>
          <w:szCs w:val="22"/>
          <w:lang w:val="fr-CA"/>
        </w:rPr>
        <w:t>à confirmer</w:t>
      </w:r>
      <w:r w:rsidR="00822F21" w:rsidRPr="00CF3966">
        <w:rPr>
          <w:kern w:val="22"/>
          <w:szCs w:val="22"/>
          <w:lang w:val="fr-CA"/>
        </w:rPr>
        <w:t>)</w:t>
      </w:r>
      <w:r w:rsidR="00084813" w:rsidRPr="00CF3966">
        <w:rPr>
          <w:kern w:val="22"/>
          <w:szCs w:val="22"/>
          <w:lang w:val="fr-CA"/>
        </w:rPr>
        <w:t xml:space="preserve">, Canada, </w:t>
      </w:r>
      <w:r w:rsidR="00A857B9" w:rsidRPr="00CF3966">
        <w:rPr>
          <w:kern w:val="22"/>
          <w:szCs w:val="22"/>
          <w:lang w:val="fr-CA"/>
        </w:rPr>
        <w:t>9</w:t>
      </w:r>
      <w:r w:rsidR="00084813" w:rsidRPr="00CF3966">
        <w:rPr>
          <w:kern w:val="22"/>
          <w:szCs w:val="22"/>
          <w:lang w:val="fr-CA"/>
        </w:rPr>
        <w:t>-</w:t>
      </w:r>
      <w:r w:rsidR="00A857B9" w:rsidRPr="00CF3966">
        <w:rPr>
          <w:kern w:val="22"/>
          <w:szCs w:val="22"/>
          <w:lang w:val="fr-CA"/>
        </w:rPr>
        <w:t xml:space="preserve">14 </w:t>
      </w:r>
      <w:r w:rsidRPr="00CF3966">
        <w:rPr>
          <w:kern w:val="22"/>
          <w:szCs w:val="22"/>
          <w:lang w:val="fr-CA"/>
        </w:rPr>
        <w:t>novembre</w:t>
      </w:r>
      <w:r w:rsidR="00A857B9" w:rsidRPr="00CF3966">
        <w:rPr>
          <w:kern w:val="22"/>
          <w:szCs w:val="22"/>
          <w:lang w:val="fr-CA"/>
        </w:rPr>
        <w:t xml:space="preserve"> </w:t>
      </w:r>
      <w:r w:rsidR="00084813" w:rsidRPr="00CF3966">
        <w:rPr>
          <w:kern w:val="22"/>
          <w:szCs w:val="22"/>
          <w:lang w:val="fr-CA"/>
        </w:rPr>
        <w:t>20</w:t>
      </w:r>
      <w:r w:rsidR="00EF7A74" w:rsidRPr="00CF3966">
        <w:rPr>
          <w:kern w:val="22"/>
          <w:szCs w:val="22"/>
          <w:lang w:val="fr-CA"/>
        </w:rPr>
        <w:t>20</w:t>
      </w:r>
    </w:p>
    <w:p w14:paraId="6E496B72" w14:textId="37F63723" w:rsidR="00084813" w:rsidRPr="00CF3966" w:rsidRDefault="00CF3966" w:rsidP="001C6487">
      <w:pPr>
        <w:suppressLineNumbers/>
        <w:suppressAutoHyphens/>
        <w:kinsoku w:val="0"/>
        <w:overflowPunct w:val="0"/>
        <w:autoSpaceDE w:val="0"/>
        <w:autoSpaceDN w:val="0"/>
        <w:adjustRightInd w:val="0"/>
        <w:snapToGrid w:val="0"/>
        <w:ind w:left="170" w:right="3124"/>
        <w:jc w:val="left"/>
        <w:rPr>
          <w:kern w:val="22"/>
          <w:szCs w:val="22"/>
          <w:lang w:val="fr-CA"/>
        </w:rPr>
      </w:pPr>
      <w:r w:rsidRPr="00CF3966">
        <w:rPr>
          <w:kern w:val="22"/>
          <w:szCs w:val="22"/>
          <w:lang w:val="fr-CA"/>
        </w:rPr>
        <w:t>Point 6 de l’ordre du jour provisoire</w:t>
      </w:r>
      <w:r w:rsidR="00084813" w:rsidRPr="00CF3966">
        <w:rPr>
          <w:rStyle w:val="Appelnotedebasdep"/>
          <w:kern w:val="22"/>
          <w:szCs w:val="22"/>
          <w:vertAlign w:val="baseline"/>
          <w:lang w:val="fr-CA"/>
        </w:rPr>
        <w:footnoteReference w:customMarkFollows="1" w:id="2"/>
        <w:t>*</w:t>
      </w:r>
    </w:p>
    <w:p w14:paraId="11ABE9E8" w14:textId="77777777" w:rsidR="00C9161D" w:rsidRPr="00CF3966" w:rsidRDefault="00C9161D" w:rsidP="001C6487">
      <w:pPr>
        <w:suppressLineNumbers/>
        <w:suppressAutoHyphens/>
        <w:kinsoku w:val="0"/>
        <w:overflowPunct w:val="0"/>
        <w:autoSpaceDE w:val="0"/>
        <w:autoSpaceDN w:val="0"/>
        <w:adjustRightInd w:val="0"/>
        <w:snapToGrid w:val="0"/>
        <w:rPr>
          <w:kern w:val="22"/>
          <w:szCs w:val="22"/>
          <w:lang w:val="fr-CA"/>
        </w:rPr>
      </w:pPr>
    </w:p>
    <w:p w14:paraId="0B391591" w14:textId="277D623F" w:rsidR="00C9161D" w:rsidRPr="00CF3966" w:rsidRDefault="002A6EBE" w:rsidP="001C6487">
      <w:pPr>
        <w:suppressLineNumbers/>
        <w:suppressAutoHyphens/>
        <w:kinsoku w:val="0"/>
        <w:overflowPunct w:val="0"/>
        <w:autoSpaceDE w:val="0"/>
        <w:autoSpaceDN w:val="0"/>
        <w:adjustRightInd w:val="0"/>
        <w:snapToGrid w:val="0"/>
        <w:spacing w:before="120" w:after="120"/>
        <w:jc w:val="center"/>
        <w:rPr>
          <w:b/>
          <w:bCs/>
          <w:caps/>
          <w:kern w:val="22"/>
          <w:szCs w:val="22"/>
          <w:lang w:val="fr-CA"/>
        </w:rPr>
      </w:pPr>
      <w:sdt>
        <w:sdtPr>
          <w:rPr>
            <w:b/>
            <w:bCs/>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F3966" w:rsidRPr="00CF3966">
            <w:rPr>
              <w:b/>
              <w:bCs/>
              <w:caps/>
              <w:kern w:val="22"/>
              <w:szCs w:val="22"/>
              <w:lang w:val="fr-CA"/>
            </w:rPr>
            <w:t>MOBILISATION DES RESSOURCES</w:t>
          </w:r>
        </w:sdtContent>
      </w:sdt>
    </w:p>
    <w:p w14:paraId="27FD1C91" w14:textId="1C6DD9DD" w:rsidR="00084813" w:rsidRPr="00CF3966" w:rsidRDefault="000A1DF1" w:rsidP="001C6487">
      <w:pPr>
        <w:pStyle w:val="Titre2"/>
        <w:keepNext w:val="0"/>
        <w:suppressLineNumbers/>
        <w:suppressAutoHyphens/>
        <w:kinsoku w:val="0"/>
        <w:overflowPunct w:val="0"/>
        <w:autoSpaceDE w:val="0"/>
        <w:autoSpaceDN w:val="0"/>
        <w:adjustRightInd w:val="0"/>
        <w:snapToGrid w:val="0"/>
        <w:rPr>
          <w:b w:val="0"/>
          <w:bCs w:val="0"/>
          <w:i/>
          <w:iCs w:val="0"/>
          <w:kern w:val="22"/>
          <w:szCs w:val="22"/>
          <w:lang w:val="fr-CA"/>
        </w:rPr>
      </w:pPr>
      <w:r>
        <w:rPr>
          <w:b w:val="0"/>
          <w:bCs w:val="0"/>
          <w:i/>
          <w:iCs w:val="0"/>
          <w:kern w:val="22"/>
          <w:szCs w:val="22"/>
          <w:lang w:val="fr-CA"/>
        </w:rPr>
        <w:t>Note de la Secrétaire exécutive</w:t>
      </w:r>
    </w:p>
    <w:p w14:paraId="343DA5B1" w14:textId="00810BFC" w:rsidR="00084813" w:rsidRPr="00CF3966" w:rsidRDefault="00004C1F" w:rsidP="00304215">
      <w:pPr>
        <w:pStyle w:val="Titre1"/>
        <w:suppressLineNumbers/>
        <w:tabs>
          <w:tab w:val="clear" w:pos="720"/>
        </w:tabs>
        <w:suppressAutoHyphens/>
        <w:kinsoku w:val="0"/>
        <w:overflowPunct w:val="0"/>
        <w:autoSpaceDE w:val="0"/>
        <w:autoSpaceDN w:val="0"/>
        <w:adjustRightInd w:val="0"/>
        <w:snapToGrid w:val="0"/>
        <w:spacing w:before="120" w:line="238" w:lineRule="auto"/>
        <w:rPr>
          <w:kern w:val="22"/>
          <w:szCs w:val="22"/>
          <w:lang w:val="fr-CA"/>
        </w:rPr>
      </w:pPr>
      <w:r w:rsidRPr="00CF3966">
        <w:rPr>
          <w:kern w:val="22"/>
          <w:szCs w:val="22"/>
          <w:lang w:val="fr-CA"/>
        </w:rPr>
        <w:t>I.</w:t>
      </w:r>
      <w:r w:rsidRPr="00CF3966">
        <w:rPr>
          <w:kern w:val="22"/>
          <w:szCs w:val="22"/>
          <w:lang w:val="fr-CA"/>
        </w:rPr>
        <w:tab/>
      </w:r>
      <w:r w:rsidR="00084813" w:rsidRPr="00CF3966">
        <w:rPr>
          <w:kern w:val="22"/>
          <w:szCs w:val="22"/>
          <w:lang w:val="fr-CA"/>
        </w:rPr>
        <w:t>Introduction</w:t>
      </w:r>
    </w:p>
    <w:p w14:paraId="224CF1EB" w14:textId="1AD3524E" w:rsidR="00D73D31" w:rsidRPr="00720E01" w:rsidRDefault="000A1DF1" w:rsidP="00446163">
      <w:pPr>
        <w:pStyle w:val="Para1"/>
        <w:tabs>
          <w:tab w:val="clear" w:pos="360"/>
          <w:tab w:val="num" w:pos="709"/>
        </w:tabs>
        <w:snapToGrid w:val="0"/>
        <w:rPr>
          <w:kern w:val="22"/>
          <w:szCs w:val="22"/>
          <w:lang w:val="fr-CA"/>
        </w:rPr>
      </w:pPr>
      <w:r w:rsidRPr="00720E01">
        <w:rPr>
          <w:kern w:val="22"/>
          <w:szCs w:val="22"/>
          <w:lang w:val="fr-CA"/>
        </w:rPr>
        <w:t>Dans sa décision</w:t>
      </w:r>
      <w:r w:rsidR="00EF7A74" w:rsidRPr="00720E01">
        <w:rPr>
          <w:kern w:val="22"/>
          <w:szCs w:val="22"/>
          <w:lang w:val="fr-CA"/>
        </w:rPr>
        <w:t xml:space="preserve"> </w:t>
      </w:r>
      <w:hyperlink r:id="rId15" w:history="1">
        <w:r w:rsidR="00EF7A74" w:rsidRPr="00720E01">
          <w:rPr>
            <w:rStyle w:val="Lienhypertexte"/>
            <w:kern w:val="22"/>
            <w:sz w:val="22"/>
            <w:szCs w:val="22"/>
            <w:lang w:val="fr-CA"/>
          </w:rPr>
          <w:t>14/22</w:t>
        </w:r>
      </w:hyperlink>
      <w:r w:rsidR="00084813" w:rsidRPr="00720E01">
        <w:rPr>
          <w:kern w:val="22"/>
          <w:szCs w:val="22"/>
          <w:lang w:val="fr-CA"/>
        </w:rPr>
        <w:t xml:space="preserve">, </w:t>
      </w:r>
      <w:r w:rsidR="00E7558D" w:rsidRPr="00720E01">
        <w:rPr>
          <w:kern w:val="22"/>
          <w:szCs w:val="22"/>
          <w:lang w:val="fr-CA"/>
        </w:rPr>
        <w:t>sur la mobilisation des ressources, la Conférence des Parties, à sa quatorzième réunion, a</w:t>
      </w:r>
      <w:r w:rsidR="00E7558D" w:rsidRPr="00720E01">
        <w:rPr>
          <w:lang w:val="fr-CA"/>
        </w:rPr>
        <w:t xml:space="preserve"> affirmé que la mobilisation des ressources </w:t>
      </w:r>
      <w:r w:rsidR="00E7558D" w:rsidRPr="00720E01">
        <w:rPr>
          <w:kern w:val="22"/>
          <w:szCs w:val="22"/>
          <w:lang w:val="fr-CA"/>
        </w:rPr>
        <w:t>ferait partie intégrante du cadre de la biodiversité pour l’après</w:t>
      </w:r>
      <w:r w:rsidR="00E7558D" w:rsidRPr="00720E01">
        <w:rPr>
          <w:kern w:val="22"/>
          <w:szCs w:val="22"/>
          <w:lang w:val="fr-CA"/>
        </w:rPr>
        <w:noBreakHyphen/>
        <w:t xml:space="preserve">2020 et a décidé de commencer la préparation de cet élément au tout début du processus d’élaboration de ce cadre, en pleine cohérence et coordination avec le processus global d’élaboration du cadre </w:t>
      </w:r>
      <w:r w:rsidR="00526577">
        <w:rPr>
          <w:kern w:val="22"/>
          <w:szCs w:val="22"/>
          <w:lang w:val="fr-CA"/>
        </w:rPr>
        <w:t>pour l’après-2020</w:t>
      </w:r>
      <w:r w:rsidR="00E7558D" w:rsidRPr="00720E01">
        <w:rPr>
          <w:kern w:val="22"/>
          <w:szCs w:val="22"/>
          <w:lang w:val="fr-CA"/>
        </w:rPr>
        <w:t xml:space="preserve"> </w:t>
      </w:r>
      <w:r w:rsidR="00E7558D" w:rsidRPr="00720E01">
        <w:rPr>
          <w:lang w:val="fr-CA"/>
        </w:rPr>
        <w:t xml:space="preserve">(paragraphes 14). Au paragraphe 15 de cette même décision, la Conférence des Parties a prié </w:t>
      </w:r>
      <w:r w:rsidR="00E7558D" w:rsidRPr="00720E01">
        <w:rPr>
          <w:spacing w:val="-1"/>
          <w:kern w:val="22"/>
          <w:szCs w:val="22"/>
          <w:lang w:val="fr-CA"/>
        </w:rPr>
        <w:t>la Secrétaire exécutive de charger un groupe d’experts d’établir des analyses et des rapports pertinents en appui à la mobilis</w:t>
      </w:r>
      <w:r w:rsidR="00B42BA3" w:rsidRPr="00720E01">
        <w:rPr>
          <w:spacing w:val="-1"/>
          <w:kern w:val="22"/>
          <w:szCs w:val="22"/>
          <w:lang w:val="fr-CA"/>
        </w:rPr>
        <w:t>a</w:t>
      </w:r>
      <w:r w:rsidR="00E7558D" w:rsidRPr="00720E01">
        <w:rPr>
          <w:spacing w:val="-1"/>
          <w:kern w:val="22"/>
          <w:szCs w:val="22"/>
          <w:lang w:val="fr-CA"/>
        </w:rPr>
        <w:t xml:space="preserve">tion des ressources. La partie II, ci-dessous, </w:t>
      </w:r>
      <w:r w:rsidR="00B42BA3" w:rsidRPr="00720E01">
        <w:rPr>
          <w:spacing w:val="-1"/>
          <w:kern w:val="22"/>
          <w:szCs w:val="22"/>
          <w:lang w:val="fr-CA"/>
        </w:rPr>
        <w:t>fournit plus de renseignements sur le mandat du groupe d’experts et les activité</w:t>
      </w:r>
      <w:r w:rsidR="00526577">
        <w:rPr>
          <w:spacing w:val="-1"/>
          <w:kern w:val="22"/>
          <w:szCs w:val="22"/>
          <w:lang w:val="fr-CA"/>
        </w:rPr>
        <w:t>s</w:t>
      </w:r>
      <w:r w:rsidR="00B42BA3" w:rsidRPr="00720E01">
        <w:rPr>
          <w:spacing w:val="-1"/>
          <w:kern w:val="22"/>
          <w:szCs w:val="22"/>
          <w:lang w:val="fr-CA"/>
        </w:rPr>
        <w:t xml:space="preserve"> pertinentes entreprises en application de la décision, en particulier les analyses et les rapports préparés par le groupe d’experts dont est maintenant saisi l’Organe subsidiaire chargé de l’application aux fins d’examen.</w:t>
      </w:r>
    </w:p>
    <w:p w14:paraId="3C0A47ED" w14:textId="3FBB90B9" w:rsidR="00084813" w:rsidRPr="00720E01" w:rsidRDefault="00B42BA3" w:rsidP="007F0F3F">
      <w:pPr>
        <w:pStyle w:val="Para1"/>
        <w:tabs>
          <w:tab w:val="clear" w:pos="360"/>
          <w:tab w:val="num" w:pos="709"/>
        </w:tabs>
        <w:snapToGrid w:val="0"/>
        <w:rPr>
          <w:kern w:val="22"/>
          <w:szCs w:val="22"/>
          <w:lang w:val="fr-CA"/>
        </w:rPr>
      </w:pPr>
      <w:r w:rsidRPr="00720E01">
        <w:rPr>
          <w:kern w:val="22"/>
          <w:szCs w:val="22"/>
          <w:lang w:val="fr-CA"/>
        </w:rPr>
        <w:t xml:space="preserve">Dans cette même décision, </w:t>
      </w:r>
      <w:r w:rsidR="005A3424" w:rsidRPr="00720E01">
        <w:rPr>
          <w:kern w:val="22"/>
          <w:szCs w:val="22"/>
          <w:lang w:val="fr-CA"/>
        </w:rPr>
        <w:t>la Conférence des Parties a aussi décidé d’un ensemble d’autres activités opérationnelles, détaillées ci-dessous, qui seraient entreprises par les Parties, les autres gouvernements, les organisations et initiatives internationales compétentes, et la Secrétaire exécutive. La partie III présente une mise à jour des activités pertinentes entreprises en application de ces éléments d</w:t>
      </w:r>
      <w:r w:rsidR="00526577">
        <w:rPr>
          <w:kern w:val="22"/>
          <w:szCs w:val="22"/>
          <w:lang w:val="fr-CA"/>
        </w:rPr>
        <w:t>e la décision 14 /22. La partie </w:t>
      </w:r>
      <w:r w:rsidR="005A3424" w:rsidRPr="00720E01">
        <w:rPr>
          <w:kern w:val="22"/>
          <w:szCs w:val="22"/>
          <w:lang w:val="fr-CA"/>
        </w:rPr>
        <w:t>IV présente les éléments d’un projet de recommandation à l’Organ</w:t>
      </w:r>
      <w:r w:rsidR="00F276D9">
        <w:rPr>
          <w:kern w:val="22"/>
          <w:szCs w:val="22"/>
          <w:lang w:val="fr-CA"/>
        </w:rPr>
        <w:t>e subsidiaire aux fins d’examen.</w:t>
      </w:r>
      <w:r w:rsidR="005A3424" w:rsidRPr="00720E01">
        <w:rPr>
          <w:kern w:val="22"/>
          <w:szCs w:val="22"/>
          <w:lang w:val="fr-CA"/>
        </w:rPr>
        <w:t xml:space="preserve"> Les rapports du groupe d’experts sont présentés dans des addenda ; les résultats de ses travaux sont</w:t>
      </w:r>
      <w:r w:rsidR="00022279" w:rsidRPr="00720E01">
        <w:rPr>
          <w:kern w:val="22"/>
          <w:szCs w:val="22"/>
          <w:lang w:val="fr-CA"/>
        </w:rPr>
        <w:t xml:space="preserve"> pris en compte dans la partie IV</w:t>
      </w:r>
      <w:r w:rsidR="00573B5B">
        <w:rPr>
          <w:kern w:val="22"/>
          <w:szCs w:val="22"/>
          <w:lang w:val="fr-CA"/>
        </w:rPr>
        <w:t>, ci-dessous</w:t>
      </w:r>
      <w:r w:rsidR="006E1C58" w:rsidRPr="00720E01">
        <w:rPr>
          <w:kern w:val="22"/>
          <w:szCs w:val="22"/>
          <w:lang w:val="fr-CA"/>
        </w:rPr>
        <w:t>.</w:t>
      </w:r>
    </w:p>
    <w:p w14:paraId="59DCF596" w14:textId="29FC3DD2" w:rsidR="00084813" w:rsidRPr="00720E01" w:rsidRDefault="00004C1F" w:rsidP="00304215">
      <w:pPr>
        <w:pStyle w:val="Titre1"/>
        <w:suppressLineNumbers/>
        <w:tabs>
          <w:tab w:val="clear" w:pos="720"/>
        </w:tabs>
        <w:suppressAutoHyphens/>
        <w:kinsoku w:val="0"/>
        <w:overflowPunct w:val="0"/>
        <w:autoSpaceDE w:val="0"/>
        <w:autoSpaceDN w:val="0"/>
        <w:adjustRightInd w:val="0"/>
        <w:snapToGrid w:val="0"/>
        <w:spacing w:line="235" w:lineRule="auto"/>
        <w:ind w:left="1287" w:hanging="720"/>
        <w:jc w:val="left"/>
        <w:rPr>
          <w:kern w:val="22"/>
          <w:szCs w:val="22"/>
          <w:lang w:val="fr-CA"/>
        </w:rPr>
      </w:pPr>
      <w:r w:rsidRPr="00720E01">
        <w:rPr>
          <w:kern w:val="22"/>
          <w:szCs w:val="22"/>
          <w:lang w:val="fr-CA"/>
        </w:rPr>
        <w:t>I</w:t>
      </w:r>
      <w:r w:rsidR="00084813" w:rsidRPr="00720E01">
        <w:rPr>
          <w:kern w:val="22"/>
          <w:szCs w:val="22"/>
          <w:lang w:val="fr-CA"/>
        </w:rPr>
        <w:t>I.</w:t>
      </w:r>
      <w:r w:rsidR="00084813" w:rsidRPr="00720E01">
        <w:rPr>
          <w:kern w:val="22"/>
          <w:szCs w:val="22"/>
          <w:lang w:val="fr-CA"/>
        </w:rPr>
        <w:tab/>
      </w:r>
      <w:r w:rsidR="00022279" w:rsidRPr="00720E01">
        <w:rPr>
          <w:kern w:val="22"/>
          <w:szCs w:val="22"/>
          <w:lang w:val="fr-CA"/>
        </w:rPr>
        <w:t xml:space="preserve">VOLET DE MOBILISATION DES RESSOURCES DU cadre </w:t>
      </w:r>
      <w:r w:rsidR="00BD5719">
        <w:rPr>
          <w:kern w:val="22"/>
          <w:szCs w:val="22"/>
          <w:lang w:val="fr-CA"/>
        </w:rPr>
        <w:t xml:space="preserve">MONDIAL </w:t>
      </w:r>
      <w:r w:rsidR="00022279" w:rsidRPr="00720E01">
        <w:rPr>
          <w:kern w:val="22"/>
          <w:szCs w:val="22"/>
          <w:lang w:val="fr-CA"/>
        </w:rPr>
        <w:t>de la biodiversité pour l</w:t>
      </w:r>
      <w:r w:rsidR="004C3F94">
        <w:rPr>
          <w:kern w:val="22"/>
          <w:szCs w:val="22"/>
          <w:lang w:val="fr-CA"/>
        </w:rPr>
        <w:t>’</w:t>
      </w:r>
      <w:r w:rsidR="00022279" w:rsidRPr="00720E01">
        <w:rPr>
          <w:kern w:val="22"/>
          <w:szCs w:val="22"/>
          <w:lang w:val="fr-CA"/>
        </w:rPr>
        <w:t>après-2020</w:t>
      </w:r>
    </w:p>
    <w:p w14:paraId="44565649" w14:textId="690B74B5" w:rsidR="00DC2DD8" w:rsidRPr="00720E01" w:rsidRDefault="00CB11B5" w:rsidP="00446163">
      <w:pPr>
        <w:pStyle w:val="Para1"/>
        <w:tabs>
          <w:tab w:val="clear" w:pos="360"/>
          <w:tab w:val="num" w:pos="709"/>
        </w:tabs>
        <w:snapToGrid w:val="0"/>
        <w:rPr>
          <w:lang w:val="fr-CA"/>
        </w:rPr>
      </w:pPr>
      <w:r w:rsidRPr="00720E01">
        <w:rPr>
          <w:kern w:val="22"/>
          <w:szCs w:val="22"/>
          <w:lang w:val="fr-CA"/>
        </w:rPr>
        <w:t xml:space="preserve">Au paragraphe 15 de la décision 14/22, la Secrétaire exécutive a été invitée à </w:t>
      </w:r>
      <w:r w:rsidR="00873D4B" w:rsidRPr="00720E01">
        <w:rPr>
          <w:kern w:val="22"/>
          <w:szCs w:val="22"/>
          <w:lang w:val="fr-CA"/>
        </w:rPr>
        <w:t>contracter</w:t>
      </w:r>
      <w:r w:rsidRPr="00720E01">
        <w:rPr>
          <w:kern w:val="22"/>
          <w:szCs w:val="22"/>
          <w:lang w:val="fr-CA"/>
        </w:rPr>
        <w:t xml:space="preserve"> un groupe d’experts à représentation égale de pays en développement Parties</w:t>
      </w:r>
      <w:r w:rsidR="002E7E89" w:rsidRPr="00720E01">
        <w:rPr>
          <w:kern w:val="22"/>
          <w:szCs w:val="22"/>
          <w:lang w:val="fr-CA"/>
        </w:rPr>
        <w:t xml:space="preserve"> </w:t>
      </w:r>
      <w:r w:rsidRPr="00720E01">
        <w:rPr>
          <w:kern w:val="22"/>
          <w:szCs w:val="22"/>
          <w:lang w:val="fr-CA"/>
        </w:rPr>
        <w:t xml:space="preserve">et de pays </w:t>
      </w:r>
      <w:r w:rsidR="00873D4B" w:rsidRPr="00720E01">
        <w:rPr>
          <w:kern w:val="22"/>
          <w:szCs w:val="22"/>
          <w:lang w:val="fr-CA"/>
        </w:rPr>
        <w:t>développés</w:t>
      </w:r>
      <w:r w:rsidRPr="00720E01">
        <w:rPr>
          <w:kern w:val="22"/>
          <w:szCs w:val="22"/>
          <w:lang w:val="fr-CA"/>
        </w:rPr>
        <w:t xml:space="preserve"> Parties</w:t>
      </w:r>
      <w:r w:rsidR="00526577">
        <w:rPr>
          <w:kern w:val="22"/>
          <w:szCs w:val="22"/>
          <w:lang w:val="fr-CA"/>
        </w:rPr>
        <w:t>,</w:t>
      </w:r>
      <w:r w:rsidRPr="00720E01">
        <w:rPr>
          <w:kern w:val="22"/>
          <w:szCs w:val="22"/>
          <w:lang w:val="fr-CA"/>
        </w:rPr>
        <w:t xml:space="preserve"> et un représentant d’</w:t>
      </w:r>
      <w:r w:rsidR="00873D4B" w:rsidRPr="00720E01">
        <w:rPr>
          <w:kern w:val="22"/>
          <w:szCs w:val="22"/>
          <w:lang w:val="fr-CA"/>
        </w:rPr>
        <w:t>une organisation</w:t>
      </w:r>
      <w:r w:rsidRPr="00720E01">
        <w:rPr>
          <w:kern w:val="22"/>
          <w:szCs w:val="22"/>
          <w:lang w:val="fr-CA"/>
        </w:rPr>
        <w:t xml:space="preserve"> non gouvernementale internationale,</w:t>
      </w:r>
      <w:r w:rsidR="00873D4B" w:rsidRPr="00720E01">
        <w:rPr>
          <w:kern w:val="22"/>
          <w:szCs w:val="22"/>
          <w:lang w:val="fr-CA"/>
        </w:rPr>
        <w:t xml:space="preserve"> </w:t>
      </w:r>
      <w:r w:rsidR="00526577">
        <w:rPr>
          <w:kern w:val="22"/>
          <w:szCs w:val="22"/>
          <w:lang w:val="fr-CA"/>
        </w:rPr>
        <w:t>qui aurait pour mandat</w:t>
      </w:r>
      <w:r w:rsidR="00873D4B" w:rsidRPr="00720E01">
        <w:rPr>
          <w:kern w:val="22"/>
          <w:szCs w:val="22"/>
          <w:lang w:val="fr-CA"/>
        </w:rPr>
        <w:t xml:space="preserve"> d’entreprendre les activités indiquées ci-dessous et de préparer des rapports, </w:t>
      </w:r>
      <w:r w:rsidR="008318A7">
        <w:rPr>
          <w:kern w:val="22"/>
          <w:szCs w:val="22"/>
          <w:lang w:val="fr-CA"/>
        </w:rPr>
        <w:t>pour</w:t>
      </w:r>
      <w:r w:rsidR="00873D4B" w:rsidRPr="00720E01">
        <w:rPr>
          <w:kern w:val="22"/>
          <w:szCs w:val="22"/>
          <w:lang w:val="fr-CA"/>
        </w:rPr>
        <w:t xml:space="preserve"> contrib</w:t>
      </w:r>
      <w:r w:rsidR="00526577">
        <w:rPr>
          <w:kern w:val="22"/>
          <w:szCs w:val="22"/>
          <w:lang w:val="fr-CA"/>
        </w:rPr>
        <w:t>uer au processus général</w:t>
      </w:r>
      <w:r w:rsidR="00873D4B" w:rsidRPr="00720E01">
        <w:rPr>
          <w:kern w:val="22"/>
          <w:szCs w:val="22"/>
          <w:lang w:val="fr-CA"/>
        </w:rPr>
        <w:t xml:space="preserve"> </w:t>
      </w:r>
      <w:r w:rsidR="00526577">
        <w:rPr>
          <w:kern w:val="22"/>
          <w:szCs w:val="22"/>
          <w:lang w:val="fr-CA"/>
        </w:rPr>
        <w:t>du</w:t>
      </w:r>
      <w:r w:rsidR="00873D4B" w:rsidRPr="00720E01">
        <w:rPr>
          <w:kern w:val="22"/>
          <w:szCs w:val="22"/>
          <w:lang w:val="fr-CA"/>
        </w:rPr>
        <w:t xml:space="preserve"> cadre de la biodiversité pour l</w:t>
      </w:r>
      <w:r w:rsidR="004C3F94">
        <w:rPr>
          <w:kern w:val="22"/>
          <w:szCs w:val="22"/>
          <w:lang w:val="fr-CA"/>
        </w:rPr>
        <w:t>’</w:t>
      </w:r>
      <w:r w:rsidR="00873D4B" w:rsidRPr="00720E01">
        <w:rPr>
          <w:kern w:val="22"/>
          <w:szCs w:val="22"/>
          <w:lang w:val="fr-CA"/>
        </w:rPr>
        <w:t xml:space="preserve">après-2020 et pour examen par le groupe de travail à composition non limitée et la Conférence des Parties à sa quinzième réunion. </w:t>
      </w:r>
      <w:r w:rsidR="008318A7">
        <w:rPr>
          <w:kern w:val="22"/>
          <w:szCs w:val="22"/>
          <w:lang w:val="fr-CA"/>
        </w:rPr>
        <w:t>En conséquence</w:t>
      </w:r>
      <w:r w:rsidR="00873D4B" w:rsidRPr="00720E01">
        <w:rPr>
          <w:kern w:val="22"/>
          <w:szCs w:val="22"/>
          <w:lang w:val="fr-CA"/>
        </w:rPr>
        <w:t>, la Secrétaire exécutive a contracté</w:t>
      </w:r>
      <w:r w:rsidR="002D6CCA" w:rsidRPr="00720E01">
        <w:rPr>
          <w:kern w:val="22"/>
          <w:szCs w:val="22"/>
          <w:lang w:val="fr-CA"/>
        </w:rPr>
        <w:t xml:space="preserve"> un groupe de trois experts dans le cadre d’un processus concurrentiel conforme aux règles des Nations Unies et tenant compte de la représentativité demandée dans la décision</w:t>
      </w:r>
      <w:r w:rsidR="00873D4B" w:rsidRPr="00720E01">
        <w:rPr>
          <w:kern w:val="22"/>
          <w:szCs w:val="22"/>
          <w:lang w:val="fr-CA"/>
        </w:rPr>
        <w:t>, grâce au soutien financier reçu avec reconnaissance du gouvernement de l’</w:t>
      </w:r>
      <w:r w:rsidR="002D6CCA" w:rsidRPr="00720E01">
        <w:rPr>
          <w:kern w:val="22"/>
          <w:szCs w:val="22"/>
          <w:lang w:val="fr-CA"/>
        </w:rPr>
        <w:t xml:space="preserve">Allemagne. Le groupe d’experts est formé de Mme Tracey </w:t>
      </w:r>
      <w:proofErr w:type="spellStart"/>
      <w:r w:rsidR="002D6CCA" w:rsidRPr="00720E01">
        <w:rPr>
          <w:kern w:val="22"/>
          <w:szCs w:val="22"/>
          <w:lang w:val="fr-CA"/>
        </w:rPr>
        <w:t>Cumming</w:t>
      </w:r>
      <w:proofErr w:type="spellEnd"/>
      <w:r w:rsidR="002D6CCA" w:rsidRPr="00720E01">
        <w:rPr>
          <w:kern w:val="22"/>
          <w:szCs w:val="22"/>
          <w:lang w:val="fr-CA"/>
        </w:rPr>
        <w:t xml:space="preserve"> </w:t>
      </w:r>
      <w:r w:rsidR="002D6CCA" w:rsidRPr="00720E01">
        <w:rPr>
          <w:kern w:val="22"/>
          <w:szCs w:val="22"/>
          <w:lang w:val="fr-CA"/>
        </w:rPr>
        <w:lastRenderedPageBreak/>
        <w:t xml:space="preserve">(République d’Afrique du Sud), M. Jeremy </w:t>
      </w:r>
      <w:proofErr w:type="spellStart"/>
      <w:r w:rsidR="002D6CCA" w:rsidRPr="00720E01">
        <w:rPr>
          <w:kern w:val="22"/>
          <w:szCs w:val="22"/>
          <w:lang w:val="fr-CA"/>
        </w:rPr>
        <w:t>Eppel</w:t>
      </w:r>
      <w:proofErr w:type="spellEnd"/>
      <w:r w:rsidR="002D6CCA" w:rsidRPr="00720E01">
        <w:rPr>
          <w:kern w:val="22"/>
          <w:szCs w:val="22"/>
          <w:lang w:val="fr-CA"/>
        </w:rPr>
        <w:t xml:space="preserve"> (Royaume Uni de Grande-Bretagne et d’Irlande du Nord) et M. </w:t>
      </w:r>
      <w:proofErr w:type="spellStart"/>
      <w:r w:rsidR="002D6CCA" w:rsidRPr="00720E01">
        <w:rPr>
          <w:kern w:val="22"/>
          <w:szCs w:val="22"/>
          <w:lang w:val="fr-CA"/>
        </w:rPr>
        <w:t>Yasha</w:t>
      </w:r>
      <w:proofErr w:type="spellEnd"/>
      <w:r w:rsidR="002D6CCA" w:rsidRPr="00720E01">
        <w:rPr>
          <w:kern w:val="22"/>
          <w:szCs w:val="22"/>
          <w:lang w:val="fr-CA"/>
        </w:rPr>
        <w:t xml:space="preserve"> </w:t>
      </w:r>
      <w:proofErr w:type="spellStart"/>
      <w:r w:rsidR="002D6CCA" w:rsidRPr="00720E01">
        <w:rPr>
          <w:kern w:val="22"/>
          <w:szCs w:val="22"/>
          <w:lang w:val="fr-CA"/>
        </w:rPr>
        <w:t>Feferholtz</w:t>
      </w:r>
      <w:proofErr w:type="spellEnd"/>
      <w:r w:rsidR="00790F48" w:rsidRPr="00720E01">
        <w:rPr>
          <w:kern w:val="22"/>
          <w:szCs w:val="22"/>
          <w:lang w:val="fr-CA"/>
        </w:rPr>
        <w:t xml:space="preserve"> (</w:t>
      </w:r>
      <w:proofErr w:type="spellStart"/>
      <w:r w:rsidR="00790F48" w:rsidRPr="00720E01">
        <w:rPr>
          <w:kern w:val="22"/>
          <w:szCs w:val="22"/>
          <w:lang w:val="fr-CA"/>
        </w:rPr>
        <w:t>EcoHealth</w:t>
      </w:r>
      <w:proofErr w:type="spellEnd"/>
      <w:r w:rsidR="00790F48" w:rsidRPr="00720E01">
        <w:rPr>
          <w:kern w:val="22"/>
          <w:szCs w:val="22"/>
          <w:lang w:val="fr-CA"/>
        </w:rPr>
        <w:t xml:space="preserve"> Alliance). La composition du groupe d’experts a été communiquée dans la notification</w:t>
      </w:r>
      <w:r w:rsidR="00873D4B" w:rsidRPr="00720E01">
        <w:rPr>
          <w:kern w:val="22"/>
          <w:szCs w:val="22"/>
          <w:lang w:val="fr-CA"/>
        </w:rPr>
        <w:t xml:space="preserve"> </w:t>
      </w:r>
      <w:r w:rsidR="00686EF5" w:rsidRPr="00720E01">
        <w:rPr>
          <w:kern w:val="22"/>
          <w:szCs w:val="22"/>
          <w:lang w:val="fr-CA"/>
        </w:rPr>
        <w:t>2019-101</w:t>
      </w:r>
      <w:r w:rsidR="00AB1DB4" w:rsidRPr="00720E01">
        <w:rPr>
          <w:kern w:val="22"/>
          <w:szCs w:val="22"/>
          <w:lang w:val="fr-CA"/>
        </w:rPr>
        <w:t xml:space="preserve">, </w:t>
      </w:r>
      <w:r w:rsidR="00790F48" w:rsidRPr="00720E01">
        <w:rPr>
          <w:kern w:val="22"/>
          <w:szCs w:val="22"/>
          <w:lang w:val="fr-CA"/>
        </w:rPr>
        <w:t>transmise le 7 novembre</w:t>
      </w:r>
      <w:r w:rsidR="00AB1DB4" w:rsidRPr="00720E01">
        <w:rPr>
          <w:kern w:val="22"/>
          <w:szCs w:val="22"/>
          <w:lang w:val="fr-CA"/>
        </w:rPr>
        <w:t xml:space="preserve"> 2019.</w:t>
      </w:r>
      <w:r w:rsidR="007E5C0F" w:rsidRPr="00720E01">
        <w:rPr>
          <w:rStyle w:val="Appelnotedebasdep"/>
          <w:kern w:val="22"/>
          <w:szCs w:val="22"/>
          <w:lang w:val="fr-CA"/>
        </w:rPr>
        <w:footnoteReference w:id="3"/>
      </w:r>
    </w:p>
    <w:p w14:paraId="4B0D4F4E" w14:textId="67E9E0B5" w:rsidR="00446163" w:rsidRPr="00720E01" w:rsidRDefault="00790F48" w:rsidP="00212FF6">
      <w:pPr>
        <w:pStyle w:val="Para1"/>
        <w:keepNext/>
        <w:keepLines/>
        <w:tabs>
          <w:tab w:val="clear" w:pos="360"/>
          <w:tab w:val="num" w:pos="709"/>
        </w:tabs>
        <w:snapToGrid w:val="0"/>
        <w:rPr>
          <w:lang w:val="fr-CA"/>
        </w:rPr>
      </w:pPr>
      <w:r w:rsidRPr="00720E01">
        <w:rPr>
          <w:kern w:val="22"/>
          <w:szCs w:val="22"/>
          <w:lang w:val="fr-CA"/>
        </w:rPr>
        <w:t>Selon ce même paragraphe, le groupe d’experts a été chargé des tâches suivantes</w:t>
      </w:r>
      <w:r w:rsidR="004C3F94">
        <w:rPr>
          <w:kern w:val="22"/>
          <w:szCs w:val="22"/>
          <w:lang w:val="fr-CA"/>
        </w:rPr>
        <w:t> </w:t>
      </w:r>
      <w:r w:rsidR="00446163" w:rsidRPr="00720E01">
        <w:rPr>
          <w:lang w:val="fr-CA"/>
        </w:rPr>
        <w:t>:</w:t>
      </w:r>
    </w:p>
    <w:p w14:paraId="58A850E1" w14:textId="4D853581" w:rsidR="00446163" w:rsidRPr="00720E01" w:rsidRDefault="00790F48" w:rsidP="00790F48">
      <w:pPr>
        <w:pStyle w:val="Para1"/>
        <w:numPr>
          <w:ilvl w:val="1"/>
          <w:numId w:val="5"/>
        </w:numPr>
        <w:snapToGrid w:val="0"/>
        <w:rPr>
          <w:lang w:val="fr-CA"/>
        </w:rPr>
      </w:pPr>
      <w:r w:rsidRPr="00720E01">
        <w:rPr>
          <w:lang w:val="fr-CA"/>
        </w:rPr>
        <w:t xml:space="preserve">Évaluer la structure, le contenu et l’efficacité de la stratégie de </w:t>
      </w:r>
      <w:r w:rsidR="00F4087B" w:rsidRPr="00720E01">
        <w:rPr>
          <w:lang w:val="fr-CA"/>
        </w:rPr>
        <w:t>mobilisa</w:t>
      </w:r>
      <w:r w:rsidRPr="00720E01">
        <w:rPr>
          <w:lang w:val="fr-CA"/>
        </w:rPr>
        <w:t>tion des ressources en recen</w:t>
      </w:r>
      <w:r w:rsidR="00F4087B" w:rsidRPr="00720E01">
        <w:rPr>
          <w:lang w:val="fr-CA"/>
        </w:rPr>
        <w:t>sant autant que possible les difficultés rencontrées pour attei</w:t>
      </w:r>
      <w:r w:rsidRPr="00720E01">
        <w:rPr>
          <w:lang w:val="fr-CA"/>
        </w:rPr>
        <w:t>ndre ces objectifs</w:t>
      </w:r>
      <w:r w:rsidR="004C3F94">
        <w:rPr>
          <w:lang w:val="fr-CA"/>
        </w:rPr>
        <w:t> </w:t>
      </w:r>
      <w:r w:rsidRPr="00720E01">
        <w:rPr>
          <w:lang w:val="fr-CA"/>
        </w:rPr>
        <w:t>; et de passer en revue l’expérience acquise</w:t>
      </w:r>
      <w:r w:rsidR="00F4087B" w:rsidRPr="00720E01">
        <w:rPr>
          <w:lang w:val="fr-CA"/>
        </w:rPr>
        <w:t xml:space="preserve"> dans la réalisation de l’objectif 20 d’Aichi pour la biodiversité et la stratégie de mobilisation des ressources, ainsi que leur </w:t>
      </w:r>
      <w:r w:rsidR="008318A7">
        <w:rPr>
          <w:lang w:val="fr-CA"/>
        </w:rPr>
        <w:t>caractère adéquat</w:t>
      </w:r>
      <w:r w:rsidR="00F4087B" w:rsidRPr="00720E01">
        <w:rPr>
          <w:lang w:val="fr-CA"/>
        </w:rPr>
        <w:t xml:space="preserve">, et </w:t>
      </w:r>
      <w:r w:rsidR="00791EAE">
        <w:rPr>
          <w:lang w:val="fr-CA"/>
        </w:rPr>
        <w:t xml:space="preserve">de </w:t>
      </w:r>
      <w:r w:rsidR="00F4087B" w:rsidRPr="00720E01">
        <w:rPr>
          <w:lang w:val="fr-CA"/>
        </w:rPr>
        <w:t>s’appuyer sur ces expériences pour déterminer les actions à mener</w:t>
      </w:r>
      <w:r w:rsidR="004C3F94">
        <w:rPr>
          <w:lang w:val="fr-CA"/>
        </w:rPr>
        <w:t> </w:t>
      </w:r>
      <w:r w:rsidR="00446163" w:rsidRPr="00720E01">
        <w:rPr>
          <w:lang w:val="fr-CA"/>
        </w:rPr>
        <w:t>;</w:t>
      </w:r>
    </w:p>
    <w:p w14:paraId="4C33B702" w14:textId="7E4453F9" w:rsidR="00446163" w:rsidRPr="00720E01" w:rsidRDefault="00791EAE" w:rsidP="00B0045F">
      <w:pPr>
        <w:pStyle w:val="Para1"/>
        <w:numPr>
          <w:ilvl w:val="1"/>
          <w:numId w:val="5"/>
        </w:numPr>
        <w:snapToGrid w:val="0"/>
        <w:rPr>
          <w:lang w:val="fr-CA"/>
        </w:rPr>
      </w:pPr>
      <w:r>
        <w:rPr>
          <w:lang w:val="fr-CA"/>
        </w:rPr>
        <w:t>Évaluer les ressources</w:t>
      </w:r>
      <w:r w:rsidR="00F4087B" w:rsidRPr="00720E01">
        <w:rPr>
          <w:lang w:val="fr-CA"/>
        </w:rPr>
        <w:t xml:space="preserve"> </w:t>
      </w:r>
      <w:r>
        <w:rPr>
          <w:lang w:val="fr-CA"/>
        </w:rPr>
        <w:t>provenant de toutes les sources</w:t>
      </w:r>
      <w:r w:rsidR="00F4087B" w:rsidRPr="00720E01">
        <w:rPr>
          <w:lang w:val="fr-CA"/>
        </w:rPr>
        <w:t xml:space="preserve"> nécessaires dans les différents scénarios de mise en œuvre du cadre pour l’après-2020, en tenant compte de l’évaluation des besoins du Fonds pour l’en</w:t>
      </w:r>
      <w:r>
        <w:rPr>
          <w:lang w:val="fr-CA"/>
        </w:rPr>
        <w:t>vironnement mondial, ainsi que d</w:t>
      </w:r>
      <w:r w:rsidR="00F4087B" w:rsidRPr="00720E01">
        <w:rPr>
          <w:lang w:val="fr-CA"/>
        </w:rPr>
        <w:t>es coûts et avantages découlant de la mise en œuvre du cadre pour l’après-2020</w:t>
      </w:r>
      <w:r w:rsidR="004C3F94">
        <w:rPr>
          <w:lang w:val="fr-CA"/>
        </w:rPr>
        <w:t> </w:t>
      </w:r>
      <w:r w:rsidR="00446163" w:rsidRPr="00720E01">
        <w:rPr>
          <w:lang w:val="fr-CA"/>
        </w:rPr>
        <w:t>;</w:t>
      </w:r>
    </w:p>
    <w:p w14:paraId="77009772" w14:textId="22BE3270" w:rsidR="00446163" w:rsidRPr="00720E01" w:rsidRDefault="00C23857" w:rsidP="00B0045F">
      <w:pPr>
        <w:pStyle w:val="Para1"/>
        <w:numPr>
          <w:ilvl w:val="1"/>
          <w:numId w:val="5"/>
        </w:numPr>
        <w:snapToGrid w:val="0"/>
        <w:rPr>
          <w:lang w:val="fr-CA"/>
        </w:rPr>
      </w:pPr>
      <w:r w:rsidRPr="00720E01">
        <w:rPr>
          <w:lang w:val="fr-CA"/>
        </w:rPr>
        <w:t xml:space="preserve">Contribuer à l’élaboration d’un projet de mobilisation des ressources au titre du cadre </w:t>
      </w:r>
      <w:r w:rsidR="00852578">
        <w:rPr>
          <w:lang w:val="fr-CA"/>
        </w:rPr>
        <w:t xml:space="preserve">mondial </w:t>
      </w:r>
      <w:r w:rsidRPr="00720E01">
        <w:rPr>
          <w:lang w:val="fr-CA"/>
        </w:rPr>
        <w:t>de la biodiversité pour l’après-2020 p</w:t>
      </w:r>
      <w:r w:rsidR="00791EAE">
        <w:rPr>
          <w:lang w:val="fr-CA"/>
        </w:rPr>
        <w:t>o</w:t>
      </w:r>
      <w:r w:rsidRPr="00720E01">
        <w:rPr>
          <w:lang w:val="fr-CA"/>
        </w:rPr>
        <w:t>ur donner suite à la stratégie actuelle de mobilisation des ressources, en se fondant sur cette dernière et les exercices décrits dans les alinéas précédents</w:t>
      </w:r>
      <w:r w:rsidR="00446163" w:rsidRPr="00720E01">
        <w:rPr>
          <w:lang w:val="fr-CA"/>
        </w:rPr>
        <w:t>.</w:t>
      </w:r>
    </w:p>
    <w:p w14:paraId="56BD4450" w14:textId="562E2265" w:rsidR="002044B0" w:rsidRPr="00720E01" w:rsidRDefault="00852578" w:rsidP="00446163">
      <w:pPr>
        <w:pStyle w:val="Para1"/>
        <w:tabs>
          <w:tab w:val="clear" w:pos="360"/>
          <w:tab w:val="left" w:pos="720"/>
        </w:tabs>
        <w:snapToGrid w:val="0"/>
        <w:rPr>
          <w:lang w:val="fr-CA"/>
        </w:rPr>
      </w:pPr>
      <w:bookmarkStart w:id="0" w:name="_Hlk37149731"/>
      <w:r>
        <w:rPr>
          <w:lang w:val="fr-CA"/>
        </w:rPr>
        <w:t>Les tâches ci-dess</w:t>
      </w:r>
      <w:r w:rsidR="00C23857" w:rsidRPr="00720E01">
        <w:rPr>
          <w:lang w:val="fr-CA"/>
        </w:rPr>
        <w:t>us se prêtaient bien à un regroupement dans des rapports spécifiques dont est maintenant saisi l’Organe subsidiaire chargé de l’application aux fins d’examen, à savoir</w:t>
      </w:r>
      <w:r w:rsidR="004C3F94">
        <w:rPr>
          <w:lang w:val="fr-CA"/>
        </w:rPr>
        <w:t> </w:t>
      </w:r>
      <w:r w:rsidR="00D23697" w:rsidRPr="00720E01">
        <w:rPr>
          <w:lang w:val="fr-CA"/>
        </w:rPr>
        <w:t>:</w:t>
      </w:r>
    </w:p>
    <w:p w14:paraId="2F1512C8" w14:textId="265ACCE4" w:rsidR="00D23697" w:rsidRPr="00720E01" w:rsidRDefault="00E51A3F" w:rsidP="00B0045F">
      <w:pPr>
        <w:pStyle w:val="Para1"/>
        <w:numPr>
          <w:ilvl w:val="1"/>
          <w:numId w:val="5"/>
        </w:numPr>
        <w:tabs>
          <w:tab w:val="left" w:pos="720"/>
        </w:tabs>
        <w:snapToGrid w:val="0"/>
        <w:rPr>
          <w:lang w:val="fr-CA"/>
        </w:rPr>
      </w:pPr>
      <w:r w:rsidRPr="00720E01">
        <w:rPr>
          <w:lang w:val="fr-CA"/>
        </w:rPr>
        <w:t>Une évaluation et examen de la stratégie de mobilisation des</w:t>
      </w:r>
      <w:r w:rsidR="00791EAE">
        <w:rPr>
          <w:lang w:val="fr-CA"/>
        </w:rPr>
        <w:t xml:space="preserve"> ressources et de l’objectif 20 </w:t>
      </w:r>
      <w:r w:rsidRPr="00720E01">
        <w:rPr>
          <w:lang w:val="fr-CA"/>
        </w:rPr>
        <w:t>d’Aichi pour la biodiversité, conformément aux alinéas 15 a) et b) de la décision 14/22, ont été mis à disposition dans un document informatif</w:t>
      </w:r>
      <w:r w:rsidR="005A6F4D" w:rsidRPr="00720E01">
        <w:rPr>
          <w:lang w:val="fr-CA"/>
        </w:rPr>
        <w:t xml:space="preserve"> (CBD/</w:t>
      </w:r>
      <w:proofErr w:type="spellStart"/>
      <w:r w:rsidR="005A6F4D" w:rsidRPr="00720E01">
        <w:rPr>
          <w:lang w:val="fr-CA"/>
        </w:rPr>
        <w:t>SBI</w:t>
      </w:r>
      <w:proofErr w:type="spellEnd"/>
      <w:r w:rsidR="005A6F4D" w:rsidRPr="00720E01">
        <w:rPr>
          <w:lang w:val="fr-CA"/>
        </w:rPr>
        <w:t>/3/</w:t>
      </w:r>
      <w:proofErr w:type="spellStart"/>
      <w:r w:rsidR="005A6F4D" w:rsidRPr="00720E01">
        <w:rPr>
          <w:lang w:val="fr-CA"/>
        </w:rPr>
        <w:t>INF</w:t>
      </w:r>
      <w:proofErr w:type="spellEnd"/>
      <w:r w:rsidR="005A6F4D" w:rsidRPr="00720E01">
        <w:rPr>
          <w:lang w:val="fr-CA"/>
        </w:rPr>
        <w:t>/2)</w:t>
      </w:r>
      <w:r w:rsidR="004C3F94">
        <w:rPr>
          <w:lang w:val="fr-CA"/>
        </w:rPr>
        <w:t> </w:t>
      </w:r>
      <w:r w:rsidR="00791EAE">
        <w:rPr>
          <w:lang w:val="fr-CA"/>
        </w:rPr>
        <w:t>;</w:t>
      </w:r>
      <w:r w:rsidRPr="00720E01">
        <w:rPr>
          <w:lang w:val="fr-CA"/>
        </w:rPr>
        <w:t xml:space="preserve"> le document</w:t>
      </w:r>
      <w:r w:rsidR="000B4901" w:rsidRPr="00720E01">
        <w:rPr>
          <w:lang w:val="fr-CA"/>
        </w:rPr>
        <w:t xml:space="preserve"> </w:t>
      </w:r>
      <w:r w:rsidR="00CD676A" w:rsidRPr="00720E01">
        <w:rPr>
          <w:lang w:val="fr-CA"/>
        </w:rPr>
        <w:t>CBD/</w:t>
      </w:r>
      <w:proofErr w:type="spellStart"/>
      <w:r w:rsidR="00CD676A" w:rsidRPr="00720E01">
        <w:rPr>
          <w:lang w:val="fr-CA"/>
        </w:rPr>
        <w:t>SBI</w:t>
      </w:r>
      <w:proofErr w:type="spellEnd"/>
      <w:r w:rsidR="00CD676A" w:rsidRPr="00720E01">
        <w:rPr>
          <w:lang w:val="fr-CA"/>
        </w:rPr>
        <w:t xml:space="preserve">/3/5/Add.1 </w:t>
      </w:r>
      <w:r w:rsidR="00424C6F" w:rsidRPr="00720E01">
        <w:rPr>
          <w:lang w:val="fr-CA"/>
        </w:rPr>
        <w:t xml:space="preserve">présente une synthèse </w:t>
      </w:r>
      <w:r w:rsidR="00791EAE">
        <w:rPr>
          <w:lang w:val="fr-CA"/>
        </w:rPr>
        <w:t>de l’</w:t>
      </w:r>
      <w:r w:rsidR="00424C6F" w:rsidRPr="00720E01">
        <w:rPr>
          <w:lang w:val="fr-CA"/>
        </w:rPr>
        <w:t>évaluation et examen</w:t>
      </w:r>
      <w:r w:rsidR="004C3F94">
        <w:rPr>
          <w:lang w:val="fr-CA"/>
        </w:rPr>
        <w:t> </w:t>
      </w:r>
      <w:r w:rsidR="00EC0229" w:rsidRPr="00720E01">
        <w:rPr>
          <w:lang w:val="fr-CA"/>
        </w:rPr>
        <w:t>;</w:t>
      </w:r>
    </w:p>
    <w:p w14:paraId="248858EB" w14:textId="04731E33" w:rsidR="00EC0229" w:rsidRPr="00720E01" w:rsidRDefault="00424C6F" w:rsidP="00B0045F">
      <w:pPr>
        <w:pStyle w:val="Para1"/>
        <w:numPr>
          <w:ilvl w:val="1"/>
          <w:numId w:val="5"/>
        </w:numPr>
        <w:tabs>
          <w:tab w:val="left" w:pos="720"/>
        </w:tabs>
        <w:snapToGrid w:val="0"/>
        <w:rPr>
          <w:lang w:val="fr-CA"/>
        </w:rPr>
      </w:pPr>
      <w:r w:rsidRPr="00720E01">
        <w:rPr>
          <w:lang w:val="fr-CA"/>
        </w:rPr>
        <w:t xml:space="preserve">Un rapport préliminaire sur les ressources requises de toutes les sources pour les différents scénarios de la mise en œuvre du cadre pour l’après-2020, conformément </w:t>
      </w:r>
      <w:r w:rsidR="00791EAE">
        <w:rPr>
          <w:lang w:val="fr-CA"/>
        </w:rPr>
        <w:t>à l’alinéa 15 c) de la décision </w:t>
      </w:r>
      <w:r w:rsidRPr="00720E01">
        <w:rPr>
          <w:lang w:val="fr-CA"/>
        </w:rPr>
        <w:t xml:space="preserve">14/22, est présenté dans le document </w:t>
      </w:r>
      <w:r w:rsidR="00975CB6" w:rsidRPr="00720E01">
        <w:rPr>
          <w:lang w:val="fr-CA"/>
        </w:rPr>
        <w:t>CB</w:t>
      </w:r>
      <w:r w:rsidR="0076526A" w:rsidRPr="00720E01">
        <w:rPr>
          <w:lang w:val="fr-CA"/>
        </w:rPr>
        <w:t>D</w:t>
      </w:r>
      <w:r w:rsidR="00975CB6" w:rsidRPr="00720E01">
        <w:rPr>
          <w:lang w:val="fr-CA"/>
        </w:rPr>
        <w:t>/</w:t>
      </w:r>
      <w:proofErr w:type="spellStart"/>
      <w:r w:rsidR="00975CB6" w:rsidRPr="00720E01">
        <w:rPr>
          <w:lang w:val="fr-CA"/>
        </w:rPr>
        <w:t>SBI</w:t>
      </w:r>
      <w:proofErr w:type="spellEnd"/>
      <w:r w:rsidR="00975CB6" w:rsidRPr="00720E01">
        <w:rPr>
          <w:lang w:val="fr-CA"/>
        </w:rPr>
        <w:t xml:space="preserve">/3/5/Add.2. </w:t>
      </w:r>
      <w:r w:rsidR="00791EAE">
        <w:rPr>
          <w:lang w:val="fr-CA"/>
        </w:rPr>
        <w:t>D</w:t>
      </w:r>
      <w:r w:rsidRPr="00720E01">
        <w:rPr>
          <w:lang w:val="fr-CA"/>
        </w:rPr>
        <w:t>es renseignements techniques supplémentaires sont offerts dans le document informatif qui l’accompagne</w:t>
      </w:r>
      <w:r w:rsidR="005246E7" w:rsidRPr="00720E01">
        <w:rPr>
          <w:lang w:val="fr-CA"/>
        </w:rPr>
        <w:t xml:space="preserve"> (CBD/</w:t>
      </w:r>
      <w:proofErr w:type="spellStart"/>
      <w:r w:rsidR="005246E7" w:rsidRPr="00720E01">
        <w:rPr>
          <w:lang w:val="fr-CA"/>
        </w:rPr>
        <w:t>SBI</w:t>
      </w:r>
      <w:proofErr w:type="spellEnd"/>
      <w:r w:rsidR="005246E7" w:rsidRPr="00720E01">
        <w:rPr>
          <w:lang w:val="fr-CA"/>
        </w:rPr>
        <w:t>/3/</w:t>
      </w:r>
      <w:proofErr w:type="spellStart"/>
      <w:r w:rsidR="005246E7" w:rsidRPr="00720E01">
        <w:rPr>
          <w:lang w:val="fr-CA"/>
        </w:rPr>
        <w:t>INF</w:t>
      </w:r>
      <w:proofErr w:type="spellEnd"/>
      <w:r w:rsidR="005246E7" w:rsidRPr="00720E01">
        <w:rPr>
          <w:lang w:val="fr-CA"/>
        </w:rPr>
        <w:t>/5)</w:t>
      </w:r>
      <w:r w:rsidR="00FA678F" w:rsidRPr="00720E01">
        <w:rPr>
          <w:lang w:val="fr-CA"/>
        </w:rPr>
        <w:t xml:space="preserve">. </w:t>
      </w:r>
      <w:r w:rsidR="00D136CC" w:rsidRPr="00720E01">
        <w:rPr>
          <w:lang w:val="fr-CA"/>
        </w:rPr>
        <w:t>Le rapport présente un aperçu des anal</w:t>
      </w:r>
      <w:r w:rsidR="00B421E4">
        <w:rPr>
          <w:lang w:val="fr-CA"/>
        </w:rPr>
        <w:t>yses pertinent</w:t>
      </w:r>
      <w:r w:rsidRPr="00720E01">
        <w:rPr>
          <w:lang w:val="fr-CA"/>
        </w:rPr>
        <w:t>es en cours ou récemment ach</w:t>
      </w:r>
      <w:r w:rsidR="00D136CC" w:rsidRPr="00720E01">
        <w:rPr>
          <w:lang w:val="fr-CA"/>
        </w:rPr>
        <w:t>evées, et de leurs résultats (ém</w:t>
      </w:r>
      <w:r w:rsidRPr="00720E01">
        <w:rPr>
          <w:lang w:val="fr-CA"/>
        </w:rPr>
        <w:t>ergents), ainsi que les premiers résulta</w:t>
      </w:r>
      <w:r w:rsidR="00D136CC" w:rsidRPr="00720E01">
        <w:rPr>
          <w:lang w:val="fr-CA"/>
        </w:rPr>
        <w:t>t</w:t>
      </w:r>
      <w:r w:rsidRPr="00720E01">
        <w:rPr>
          <w:lang w:val="fr-CA"/>
        </w:rPr>
        <w:t>s de l’analyse complémentaire fondée sur un document informati</w:t>
      </w:r>
      <w:r w:rsidR="00D136CC" w:rsidRPr="00720E01">
        <w:rPr>
          <w:lang w:val="fr-CA"/>
        </w:rPr>
        <w:t>f</w:t>
      </w:r>
      <w:r w:rsidRPr="00720E01">
        <w:rPr>
          <w:lang w:val="fr-CA"/>
        </w:rPr>
        <w:t xml:space="preserve"> </w:t>
      </w:r>
      <w:r w:rsidR="00D136CC" w:rsidRPr="00720E01">
        <w:rPr>
          <w:lang w:val="fr-CA"/>
        </w:rPr>
        <w:t xml:space="preserve">fourni </w:t>
      </w:r>
      <w:r w:rsidR="00B421E4">
        <w:rPr>
          <w:lang w:val="fr-CA"/>
        </w:rPr>
        <w:t xml:space="preserve">en lien avec </w:t>
      </w:r>
      <w:r w:rsidR="00D136CC" w:rsidRPr="00720E01">
        <w:rPr>
          <w:lang w:val="fr-CA"/>
        </w:rPr>
        <w:t xml:space="preserve">le cadre </w:t>
      </w:r>
      <w:r w:rsidR="00B421E4">
        <w:rPr>
          <w:lang w:val="fr-CA"/>
        </w:rPr>
        <w:t xml:space="preserve">de présentation </w:t>
      </w:r>
      <w:r w:rsidR="00D136CC" w:rsidRPr="00720E01">
        <w:rPr>
          <w:lang w:val="fr-CA"/>
        </w:rPr>
        <w:t>des rapports financiers. L’estimation finale sera présentée à la Conférence des Parties, à sa quinzième réunion</w:t>
      </w:r>
      <w:r w:rsidR="004C3F94">
        <w:rPr>
          <w:lang w:val="fr-CA"/>
        </w:rPr>
        <w:t> </w:t>
      </w:r>
      <w:r w:rsidR="00CF7D9B" w:rsidRPr="00720E01">
        <w:rPr>
          <w:lang w:val="fr-CA"/>
        </w:rPr>
        <w:t>;</w:t>
      </w:r>
    </w:p>
    <w:p w14:paraId="402244E5" w14:textId="7196F941" w:rsidR="007B2D63" w:rsidRPr="00720E01" w:rsidRDefault="00D136CC" w:rsidP="00B0045F">
      <w:pPr>
        <w:pStyle w:val="Para1"/>
        <w:numPr>
          <w:ilvl w:val="1"/>
          <w:numId w:val="5"/>
        </w:numPr>
        <w:tabs>
          <w:tab w:val="left" w:pos="720"/>
        </w:tabs>
        <w:snapToGrid w:val="0"/>
        <w:rPr>
          <w:lang w:val="fr-CA"/>
        </w:rPr>
      </w:pPr>
      <w:r w:rsidRPr="00720E01">
        <w:rPr>
          <w:lang w:val="fr-CA"/>
        </w:rPr>
        <w:t>La contribution du groupe d’experts au projet de mobilisation des ressources, conformément à l’alinéa 15 d) de la décision 14/22, est présentée dans le document</w:t>
      </w:r>
      <w:r w:rsidR="004639E0" w:rsidRPr="00720E01">
        <w:rPr>
          <w:lang w:val="fr-CA"/>
        </w:rPr>
        <w:t xml:space="preserve"> CBD/</w:t>
      </w:r>
      <w:proofErr w:type="spellStart"/>
      <w:r w:rsidR="004639E0" w:rsidRPr="00720E01">
        <w:rPr>
          <w:lang w:val="fr-CA"/>
        </w:rPr>
        <w:t>SBI</w:t>
      </w:r>
      <w:proofErr w:type="spellEnd"/>
      <w:r w:rsidR="004639E0" w:rsidRPr="00720E01">
        <w:rPr>
          <w:lang w:val="fr-CA"/>
        </w:rPr>
        <w:t>/3/5/Add.3</w:t>
      </w:r>
      <w:r w:rsidR="00005B03" w:rsidRPr="00720E01">
        <w:rPr>
          <w:lang w:val="fr-CA"/>
        </w:rPr>
        <w:t>.</w:t>
      </w:r>
    </w:p>
    <w:bookmarkEnd w:id="0"/>
    <w:p w14:paraId="6CBEFACE" w14:textId="52D8CBBE" w:rsidR="00446163" w:rsidRPr="00720E01" w:rsidRDefault="00B421E4" w:rsidP="00446163">
      <w:pPr>
        <w:pStyle w:val="Para1"/>
        <w:tabs>
          <w:tab w:val="clear" w:pos="360"/>
          <w:tab w:val="left" w:pos="720"/>
        </w:tabs>
        <w:snapToGrid w:val="0"/>
        <w:rPr>
          <w:lang w:val="fr-CA"/>
        </w:rPr>
      </w:pPr>
      <w:r>
        <w:rPr>
          <w:lang w:val="fr-CA"/>
        </w:rPr>
        <w:t>Conformément</w:t>
      </w:r>
      <w:r w:rsidR="00D136CC" w:rsidRPr="00720E01">
        <w:rPr>
          <w:lang w:val="fr-CA"/>
        </w:rPr>
        <w:t xml:space="preserve"> aux alinéas </w:t>
      </w:r>
      <w:r w:rsidR="00640820" w:rsidRPr="00720E01">
        <w:rPr>
          <w:lang w:val="fr-CA"/>
        </w:rPr>
        <w:t xml:space="preserve">15 e) à h) </w:t>
      </w:r>
      <w:r w:rsidR="00D136CC" w:rsidRPr="00720E01">
        <w:rPr>
          <w:lang w:val="fr-CA"/>
        </w:rPr>
        <w:t xml:space="preserve">de la décision 14/22, </w:t>
      </w:r>
      <w:r w:rsidR="00640820" w:rsidRPr="00720E01">
        <w:rPr>
          <w:lang w:val="fr-CA"/>
        </w:rPr>
        <w:t>le groupe d’experts devait examiner et analyser d’autres aspects de la mobilisation des ressources, à savoir</w:t>
      </w:r>
      <w:r w:rsidR="004C3F94">
        <w:rPr>
          <w:lang w:val="fr-CA"/>
        </w:rPr>
        <w:t> </w:t>
      </w:r>
      <w:r w:rsidR="00446163" w:rsidRPr="00720E01">
        <w:rPr>
          <w:lang w:val="fr-CA"/>
        </w:rPr>
        <w:t>:</w:t>
      </w:r>
    </w:p>
    <w:p w14:paraId="75A89D8E" w14:textId="2C9B0421" w:rsidR="00446163" w:rsidRPr="00720E01" w:rsidRDefault="00640820" w:rsidP="00B0045F">
      <w:pPr>
        <w:pStyle w:val="Para1"/>
        <w:numPr>
          <w:ilvl w:val="1"/>
          <w:numId w:val="5"/>
        </w:numPr>
        <w:snapToGrid w:val="0"/>
        <w:rPr>
          <w:lang w:val="fr-CA"/>
        </w:rPr>
      </w:pPr>
      <w:r w:rsidRPr="00720E01">
        <w:rPr>
          <w:lang w:val="fr-CA"/>
        </w:rPr>
        <w:t xml:space="preserve">Étudier les solutions et les méthodes permettant de mobiliser et de fournir des ressources supplémentaires provenant de toutes </w:t>
      </w:r>
      <w:r w:rsidR="00B421E4">
        <w:rPr>
          <w:lang w:val="fr-CA"/>
        </w:rPr>
        <w:t xml:space="preserve">les </w:t>
      </w:r>
      <w:r w:rsidRPr="00720E01">
        <w:rPr>
          <w:lang w:val="fr-CA"/>
        </w:rPr>
        <w:t>sources</w:t>
      </w:r>
      <w:r w:rsidR="004C3F94">
        <w:rPr>
          <w:lang w:val="fr-CA"/>
        </w:rPr>
        <w:t> </w:t>
      </w:r>
      <w:r w:rsidR="00446163" w:rsidRPr="00720E01">
        <w:rPr>
          <w:lang w:val="fr-CA"/>
        </w:rPr>
        <w:t>;</w:t>
      </w:r>
    </w:p>
    <w:p w14:paraId="60B14001" w14:textId="39DC079B" w:rsidR="00446163" w:rsidRPr="00720E01" w:rsidRDefault="00640820" w:rsidP="00B0045F">
      <w:pPr>
        <w:pStyle w:val="Para1"/>
        <w:numPr>
          <w:ilvl w:val="1"/>
          <w:numId w:val="5"/>
        </w:numPr>
        <w:snapToGrid w:val="0"/>
        <w:rPr>
          <w:lang w:val="fr-CA"/>
        </w:rPr>
      </w:pPr>
      <w:r w:rsidRPr="00720E01">
        <w:rPr>
          <w:lang w:val="fr-CA"/>
        </w:rPr>
        <w:t>Étudier les moyens de renforcer l’engagement d’un plus large éventail d’instit</w:t>
      </w:r>
      <w:r w:rsidR="00F4473A">
        <w:rPr>
          <w:lang w:val="fr-CA"/>
        </w:rPr>
        <w:t>utions financières et privées, de</w:t>
      </w:r>
      <w:r w:rsidRPr="00720E01">
        <w:rPr>
          <w:lang w:val="fr-CA"/>
        </w:rPr>
        <w:t xml:space="preserve"> tous les niveaux et de toutes les sources, pour appuyer la mise en œuvre du cadre pour l’après-2020</w:t>
      </w:r>
      <w:r w:rsidR="004C3F94">
        <w:rPr>
          <w:lang w:val="fr-CA"/>
        </w:rPr>
        <w:t> </w:t>
      </w:r>
      <w:r w:rsidR="00446163" w:rsidRPr="00720E01">
        <w:rPr>
          <w:lang w:val="fr-CA"/>
        </w:rPr>
        <w:t>;</w:t>
      </w:r>
    </w:p>
    <w:p w14:paraId="0AF1441A" w14:textId="4A7BF8A3" w:rsidR="00446163" w:rsidRPr="00720E01" w:rsidRDefault="007D47F5" w:rsidP="00B0045F">
      <w:pPr>
        <w:pStyle w:val="Para1"/>
        <w:numPr>
          <w:ilvl w:val="1"/>
          <w:numId w:val="5"/>
        </w:numPr>
        <w:snapToGrid w:val="0"/>
        <w:rPr>
          <w:lang w:val="fr-CA"/>
        </w:rPr>
      </w:pPr>
      <w:r w:rsidRPr="00720E01">
        <w:rPr>
          <w:lang w:val="fr-CA"/>
        </w:rPr>
        <w:t>Examiner les moyens d’intégrer davantage la question de la biodiversité dans les budgets économiques nationaux et les plans de développement, y compris dans les secteurs productifs clés</w:t>
      </w:r>
      <w:r w:rsidR="004C3F94">
        <w:rPr>
          <w:lang w:val="fr-CA"/>
        </w:rPr>
        <w:t> </w:t>
      </w:r>
      <w:r w:rsidR="00446163" w:rsidRPr="00720E01">
        <w:rPr>
          <w:lang w:val="fr-CA"/>
        </w:rPr>
        <w:t>;</w:t>
      </w:r>
    </w:p>
    <w:p w14:paraId="64CE55D6" w14:textId="10FE747D" w:rsidR="00446163" w:rsidRPr="00720E01" w:rsidRDefault="007D47F5" w:rsidP="00B0045F">
      <w:pPr>
        <w:pStyle w:val="Para1"/>
        <w:numPr>
          <w:ilvl w:val="1"/>
          <w:numId w:val="5"/>
        </w:numPr>
        <w:snapToGrid w:val="0"/>
        <w:rPr>
          <w:lang w:val="fr-CA"/>
        </w:rPr>
      </w:pPr>
      <w:r w:rsidRPr="00720E01">
        <w:rPr>
          <w:lang w:val="fr-CA"/>
        </w:rPr>
        <w:t>Examiner les moyens d’améliorer l’état de préparation et la capacité des Parties à accéder aux ressources financières et à les exploiter pour faciliter la mise en œuvre du cadre pour l’après-2020</w:t>
      </w:r>
      <w:r w:rsidR="00446163" w:rsidRPr="00720E01">
        <w:rPr>
          <w:lang w:val="fr-CA"/>
        </w:rPr>
        <w:t>.</w:t>
      </w:r>
    </w:p>
    <w:p w14:paraId="7E8298F3" w14:textId="726AFC34" w:rsidR="00E21BE5" w:rsidRPr="00720E01" w:rsidRDefault="00624226" w:rsidP="00304215">
      <w:pPr>
        <w:pStyle w:val="Para1"/>
        <w:tabs>
          <w:tab w:val="clear" w:pos="360"/>
        </w:tabs>
        <w:rPr>
          <w:lang w:val="fr-CA"/>
        </w:rPr>
      </w:pPr>
      <w:bookmarkStart w:id="1" w:name="_Hlk37149801"/>
      <w:r w:rsidRPr="00720E01">
        <w:rPr>
          <w:lang w:val="fr-CA"/>
        </w:rPr>
        <w:lastRenderedPageBreak/>
        <w:t>Ces aspects de la mobilisation des ressources ont été examinés de manière intersectorielle dans les rapports ci-dessus. Ils ont aussi été utilisés dans l’établissement de la structure de l’Atel</w:t>
      </w:r>
      <w:r w:rsidR="006E100E" w:rsidRPr="00720E01">
        <w:rPr>
          <w:lang w:val="fr-CA"/>
        </w:rPr>
        <w:t>ier thématique sur la mobilisati</w:t>
      </w:r>
      <w:r w:rsidRPr="00720E01">
        <w:rPr>
          <w:lang w:val="fr-CA"/>
        </w:rPr>
        <w:t>on des ressources pour le cadre mondial de la biodiversité pour l</w:t>
      </w:r>
      <w:r w:rsidR="004C3F94">
        <w:rPr>
          <w:lang w:val="fr-CA"/>
        </w:rPr>
        <w:t>’</w:t>
      </w:r>
      <w:r w:rsidRPr="00720E01">
        <w:rPr>
          <w:lang w:val="fr-CA"/>
        </w:rPr>
        <w:t xml:space="preserve">après-2020, présenté à Berlin, </w:t>
      </w:r>
      <w:r w:rsidR="007D58CC">
        <w:rPr>
          <w:lang w:val="fr-CA"/>
        </w:rPr>
        <w:t>du 14 au 16 janvier 2020</w:t>
      </w:r>
      <w:r w:rsidRPr="00720E01">
        <w:rPr>
          <w:lang w:val="fr-CA"/>
        </w:rPr>
        <w:t xml:space="preserve"> grâce au soutien financier et logistique du gouvernement de l’Allemagne. Le groupe d’experts a </w:t>
      </w:r>
      <w:r w:rsidR="006E100E" w:rsidRPr="00720E01">
        <w:rPr>
          <w:lang w:val="fr-CA"/>
        </w:rPr>
        <w:t xml:space="preserve">préparé </w:t>
      </w:r>
      <w:r w:rsidRPr="00720E01">
        <w:rPr>
          <w:lang w:val="fr-CA"/>
        </w:rPr>
        <w:t xml:space="preserve">une évaluation </w:t>
      </w:r>
      <w:r w:rsidR="008347EC" w:rsidRPr="00720E01">
        <w:rPr>
          <w:lang w:val="fr-CA"/>
        </w:rPr>
        <w:t xml:space="preserve">et </w:t>
      </w:r>
      <w:r w:rsidR="007D58CC">
        <w:rPr>
          <w:lang w:val="fr-CA"/>
        </w:rPr>
        <w:t xml:space="preserve">un </w:t>
      </w:r>
      <w:r w:rsidR="008347EC" w:rsidRPr="00720E01">
        <w:rPr>
          <w:lang w:val="fr-CA"/>
        </w:rPr>
        <w:t xml:space="preserve">examen </w:t>
      </w:r>
      <w:r w:rsidRPr="00720E01">
        <w:rPr>
          <w:lang w:val="fr-CA"/>
        </w:rPr>
        <w:t>préliminaire</w:t>
      </w:r>
      <w:r w:rsidR="006E100E" w:rsidRPr="00720E01">
        <w:rPr>
          <w:lang w:val="fr-CA"/>
        </w:rPr>
        <w:t xml:space="preserve"> de la stratégie de mobilisati</w:t>
      </w:r>
      <w:r w:rsidR="008347EC" w:rsidRPr="00720E01">
        <w:rPr>
          <w:lang w:val="fr-CA"/>
        </w:rPr>
        <w:t>on des ressources et de l’objectif 20 d’</w:t>
      </w:r>
      <w:r w:rsidR="006E100E" w:rsidRPr="00720E01">
        <w:rPr>
          <w:lang w:val="fr-CA"/>
        </w:rPr>
        <w:t>Aichi pour la bi</w:t>
      </w:r>
      <w:r w:rsidR="008347EC" w:rsidRPr="00720E01">
        <w:rPr>
          <w:lang w:val="fr-CA"/>
        </w:rPr>
        <w:t>odivers</w:t>
      </w:r>
      <w:r w:rsidR="006E100E" w:rsidRPr="00720E01">
        <w:rPr>
          <w:lang w:val="fr-CA"/>
        </w:rPr>
        <w:t xml:space="preserve">ité, </w:t>
      </w:r>
      <w:r w:rsidR="007D58CC">
        <w:rPr>
          <w:lang w:val="fr-CA"/>
        </w:rPr>
        <w:t>comprenant</w:t>
      </w:r>
      <w:r w:rsidR="006E100E" w:rsidRPr="00720E01">
        <w:rPr>
          <w:lang w:val="fr-CA"/>
        </w:rPr>
        <w:t xml:space="preserve"> les lacunes et les b</w:t>
      </w:r>
      <w:r w:rsidR="008347EC" w:rsidRPr="00720E01">
        <w:rPr>
          <w:lang w:val="fr-CA"/>
        </w:rPr>
        <w:t xml:space="preserve">esoins d’action préliminaires recensés, et les </w:t>
      </w:r>
      <w:r w:rsidR="007D58CC">
        <w:rPr>
          <w:lang w:val="fr-CA"/>
        </w:rPr>
        <w:t xml:space="preserve">a </w:t>
      </w:r>
      <w:r w:rsidR="008347EC" w:rsidRPr="00720E01">
        <w:rPr>
          <w:lang w:val="fr-CA"/>
        </w:rPr>
        <w:t>mi</w:t>
      </w:r>
      <w:r w:rsidR="007D58CC">
        <w:rPr>
          <w:lang w:val="fr-CA"/>
        </w:rPr>
        <w:t>s à la disposition de l’atelier</w:t>
      </w:r>
      <w:r w:rsidR="008347EC" w:rsidRPr="00720E01">
        <w:rPr>
          <w:lang w:val="fr-CA"/>
        </w:rPr>
        <w:t xml:space="preserve"> comme fondement aux échanges. Il a aussi présenté à l’</w:t>
      </w:r>
      <w:r w:rsidR="006E100E" w:rsidRPr="00720E01">
        <w:rPr>
          <w:lang w:val="fr-CA"/>
        </w:rPr>
        <w:t>atelier</w:t>
      </w:r>
      <w:r w:rsidR="008347EC" w:rsidRPr="00720E01">
        <w:rPr>
          <w:lang w:val="fr-CA"/>
        </w:rPr>
        <w:t xml:space="preserve"> une analyse </w:t>
      </w:r>
      <w:r w:rsidR="007D58CC">
        <w:rPr>
          <w:lang w:val="fr-CA"/>
        </w:rPr>
        <w:t>préliminaire</w:t>
      </w:r>
      <w:r w:rsidR="008347EC" w:rsidRPr="00720E01">
        <w:rPr>
          <w:lang w:val="fr-CA"/>
        </w:rPr>
        <w:t xml:space="preserve"> des méthodes existantes d</w:t>
      </w:r>
      <w:r w:rsidR="006E100E" w:rsidRPr="00720E01">
        <w:rPr>
          <w:lang w:val="fr-CA"/>
        </w:rPr>
        <w:t>’éva</w:t>
      </w:r>
      <w:r w:rsidR="008347EC" w:rsidRPr="00720E01">
        <w:rPr>
          <w:lang w:val="fr-CA"/>
        </w:rPr>
        <w:t>luer les ressources nécessaires à la mise en œuvre du cadre pour l’après-2020. Le rap</w:t>
      </w:r>
      <w:r w:rsidR="006E100E" w:rsidRPr="00720E01">
        <w:rPr>
          <w:lang w:val="fr-CA"/>
        </w:rPr>
        <w:t>p</w:t>
      </w:r>
      <w:r w:rsidR="008347EC" w:rsidRPr="00720E01">
        <w:rPr>
          <w:lang w:val="fr-CA"/>
        </w:rPr>
        <w:t>ort de l’</w:t>
      </w:r>
      <w:r w:rsidR="006E100E" w:rsidRPr="00720E01">
        <w:rPr>
          <w:lang w:val="fr-CA"/>
        </w:rPr>
        <w:t>atelier (CBD/POST2020/</w:t>
      </w:r>
      <w:proofErr w:type="spellStart"/>
      <w:r w:rsidR="006E100E" w:rsidRPr="00720E01">
        <w:rPr>
          <w:lang w:val="fr-CA"/>
        </w:rPr>
        <w:t>WS</w:t>
      </w:r>
      <w:proofErr w:type="spellEnd"/>
      <w:r w:rsidR="006E100E" w:rsidRPr="00720E01">
        <w:rPr>
          <w:lang w:val="fr-CA"/>
        </w:rPr>
        <w:t>/2020/3/3)</w:t>
      </w:r>
      <w:r w:rsidR="003741C2" w:rsidRPr="00720E01">
        <w:rPr>
          <w:lang w:val="fr-CA"/>
        </w:rPr>
        <w:t xml:space="preserve"> </w:t>
      </w:r>
      <w:r w:rsidR="006E100E" w:rsidRPr="00720E01">
        <w:rPr>
          <w:lang w:val="fr-CA"/>
        </w:rPr>
        <w:t>est mis à la disposition de l’Organe subsidiaire dans les documents informatifs</w:t>
      </w:r>
      <w:r w:rsidR="00E440C5" w:rsidRPr="00720E01">
        <w:rPr>
          <w:lang w:val="fr-CA"/>
        </w:rPr>
        <w:t>.</w:t>
      </w:r>
    </w:p>
    <w:p w14:paraId="6D951F6C" w14:textId="36C766B4" w:rsidR="00297A52" w:rsidRPr="00720E01" w:rsidRDefault="00686EF5" w:rsidP="00304215">
      <w:pPr>
        <w:pStyle w:val="Para1"/>
        <w:tabs>
          <w:tab w:val="clear" w:pos="360"/>
        </w:tabs>
        <w:rPr>
          <w:lang w:val="fr-CA"/>
        </w:rPr>
      </w:pPr>
      <w:r w:rsidRPr="00720E01">
        <w:rPr>
          <w:lang w:val="fr-CA"/>
        </w:rPr>
        <w:t>La</w:t>
      </w:r>
      <w:r w:rsidR="00852578">
        <w:rPr>
          <w:lang w:val="fr-CA"/>
        </w:rPr>
        <w:t xml:space="preserve"> Secrétaire exécutive a émis la</w:t>
      </w:r>
      <w:r w:rsidRPr="00720E01">
        <w:rPr>
          <w:lang w:val="fr-CA"/>
        </w:rPr>
        <w:t xml:space="preserve"> notification 2019-086 le 8 octobre 2019 afin </w:t>
      </w:r>
      <w:r w:rsidR="006A2715">
        <w:rPr>
          <w:lang w:val="fr-CA"/>
        </w:rPr>
        <w:t>d</w:t>
      </w:r>
      <w:r w:rsidRPr="00720E01">
        <w:rPr>
          <w:lang w:val="fr-CA"/>
        </w:rPr>
        <w:t>e soutenir les travaux du groupe d’experts. La notification invitait les Parties e</w:t>
      </w:r>
      <w:r w:rsidR="006A2715">
        <w:rPr>
          <w:lang w:val="fr-CA"/>
        </w:rPr>
        <w:t>t</w:t>
      </w:r>
      <w:r w:rsidRPr="00720E01">
        <w:rPr>
          <w:lang w:val="fr-CA"/>
        </w:rPr>
        <w:t xml:space="preserve"> les organisations compétentes à soumettre des points de vue et des expériences pertinents sur la mobilisation des ressources, et fournissait une série de questions indicatives fondées </w:t>
      </w:r>
      <w:r w:rsidR="006A2715">
        <w:rPr>
          <w:lang w:val="fr-CA"/>
        </w:rPr>
        <w:t>sur</w:t>
      </w:r>
      <w:r w:rsidRPr="00720E01">
        <w:rPr>
          <w:lang w:val="fr-CA"/>
        </w:rPr>
        <w:t xml:space="preserve"> le paragraphe 15 de la décision 14/22. Des exposés avaient été reçus du Bénin, de la Bosnie-Herzégovine, du Canada, de l’Éthiopie,</w:t>
      </w:r>
      <w:r w:rsidR="00200576" w:rsidRPr="00720E01">
        <w:rPr>
          <w:lang w:val="fr-CA"/>
        </w:rPr>
        <w:t xml:space="preserve"> de la Guinée, de l’Iraq, du Japon, de la Norvège, de l’Ouganda et </w:t>
      </w:r>
      <w:r w:rsidRPr="00720E01">
        <w:rPr>
          <w:lang w:val="fr-CA"/>
        </w:rPr>
        <w:t>de l’Union européenne et ses États me</w:t>
      </w:r>
      <w:r w:rsidR="006A2715">
        <w:rPr>
          <w:lang w:val="fr-CA"/>
        </w:rPr>
        <w:t>mbres</w:t>
      </w:r>
      <w:r w:rsidRPr="00720E01">
        <w:rPr>
          <w:lang w:val="fr-CA"/>
        </w:rPr>
        <w:t xml:space="preserve"> </w:t>
      </w:r>
      <w:r w:rsidR="00200576" w:rsidRPr="00720E01">
        <w:rPr>
          <w:lang w:val="fr-CA"/>
        </w:rPr>
        <w:t xml:space="preserve">au moment de préparer la présente note. Des exposés ont également été reçus des organisations internationales, </w:t>
      </w:r>
      <w:r w:rsidR="006A2715">
        <w:rPr>
          <w:lang w:val="fr-CA"/>
        </w:rPr>
        <w:t xml:space="preserve">des </w:t>
      </w:r>
      <w:r w:rsidR="00200576" w:rsidRPr="00720E01">
        <w:rPr>
          <w:lang w:val="fr-CA"/>
        </w:rPr>
        <w:t xml:space="preserve">peuples autochtones et communautés locales et </w:t>
      </w:r>
      <w:r w:rsidR="006A2715">
        <w:rPr>
          <w:lang w:val="fr-CA"/>
        </w:rPr>
        <w:t xml:space="preserve">des </w:t>
      </w:r>
      <w:r w:rsidR="00200576" w:rsidRPr="00720E01">
        <w:rPr>
          <w:lang w:val="fr-CA"/>
        </w:rPr>
        <w:t>parties prenantes compétentes suivantes</w:t>
      </w:r>
      <w:r w:rsidR="004C3F94">
        <w:rPr>
          <w:lang w:val="fr-CA"/>
        </w:rPr>
        <w:t> </w:t>
      </w:r>
      <w:r w:rsidR="00200576" w:rsidRPr="00720E01">
        <w:rPr>
          <w:lang w:val="fr-CA"/>
        </w:rPr>
        <w:t>: Conservation Finance Alliance, le Forum international des p</w:t>
      </w:r>
      <w:r w:rsidR="000B3BC6" w:rsidRPr="00720E01">
        <w:rPr>
          <w:lang w:val="fr-CA"/>
        </w:rPr>
        <w:t>e</w:t>
      </w:r>
      <w:r w:rsidR="00200576" w:rsidRPr="00720E01">
        <w:rPr>
          <w:lang w:val="fr-CA"/>
        </w:rPr>
        <w:t xml:space="preserve">uples autochtones sur la biodiversité, </w:t>
      </w:r>
      <w:r w:rsidR="003432AA" w:rsidRPr="00720E01">
        <w:rPr>
          <w:lang w:val="fr-CA"/>
        </w:rPr>
        <w:t xml:space="preserve">l’Union internationale pour la conservation de la nature, Nature </w:t>
      </w:r>
      <w:proofErr w:type="spellStart"/>
      <w:r w:rsidR="003432AA" w:rsidRPr="00720E01">
        <w:rPr>
          <w:lang w:val="fr-CA"/>
        </w:rPr>
        <w:t>Conservancy</w:t>
      </w:r>
      <w:proofErr w:type="spellEnd"/>
      <w:r w:rsidR="003432AA" w:rsidRPr="00720E01">
        <w:rPr>
          <w:lang w:val="fr-CA"/>
        </w:rPr>
        <w:t>, la Conférence des</w:t>
      </w:r>
      <w:r w:rsidR="006A2715">
        <w:rPr>
          <w:lang w:val="fr-CA"/>
        </w:rPr>
        <w:t xml:space="preserve"> Nations Unies sur le commerce </w:t>
      </w:r>
      <w:r w:rsidR="003432AA" w:rsidRPr="00720E01">
        <w:rPr>
          <w:lang w:val="fr-CA"/>
        </w:rPr>
        <w:t>et le développement (</w:t>
      </w:r>
      <w:proofErr w:type="spellStart"/>
      <w:r w:rsidR="003432AA" w:rsidRPr="00720E01">
        <w:rPr>
          <w:lang w:val="fr-CA"/>
        </w:rPr>
        <w:t>CNUCED</w:t>
      </w:r>
      <w:proofErr w:type="spellEnd"/>
      <w:r w:rsidR="003432AA" w:rsidRPr="00720E01">
        <w:rPr>
          <w:lang w:val="fr-CA"/>
        </w:rPr>
        <w:t xml:space="preserve">), l’Initiative </w:t>
      </w:r>
      <w:proofErr w:type="spellStart"/>
      <w:r w:rsidR="003432AA" w:rsidRPr="00720E01">
        <w:rPr>
          <w:lang w:val="fr-CA"/>
        </w:rPr>
        <w:t>BioTrade</w:t>
      </w:r>
      <w:proofErr w:type="spellEnd"/>
      <w:r w:rsidR="003432AA" w:rsidRPr="00720E01">
        <w:rPr>
          <w:lang w:val="fr-CA"/>
        </w:rPr>
        <w:t xml:space="preserve"> et ses partenaires, une équipe de chercheurs universitaires de l’Université de la Colombie-Britannique, l’Université Lancaster et </w:t>
      </w:r>
      <w:r w:rsidR="006A2715">
        <w:rPr>
          <w:lang w:val="fr-CA"/>
        </w:rPr>
        <w:t>l’Université Duke, l’I</w:t>
      </w:r>
      <w:r w:rsidR="003432AA" w:rsidRPr="00720E01">
        <w:rPr>
          <w:lang w:val="fr-CA"/>
        </w:rPr>
        <w:t>nitiative de financement de la biodiversité du Programme des Nations Unies pour le développement (</w:t>
      </w:r>
      <w:proofErr w:type="spellStart"/>
      <w:r w:rsidR="003432AA" w:rsidRPr="00720E01">
        <w:rPr>
          <w:lang w:val="fr-CA"/>
        </w:rPr>
        <w:t>BIOFIN</w:t>
      </w:r>
      <w:proofErr w:type="spellEnd"/>
      <w:r w:rsidR="003432AA" w:rsidRPr="00720E01">
        <w:rPr>
          <w:lang w:val="fr-CA"/>
        </w:rPr>
        <w:t>), la Banque mondiale e</w:t>
      </w:r>
      <w:r w:rsidR="00E04C11" w:rsidRPr="00720E01">
        <w:rPr>
          <w:lang w:val="fr-CA"/>
        </w:rPr>
        <w:t xml:space="preserve">t World Wide </w:t>
      </w:r>
      <w:proofErr w:type="spellStart"/>
      <w:r w:rsidR="00E04C11" w:rsidRPr="00720E01">
        <w:rPr>
          <w:lang w:val="fr-CA"/>
        </w:rPr>
        <w:t>Fund</w:t>
      </w:r>
      <w:proofErr w:type="spellEnd"/>
      <w:r w:rsidR="00E04C11" w:rsidRPr="00720E01">
        <w:rPr>
          <w:lang w:val="fr-CA"/>
        </w:rPr>
        <w:t xml:space="preserve"> fo</w:t>
      </w:r>
      <w:r w:rsidR="003432AA" w:rsidRPr="00720E01">
        <w:rPr>
          <w:lang w:val="fr-CA"/>
        </w:rPr>
        <w:t>r Nature</w:t>
      </w:r>
      <w:r w:rsidR="00E04C11" w:rsidRPr="00720E01">
        <w:rPr>
          <w:rStyle w:val="Appelnotedebasdep"/>
        </w:rPr>
        <w:footnoteReference w:id="4"/>
      </w:r>
      <w:r w:rsidR="003432AA" w:rsidRPr="00720E01">
        <w:rPr>
          <w:lang w:val="fr-CA"/>
        </w:rPr>
        <w:t xml:space="preserve">. </w:t>
      </w:r>
      <w:r w:rsidR="00E04C11" w:rsidRPr="00720E01">
        <w:rPr>
          <w:lang w:val="fr-CA"/>
        </w:rPr>
        <w:t>Ces exposés, ainsi que les échanges et le matériel présenté à l’atelier ont contribué de façon significative aux travaux du groupe d’experts</w:t>
      </w:r>
      <w:r w:rsidR="00C72EEF" w:rsidRPr="00720E01">
        <w:rPr>
          <w:lang w:val="fr-CA"/>
        </w:rPr>
        <w:t>.</w:t>
      </w:r>
    </w:p>
    <w:p w14:paraId="74058CB9" w14:textId="00DBF190" w:rsidR="002A7BDC" w:rsidRPr="00720E01" w:rsidRDefault="00594DE7" w:rsidP="00304215">
      <w:pPr>
        <w:pStyle w:val="Para1"/>
        <w:tabs>
          <w:tab w:val="clear" w:pos="360"/>
        </w:tabs>
        <w:rPr>
          <w:lang w:val="fr-CA"/>
        </w:rPr>
      </w:pPr>
      <w:r w:rsidRPr="00720E01">
        <w:rPr>
          <w:lang w:val="fr-CA"/>
        </w:rPr>
        <w:t>La question de la mobilisation des ressources a aussi été abordée lors des réunions du Groupe de travail à composition non limitée sur le cadre mondial de la biodiversité pour l</w:t>
      </w:r>
      <w:r w:rsidR="004C3F94">
        <w:rPr>
          <w:lang w:val="fr-CA"/>
        </w:rPr>
        <w:t>’</w:t>
      </w:r>
      <w:r w:rsidRPr="00720E01">
        <w:rPr>
          <w:lang w:val="fr-CA"/>
        </w:rPr>
        <w:t xml:space="preserve">après-2020. La </w:t>
      </w:r>
      <w:r w:rsidR="00714BAF">
        <w:rPr>
          <w:lang w:val="fr-CA"/>
        </w:rPr>
        <w:t xml:space="preserve">première réunion (Nairobi, 27-30 août 2019) a abordé la </w:t>
      </w:r>
      <w:r w:rsidR="0093059F" w:rsidRPr="00720E01">
        <w:rPr>
          <w:lang w:val="fr-CA"/>
        </w:rPr>
        <w:t>mobilisation des ressources et l’offre de ressources</w:t>
      </w:r>
      <w:r w:rsidR="00714BAF">
        <w:rPr>
          <w:lang w:val="fr-CA"/>
        </w:rPr>
        <w:t xml:space="preserve"> financières</w:t>
      </w:r>
      <w:r w:rsidRPr="00720E01">
        <w:rPr>
          <w:lang w:val="fr-CA"/>
        </w:rPr>
        <w:t xml:space="preserve"> </w:t>
      </w:r>
      <w:r w:rsidR="0093059F" w:rsidRPr="00720E01">
        <w:rPr>
          <w:lang w:val="fr-CA"/>
        </w:rPr>
        <w:t>à inclure</w:t>
      </w:r>
      <w:r w:rsidRPr="00720E01">
        <w:rPr>
          <w:lang w:val="fr-CA"/>
        </w:rPr>
        <w:t xml:space="preserve"> dans le cadre mondial de la biodiversité pour l</w:t>
      </w:r>
      <w:r w:rsidR="004C3F94">
        <w:rPr>
          <w:lang w:val="fr-CA"/>
        </w:rPr>
        <w:t>’</w:t>
      </w:r>
      <w:r w:rsidRPr="00720E01">
        <w:rPr>
          <w:lang w:val="fr-CA"/>
        </w:rPr>
        <w:t>après-2020 en tant que méthode</w:t>
      </w:r>
      <w:r w:rsidR="0093059F" w:rsidRPr="00720E01">
        <w:rPr>
          <w:lang w:val="fr-CA"/>
        </w:rPr>
        <w:t>s</w:t>
      </w:r>
      <w:r w:rsidRPr="00720E01">
        <w:rPr>
          <w:lang w:val="fr-CA"/>
        </w:rPr>
        <w:t xml:space="preserve"> de mise en œuvre et de conditions facilitantes, et il a été suggéré que la facilitation de la mise en œuvre </w:t>
      </w:r>
      <w:r w:rsidR="0093059F" w:rsidRPr="00720E01">
        <w:rPr>
          <w:lang w:val="fr-CA"/>
        </w:rPr>
        <w:t>figure parmi</w:t>
      </w:r>
      <w:r w:rsidRPr="00720E01">
        <w:rPr>
          <w:lang w:val="fr-CA"/>
        </w:rPr>
        <w:t xml:space="preserve"> les objectifs du cadre</w:t>
      </w:r>
      <w:r w:rsidR="005012B8" w:rsidRPr="00720E01">
        <w:rPr>
          <w:rStyle w:val="Appelnotedebasdep"/>
        </w:rPr>
        <w:footnoteReference w:id="5"/>
      </w:r>
      <w:r w:rsidRPr="00720E01">
        <w:rPr>
          <w:lang w:val="fr-CA"/>
        </w:rPr>
        <w:t>.</w:t>
      </w:r>
      <w:r w:rsidR="005012B8" w:rsidRPr="00720E01">
        <w:rPr>
          <w:lang w:val="fr-CA"/>
        </w:rPr>
        <w:t xml:space="preserve"> </w:t>
      </w:r>
      <w:r w:rsidR="001449D2" w:rsidRPr="00720E01">
        <w:rPr>
          <w:lang w:val="fr-CA"/>
        </w:rPr>
        <w:t xml:space="preserve">La </w:t>
      </w:r>
      <w:r w:rsidR="00714BAF">
        <w:rPr>
          <w:lang w:val="fr-CA"/>
        </w:rPr>
        <w:t xml:space="preserve">deuxième réunion </w:t>
      </w:r>
      <w:r w:rsidR="00177208">
        <w:rPr>
          <w:lang w:val="fr-CA"/>
        </w:rPr>
        <w:t>du Groupe de travail à composition non limitée (Rome, 24-29 </w:t>
      </w:r>
      <w:r w:rsidR="00714BAF">
        <w:rPr>
          <w:lang w:val="fr-CA"/>
        </w:rPr>
        <w:t xml:space="preserve">février 2020) a </w:t>
      </w:r>
      <w:r w:rsidR="00177208">
        <w:rPr>
          <w:lang w:val="fr-CA"/>
        </w:rPr>
        <w:t>abordé la question de</w:t>
      </w:r>
      <w:r w:rsidR="00714BAF">
        <w:rPr>
          <w:lang w:val="fr-CA"/>
        </w:rPr>
        <w:t xml:space="preserve"> la </w:t>
      </w:r>
      <w:r w:rsidR="001449D2" w:rsidRPr="00720E01">
        <w:rPr>
          <w:lang w:val="fr-CA"/>
        </w:rPr>
        <w:t>dispo</w:t>
      </w:r>
      <w:r w:rsidR="0093059F" w:rsidRPr="00720E01">
        <w:rPr>
          <w:lang w:val="fr-CA"/>
        </w:rPr>
        <w:t>nibilité de ressources financières adéquates, ainsi que les capacités et la co</w:t>
      </w:r>
      <w:r w:rsidR="001449D2" w:rsidRPr="00720E01">
        <w:rPr>
          <w:lang w:val="fr-CA"/>
        </w:rPr>
        <w:t xml:space="preserve">opération technique en </w:t>
      </w:r>
      <w:r w:rsidR="00177208">
        <w:rPr>
          <w:lang w:val="fr-CA"/>
        </w:rPr>
        <w:t>tant qu’objectif supplémentaire</w:t>
      </w:r>
      <w:r w:rsidR="007B4E29" w:rsidRPr="00720E01">
        <w:rPr>
          <w:lang w:val="fr-CA"/>
        </w:rPr>
        <w:t>.</w:t>
      </w:r>
      <w:r w:rsidR="001449D2" w:rsidRPr="00720E01">
        <w:rPr>
          <w:lang w:val="fr-CA"/>
        </w:rPr>
        <w:t xml:space="preserve"> La Groupe de travail à composition </w:t>
      </w:r>
      <w:r w:rsidR="00177208">
        <w:rPr>
          <w:lang w:val="fr-CA"/>
        </w:rPr>
        <w:t xml:space="preserve">non </w:t>
      </w:r>
      <w:r w:rsidR="001449D2" w:rsidRPr="00720E01">
        <w:rPr>
          <w:lang w:val="fr-CA"/>
        </w:rPr>
        <w:t xml:space="preserve">limitée a aussi discuté de </w:t>
      </w:r>
      <w:r w:rsidR="00C246EA">
        <w:rPr>
          <w:lang w:val="fr-CA"/>
        </w:rPr>
        <w:t xml:space="preserve">la </w:t>
      </w:r>
      <w:r w:rsidR="001449D2" w:rsidRPr="00720E01">
        <w:rPr>
          <w:lang w:val="fr-CA"/>
        </w:rPr>
        <w:t>mobilisation des ressources à sa deuxième réu</w:t>
      </w:r>
      <w:r w:rsidR="00177208">
        <w:rPr>
          <w:lang w:val="fr-CA"/>
        </w:rPr>
        <w:t>nion, au titre de l’objectif 15 </w:t>
      </w:r>
      <w:r w:rsidR="001449D2" w:rsidRPr="00720E01">
        <w:rPr>
          <w:lang w:val="fr-CA"/>
        </w:rPr>
        <w:t>de l’avant-projet du cadre mondial de la biodiversité pour l</w:t>
      </w:r>
      <w:r w:rsidR="004C3F94">
        <w:rPr>
          <w:lang w:val="fr-CA"/>
        </w:rPr>
        <w:t>’</w:t>
      </w:r>
      <w:r w:rsidR="001449D2" w:rsidRPr="00720E01">
        <w:rPr>
          <w:lang w:val="fr-CA"/>
        </w:rPr>
        <w:t>après-2020, et les délibérat</w:t>
      </w:r>
      <w:r w:rsidR="00177208">
        <w:rPr>
          <w:lang w:val="fr-CA"/>
        </w:rPr>
        <w:t>ions et points de vue pertinent</w:t>
      </w:r>
      <w:r w:rsidR="001449D2" w:rsidRPr="00720E01">
        <w:rPr>
          <w:lang w:val="fr-CA"/>
        </w:rPr>
        <w:t>s ont été pris en ligne de compte.</w:t>
      </w:r>
      <w:r w:rsidR="007C7172" w:rsidRPr="00720E01">
        <w:rPr>
          <w:rStyle w:val="Appelnotedebasdep"/>
          <w:lang w:val="fr-CA"/>
        </w:rPr>
        <w:footnoteReference w:id="6"/>
      </w:r>
    </w:p>
    <w:bookmarkEnd w:id="1"/>
    <w:p w14:paraId="6CFD915C" w14:textId="1ABBDF22" w:rsidR="000F6B1C" w:rsidRPr="00720E01" w:rsidRDefault="007652F3" w:rsidP="00304215">
      <w:pPr>
        <w:pStyle w:val="Para1"/>
        <w:tabs>
          <w:tab w:val="clear" w:pos="360"/>
        </w:tabs>
        <w:rPr>
          <w:lang w:val="fr-CA"/>
        </w:rPr>
      </w:pPr>
      <w:r w:rsidRPr="00720E01">
        <w:rPr>
          <w:lang w:val="fr-CA"/>
        </w:rPr>
        <w:t>L’Organe subsidiaire</w:t>
      </w:r>
      <w:r w:rsidR="00177208">
        <w:rPr>
          <w:lang w:val="fr-CA"/>
        </w:rPr>
        <w:t xml:space="preserve"> chargé de l’application,</w:t>
      </w:r>
      <w:r w:rsidRPr="00720E01">
        <w:rPr>
          <w:lang w:val="fr-CA"/>
        </w:rPr>
        <w:t xml:space="preserve"> à sa troisième réunion, pourrait souhaiter prendre note et examiner les renseignements et les analyses </w:t>
      </w:r>
      <w:r w:rsidR="00906338" w:rsidRPr="00720E01">
        <w:rPr>
          <w:lang w:val="fr-CA"/>
        </w:rPr>
        <w:t>présentés</w:t>
      </w:r>
      <w:r w:rsidRPr="00720E01">
        <w:rPr>
          <w:lang w:val="fr-CA"/>
        </w:rPr>
        <w:t xml:space="preserve"> dans les documents</w:t>
      </w:r>
      <w:r w:rsidR="00D71250" w:rsidRPr="00720E01">
        <w:rPr>
          <w:lang w:val="fr-CA"/>
        </w:rPr>
        <w:t xml:space="preserve"> </w:t>
      </w:r>
      <w:bookmarkStart w:id="2" w:name="_Hlk33554910"/>
      <w:r w:rsidR="00D71250" w:rsidRPr="00720E01">
        <w:rPr>
          <w:lang w:val="fr-CA"/>
        </w:rPr>
        <w:t>CBD/</w:t>
      </w:r>
      <w:proofErr w:type="spellStart"/>
      <w:r w:rsidR="00D71250" w:rsidRPr="00720E01">
        <w:rPr>
          <w:lang w:val="fr-CA"/>
        </w:rPr>
        <w:t>SBI</w:t>
      </w:r>
      <w:proofErr w:type="spellEnd"/>
      <w:r w:rsidR="00D71250" w:rsidRPr="00720E01">
        <w:rPr>
          <w:lang w:val="fr-CA"/>
        </w:rPr>
        <w:t>/3/5/Add.1</w:t>
      </w:r>
      <w:r w:rsidR="0016415F" w:rsidRPr="00720E01">
        <w:rPr>
          <w:lang w:val="fr-CA"/>
        </w:rPr>
        <w:t xml:space="preserve"> </w:t>
      </w:r>
      <w:bookmarkEnd w:id="2"/>
      <w:r w:rsidRPr="00720E01">
        <w:rPr>
          <w:lang w:val="fr-CA"/>
        </w:rPr>
        <w:t>à</w:t>
      </w:r>
      <w:r w:rsidR="00D71250" w:rsidRPr="00720E01">
        <w:rPr>
          <w:lang w:val="fr-CA"/>
        </w:rPr>
        <w:t xml:space="preserve"> Add.</w:t>
      </w:r>
      <w:r w:rsidR="00DA67FA" w:rsidRPr="00720E01">
        <w:rPr>
          <w:lang w:val="fr-CA"/>
        </w:rPr>
        <w:t>3</w:t>
      </w:r>
      <w:r w:rsidRPr="00720E01">
        <w:rPr>
          <w:lang w:val="fr-CA"/>
        </w:rPr>
        <w:t xml:space="preserve"> à ce point de l’ordre du jour. L’Organe subsidiaire pourrait é</w:t>
      </w:r>
      <w:r w:rsidR="00906338" w:rsidRPr="00720E01">
        <w:rPr>
          <w:lang w:val="fr-CA"/>
        </w:rPr>
        <w:t>g</w:t>
      </w:r>
      <w:r w:rsidRPr="00720E01">
        <w:rPr>
          <w:lang w:val="fr-CA"/>
        </w:rPr>
        <w:t xml:space="preserve">alement </w:t>
      </w:r>
      <w:r w:rsidR="00177208">
        <w:rPr>
          <w:lang w:val="fr-CA"/>
        </w:rPr>
        <w:t>s’attarder sur</w:t>
      </w:r>
      <w:r w:rsidRPr="00720E01">
        <w:rPr>
          <w:lang w:val="fr-CA"/>
        </w:rPr>
        <w:t xml:space="preserve"> la contribution du groupe d’experts au projet d’élément de mobilisation des ressources du cadre mondial de la biodiversité pour l</w:t>
      </w:r>
      <w:r w:rsidR="004C3F94">
        <w:rPr>
          <w:lang w:val="fr-CA"/>
        </w:rPr>
        <w:t>’</w:t>
      </w:r>
      <w:r w:rsidRPr="00720E01">
        <w:rPr>
          <w:lang w:val="fr-CA"/>
        </w:rPr>
        <w:t>après-2020 reflétée dans le projet de recommandation présenté dans la partie IV ci-dessous, comme base pour sa recommandation au Gro</w:t>
      </w:r>
      <w:r w:rsidR="00906338" w:rsidRPr="00720E01">
        <w:rPr>
          <w:lang w:val="fr-CA"/>
        </w:rPr>
        <w:t>upe de travai</w:t>
      </w:r>
      <w:r w:rsidRPr="00720E01">
        <w:rPr>
          <w:lang w:val="fr-CA"/>
        </w:rPr>
        <w:t>l à composition non limitée sur le cadre mondial de la biodiversité pour l</w:t>
      </w:r>
      <w:r w:rsidR="004C3F94">
        <w:rPr>
          <w:lang w:val="fr-CA"/>
        </w:rPr>
        <w:t>’</w:t>
      </w:r>
      <w:r w:rsidRPr="00720E01">
        <w:rPr>
          <w:lang w:val="fr-CA"/>
        </w:rPr>
        <w:t xml:space="preserve">après-2020 à sa troisième réunion, et </w:t>
      </w:r>
      <w:r w:rsidR="00906338" w:rsidRPr="00720E01">
        <w:rPr>
          <w:lang w:val="fr-CA"/>
        </w:rPr>
        <w:t>à la Conf</w:t>
      </w:r>
      <w:r w:rsidRPr="00720E01">
        <w:rPr>
          <w:lang w:val="fr-CA"/>
        </w:rPr>
        <w:t xml:space="preserve">érence des </w:t>
      </w:r>
      <w:r w:rsidR="00906338" w:rsidRPr="00720E01">
        <w:rPr>
          <w:lang w:val="fr-CA"/>
        </w:rPr>
        <w:t>Parties</w:t>
      </w:r>
      <w:r w:rsidRPr="00720E01">
        <w:rPr>
          <w:lang w:val="fr-CA"/>
        </w:rPr>
        <w:t xml:space="preserve"> </w:t>
      </w:r>
      <w:r w:rsidR="00906338" w:rsidRPr="00720E01">
        <w:rPr>
          <w:lang w:val="fr-CA"/>
        </w:rPr>
        <w:t>à sa qui</w:t>
      </w:r>
      <w:r w:rsidRPr="00720E01">
        <w:rPr>
          <w:lang w:val="fr-CA"/>
        </w:rPr>
        <w:t>nzième réunion.</w:t>
      </w:r>
    </w:p>
    <w:p w14:paraId="54531A31" w14:textId="54392F16" w:rsidR="00114E0B" w:rsidRPr="00720E01" w:rsidRDefault="00906338" w:rsidP="00304215">
      <w:pPr>
        <w:pStyle w:val="Para1"/>
        <w:tabs>
          <w:tab w:val="clear" w:pos="360"/>
        </w:tabs>
        <w:rPr>
          <w:lang w:val="fr-CA"/>
        </w:rPr>
      </w:pPr>
      <w:r w:rsidRPr="00720E01">
        <w:rPr>
          <w:lang w:val="fr-CA"/>
        </w:rPr>
        <w:t>La pandémie de la COVID-19 et les politiques qui en découlent ont mis en évidence l’importance de mieux comprendre le lien entre la biodiversité et la santé humaine</w:t>
      </w:r>
      <w:r w:rsidR="00B56961">
        <w:rPr>
          <w:lang w:val="fr-CA"/>
        </w:rPr>
        <w:t>,</w:t>
      </w:r>
      <w:r w:rsidRPr="00720E01">
        <w:rPr>
          <w:lang w:val="fr-CA"/>
        </w:rPr>
        <w:t xml:space="preserve"> afin </w:t>
      </w:r>
      <w:r w:rsidR="00B56961">
        <w:rPr>
          <w:lang w:val="fr-CA"/>
        </w:rPr>
        <w:t>d’exploiter</w:t>
      </w:r>
      <w:r w:rsidRPr="00720E01">
        <w:rPr>
          <w:lang w:val="fr-CA"/>
        </w:rPr>
        <w:t xml:space="preserve"> la synergie possible </w:t>
      </w:r>
      <w:r w:rsidR="00B56961">
        <w:rPr>
          <w:lang w:val="fr-CA"/>
        </w:rPr>
        <w:t>entre les</w:t>
      </w:r>
      <w:r w:rsidRPr="00720E01">
        <w:rPr>
          <w:lang w:val="fr-CA"/>
        </w:rPr>
        <w:t xml:space="preserve"> politiques. Les </w:t>
      </w:r>
      <w:r w:rsidR="00016729" w:rsidRPr="00720E01">
        <w:rPr>
          <w:lang w:val="fr-CA"/>
        </w:rPr>
        <w:t xml:space="preserve">plans de relance économique proposés à l’heure actuelle comportent à la fois des difficultés et des occasions </w:t>
      </w:r>
      <w:r w:rsidR="00B56961">
        <w:rPr>
          <w:lang w:val="fr-CA"/>
        </w:rPr>
        <w:t>concernant le</w:t>
      </w:r>
      <w:r w:rsidR="00016729" w:rsidRPr="00720E01">
        <w:rPr>
          <w:lang w:val="fr-CA"/>
        </w:rPr>
        <w:t xml:space="preserve"> financement de la biodiversité : des difficultés quant aux exercices </w:t>
      </w:r>
      <w:r w:rsidR="00016729" w:rsidRPr="00720E01">
        <w:rPr>
          <w:lang w:val="fr-CA"/>
        </w:rPr>
        <w:lastRenderedPageBreak/>
        <w:t>de rétablissement des priorités à cause de la rareté des fonds publics et des occasions associés à la nécessité, reconnue à grande échelle, de «</w:t>
      </w:r>
      <w:r w:rsidR="004C3F94">
        <w:rPr>
          <w:lang w:val="fr-CA"/>
        </w:rPr>
        <w:t> </w:t>
      </w:r>
      <w:r w:rsidR="00016729" w:rsidRPr="00720E01">
        <w:rPr>
          <w:lang w:val="fr-CA"/>
        </w:rPr>
        <w:t>bâtir mieux ». Des politiques seront nécessaires afin de minimiser les difficultés et de maximiser les occasions</w:t>
      </w:r>
      <w:r w:rsidR="00B56961">
        <w:rPr>
          <w:lang w:val="fr-CA"/>
        </w:rPr>
        <w:t>.</w:t>
      </w:r>
    </w:p>
    <w:p w14:paraId="7DCFDB24" w14:textId="0072BE49" w:rsidR="00084813" w:rsidRPr="00720E01" w:rsidRDefault="00084813" w:rsidP="00304215">
      <w:pPr>
        <w:pStyle w:val="Titre1"/>
        <w:suppressLineNumbers/>
        <w:tabs>
          <w:tab w:val="clear" w:pos="720"/>
        </w:tabs>
        <w:suppressAutoHyphens/>
        <w:kinsoku w:val="0"/>
        <w:overflowPunct w:val="0"/>
        <w:autoSpaceDE w:val="0"/>
        <w:autoSpaceDN w:val="0"/>
        <w:adjustRightInd w:val="0"/>
        <w:snapToGrid w:val="0"/>
        <w:spacing w:line="235" w:lineRule="auto"/>
        <w:rPr>
          <w:kern w:val="22"/>
          <w:szCs w:val="22"/>
          <w:lang w:val="fr-CA"/>
        </w:rPr>
      </w:pPr>
      <w:r w:rsidRPr="00720E01">
        <w:rPr>
          <w:kern w:val="22"/>
          <w:szCs w:val="22"/>
          <w:lang w:val="fr-CA"/>
        </w:rPr>
        <w:t>II</w:t>
      </w:r>
      <w:r w:rsidR="00E50959" w:rsidRPr="00720E01">
        <w:rPr>
          <w:kern w:val="22"/>
          <w:szCs w:val="22"/>
          <w:lang w:val="fr-CA"/>
        </w:rPr>
        <w:t>I</w:t>
      </w:r>
      <w:r w:rsidRPr="00720E01">
        <w:rPr>
          <w:kern w:val="22"/>
          <w:szCs w:val="22"/>
          <w:lang w:val="fr-CA"/>
        </w:rPr>
        <w:t>.</w:t>
      </w:r>
      <w:r w:rsidRPr="00720E01">
        <w:rPr>
          <w:kern w:val="22"/>
          <w:szCs w:val="22"/>
          <w:lang w:val="fr-CA"/>
        </w:rPr>
        <w:tab/>
      </w:r>
      <w:r w:rsidR="008D1A71" w:rsidRPr="00720E01">
        <w:rPr>
          <w:kern w:val="22"/>
          <w:szCs w:val="22"/>
          <w:lang w:val="fr-CA"/>
        </w:rPr>
        <w:t xml:space="preserve">RAPPORT </w:t>
      </w:r>
      <w:r w:rsidR="00B56961">
        <w:rPr>
          <w:kern w:val="22"/>
          <w:szCs w:val="22"/>
          <w:lang w:val="fr-CA"/>
        </w:rPr>
        <w:t>D’AVANCEMENT</w:t>
      </w:r>
      <w:r w:rsidR="008D1A71" w:rsidRPr="00720E01">
        <w:rPr>
          <w:kern w:val="22"/>
          <w:szCs w:val="22"/>
          <w:lang w:val="fr-CA"/>
        </w:rPr>
        <w:t xml:space="preserve"> SUR LES AUTRES ÉLÉMENTS DE LA DÉCISION</w:t>
      </w:r>
      <w:r w:rsidR="005B3975" w:rsidRPr="00720E01">
        <w:rPr>
          <w:kern w:val="22"/>
          <w:szCs w:val="22"/>
          <w:lang w:val="fr-CA"/>
        </w:rPr>
        <w:t> 14/22</w:t>
      </w:r>
    </w:p>
    <w:p w14:paraId="2A16E2C0" w14:textId="2D9C9942" w:rsidR="00084813" w:rsidRPr="00720E01" w:rsidRDefault="001F34BD" w:rsidP="00B0045F">
      <w:pPr>
        <w:pStyle w:val="Titre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fr-CA"/>
        </w:rPr>
      </w:pPr>
      <w:bookmarkStart w:id="3" w:name="_Hlk32508620"/>
      <w:r>
        <w:rPr>
          <w:snapToGrid w:val="0"/>
          <w:kern w:val="22"/>
          <w:szCs w:val="22"/>
          <w:lang w:val="fr-CA"/>
        </w:rPr>
        <w:t>Cadre de présentation des rapports financiers</w:t>
      </w:r>
    </w:p>
    <w:bookmarkEnd w:id="3"/>
    <w:p w14:paraId="1347466B" w14:textId="084D8C3E" w:rsidR="00FB5BCF" w:rsidRPr="00720E01" w:rsidRDefault="008D1A71" w:rsidP="00304215">
      <w:pPr>
        <w:pStyle w:val="Para1"/>
        <w:tabs>
          <w:tab w:val="clear" w:pos="360"/>
        </w:tabs>
        <w:rPr>
          <w:kern w:val="22"/>
          <w:lang w:val="fr-CA"/>
        </w:rPr>
      </w:pPr>
      <w:r w:rsidRPr="00720E01">
        <w:rPr>
          <w:kern w:val="22"/>
          <w:lang w:val="fr-CA"/>
        </w:rPr>
        <w:t>Au</w:t>
      </w:r>
      <w:r w:rsidR="004C3F94">
        <w:rPr>
          <w:kern w:val="22"/>
          <w:lang w:val="fr-CA"/>
        </w:rPr>
        <w:t>x</w:t>
      </w:r>
      <w:r w:rsidRPr="00720E01">
        <w:rPr>
          <w:kern w:val="22"/>
          <w:lang w:val="fr-CA"/>
        </w:rPr>
        <w:t xml:space="preserve"> paragraphes 1 et 3 de la décision 14/22, la Conférence des Parties, à sa quatorzième réunion, a pris note avec sa</w:t>
      </w:r>
      <w:r w:rsidR="00834030" w:rsidRPr="00720E01">
        <w:rPr>
          <w:kern w:val="22"/>
          <w:lang w:val="fr-CA"/>
        </w:rPr>
        <w:t>tisfaction des informations pré</w:t>
      </w:r>
      <w:r w:rsidRPr="00720E01">
        <w:rPr>
          <w:kern w:val="22"/>
          <w:lang w:val="fr-CA"/>
        </w:rPr>
        <w:t xml:space="preserve">sentées par </w:t>
      </w:r>
      <w:r w:rsidR="00834030" w:rsidRPr="00720E01">
        <w:rPr>
          <w:kern w:val="22"/>
          <w:lang w:val="fr-CA"/>
        </w:rPr>
        <w:t>l</w:t>
      </w:r>
      <w:r w:rsidRPr="00720E01">
        <w:rPr>
          <w:kern w:val="22"/>
          <w:lang w:val="fr-CA"/>
        </w:rPr>
        <w:t>es Parties par le biais du cadre de présentation des rap</w:t>
      </w:r>
      <w:r w:rsidR="00834030" w:rsidRPr="00720E01">
        <w:rPr>
          <w:kern w:val="22"/>
          <w:lang w:val="fr-CA"/>
        </w:rPr>
        <w:t>p</w:t>
      </w:r>
      <w:r w:rsidRPr="00720E01">
        <w:rPr>
          <w:kern w:val="22"/>
          <w:lang w:val="fr-CA"/>
        </w:rPr>
        <w:t xml:space="preserve">orts financiers et a exhorté les Parties à faire rapport, </w:t>
      </w:r>
      <w:r w:rsidR="00834030" w:rsidRPr="00720E01">
        <w:rPr>
          <w:kern w:val="22"/>
          <w:lang w:val="fr-CA"/>
        </w:rPr>
        <w:t>à l’aide du cadre de présentation des rapports financiers en ligne, sur leur future contribution aux efforts collectifs déployés pour atteindre les objectifs mondiaux de mobilisation des ressources, au regard du niveau de référence établi, en même temps que leurs sixièmes rapports nationaux, avant le 31 décembre 2018</w:t>
      </w:r>
      <w:r w:rsidR="005260D1" w:rsidRPr="00720E01">
        <w:rPr>
          <w:kern w:val="22"/>
          <w:lang w:val="fr-CA"/>
        </w:rPr>
        <w:t>.</w:t>
      </w:r>
    </w:p>
    <w:p w14:paraId="3A4D6A58" w14:textId="1E7363BF" w:rsidR="005260D1" w:rsidRPr="00720E01" w:rsidRDefault="00834030" w:rsidP="00304215">
      <w:pPr>
        <w:pStyle w:val="Para1"/>
        <w:tabs>
          <w:tab w:val="clear" w:pos="360"/>
        </w:tabs>
        <w:rPr>
          <w:lang w:val="fr-CA"/>
        </w:rPr>
      </w:pPr>
      <w:r w:rsidRPr="00720E01">
        <w:rPr>
          <w:kern w:val="22"/>
          <w:lang w:val="fr-CA"/>
        </w:rPr>
        <w:t>Q</w:t>
      </w:r>
      <w:r w:rsidR="001D7151" w:rsidRPr="00720E01">
        <w:rPr>
          <w:kern w:val="22"/>
          <w:lang w:val="fr-CA"/>
        </w:rPr>
        <w:t>uatre</w:t>
      </w:r>
      <w:r w:rsidRPr="00720E01">
        <w:rPr>
          <w:kern w:val="22"/>
          <w:lang w:val="fr-CA"/>
        </w:rPr>
        <w:t xml:space="preserve"> nouveaux exposés,</w:t>
      </w:r>
      <w:r w:rsidR="001D7151" w:rsidRPr="00720E01">
        <w:rPr>
          <w:kern w:val="22"/>
          <w:lang w:val="fr-CA"/>
        </w:rPr>
        <w:t xml:space="preserve"> comprenant des informations sur les </w:t>
      </w:r>
      <w:r w:rsidRPr="00720E01">
        <w:rPr>
          <w:kern w:val="22"/>
          <w:lang w:val="fr-CA"/>
        </w:rPr>
        <w:t xml:space="preserve">valeurs de </w:t>
      </w:r>
      <w:r w:rsidR="001D7151" w:rsidRPr="00720E01">
        <w:rPr>
          <w:kern w:val="22"/>
          <w:lang w:val="fr-CA"/>
        </w:rPr>
        <w:t>réfé</w:t>
      </w:r>
      <w:r w:rsidRPr="00720E01">
        <w:rPr>
          <w:kern w:val="22"/>
          <w:lang w:val="fr-CA"/>
        </w:rPr>
        <w:t xml:space="preserve">rence </w:t>
      </w:r>
      <w:r w:rsidR="001D7151" w:rsidRPr="00720E01">
        <w:rPr>
          <w:kern w:val="22"/>
          <w:lang w:val="fr-CA"/>
        </w:rPr>
        <w:t>et le</w:t>
      </w:r>
      <w:r w:rsidRPr="00720E01">
        <w:rPr>
          <w:kern w:val="22"/>
          <w:lang w:val="fr-CA"/>
        </w:rPr>
        <w:t>s</w:t>
      </w:r>
      <w:r w:rsidR="001D7151" w:rsidRPr="00720E01">
        <w:rPr>
          <w:kern w:val="22"/>
          <w:lang w:val="fr-CA"/>
        </w:rPr>
        <w:t xml:space="preserve"> </w:t>
      </w:r>
      <w:r w:rsidRPr="00720E01">
        <w:rPr>
          <w:kern w:val="22"/>
          <w:lang w:val="fr-CA"/>
        </w:rPr>
        <w:t xml:space="preserve">progrès </w:t>
      </w:r>
      <w:r w:rsidR="001D7151" w:rsidRPr="00720E01">
        <w:rPr>
          <w:kern w:val="22"/>
          <w:lang w:val="fr-CA"/>
        </w:rPr>
        <w:t>accomplis</w:t>
      </w:r>
      <w:r w:rsidRPr="00720E01">
        <w:rPr>
          <w:kern w:val="22"/>
          <w:lang w:val="fr-CA"/>
        </w:rPr>
        <w:t xml:space="preserve"> jusqu’en 2015</w:t>
      </w:r>
      <w:r w:rsidR="001F34BD">
        <w:rPr>
          <w:kern w:val="22"/>
          <w:lang w:val="fr-CA"/>
        </w:rPr>
        <w:t>,</w:t>
      </w:r>
      <w:r w:rsidR="001D7151" w:rsidRPr="00720E01">
        <w:rPr>
          <w:kern w:val="22"/>
          <w:lang w:val="fr-CA"/>
        </w:rPr>
        <w:t xml:space="preserve"> ont été soumis entre le 5 septembre 2018, la date limite de l’analyse soumise à la Conférence des Parties à sa quatorzième réunion</w:t>
      </w:r>
      <w:r w:rsidR="001F34BD">
        <w:rPr>
          <w:kern w:val="22"/>
          <w:lang w:val="fr-CA"/>
        </w:rPr>
        <w:t>,</w:t>
      </w:r>
      <w:r w:rsidR="001D7151" w:rsidRPr="00720E01">
        <w:rPr>
          <w:kern w:val="22"/>
          <w:lang w:val="fr-CA"/>
        </w:rPr>
        <w:t xml:space="preserve"> et le 10 mars 2020</w:t>
      </w:r>
      <w:r w:rsidRPr="00720E01">
        <w:rPr>
          <w:kern w:val="22"/>
          <w:lang w:val="fr-CA"/>
        </w:rPr>
        <w:t xml:space="preserve">, et </w:t>
      </w:r>
      <w:r w:rsidR="00B34D58" w:rsidRPr="00720E01">
        <w:rPr>
          <w:kern w:val="22"/>
          <w:lang w:val="fr-CA"/>
        </w:rPr>
        <w:t xml:space="preserve">certaines Parties ont également proposé </w:t>
      </w:r>
      <w:r w:rsidRPr="00720E01">
        <w:rPr>
          <w:kern w:val="22"/>
          <w:lang w:val="fr-CA"/>
        </w:rPr>
        <w:t xml:space="preserve">des informations </w:t>
      </w:r>
      <w:r w:rsidR="001D7151" w:rsidRPr="00720E01">
        <w:rPr>
          <w:kern w:val="22"/>
          <w:lang w:val="fr-CA"/>
        </w:rPr>
        <w:t xml:space="preserve">à jour sur les </w:t>
      </w:r>
      <w:r w:rsidRPr="00720E01">
        <w:rPr>
          <w:kern w:val="22"/>
          <w:lang w:val="fr-CA"/>
        </w:rPr>
        <w:t>valeurs de référence</w:t>
      </w:r>
      <w:r w:rsidR="001D7151" w:rsidRPr="00720E01">
        <w:rPr>
          <w:kern w:val="22"/>
          <w:lang w:val="fr-CA"/>
        </w:rPr>
        <w:t xml:space="preserve"> et les progrès accomplis jusqu’en 2015</w:t>
      </w:r>
      <w:r w:rsidR="00B34D58" w:rsidRPr="00720E01">
        <w:rPr>
          <w:kern w:val="22"/>
          <w:lang w:val="fr-CA"/>
        </w:rPr>
        <w:t>.</w:t>
      </w:r>
      <w:r w:rsidR="000C5964" w:rsidRPr="00720E01">
        <w:rPr>
          <w:rStyle w:val="Appelnotedebasdep"/>
          <w:kern w:val="22"/>
          <w:lang w:val="fr-CA"/>
        </w:rPr>
        <w:footnoteReference w:id="7"/>
      </w:r>
      <w:r w:rsidR="00DF12B6" w:rsidRPr="00720E01">
        <w:rPr>
          <w:kern w:val="22"/>
          <w:lang w:val="fr-CA"/>
        </w:rPr>
        <w:t xml:space="preserve"> </w:t>
      </w:r>
      <w:r w:rsidR="00B34D58" w:rsidRPr="00720E01">
        <w:rPr>
          <w:kern w:val="22"/>
          <w:lang w:val="fr-CA"/>
        </w:rPr>
        <w:t xml:space="preserve">Au total, </w:t>
      </w:r>
      <w:r w:rsidR="001F34BD">
        <w:rPr>
          <w:kern w:val="22"/>
          <w:lang w:val="fr-CA"/>
        </w:rPr>
        <w:t>17 P</w:t>
      </w:r>
      <w:r w:rsidR="0055491E" w:rsidRPr="00720E01">
        <w:rPr>
          <w:kern w:val="22"/>
          <w:lang w:val="fr-CA"/>
        </w:rPr>
        <w:t>arties ont fait état de plus amples progrès jusqu’en 2020 lors de la deuxième ronde des rapports</w:t>
      </w:r>
      <w:r w:rsidR="001F34BD">
        <w:rPr>
          <w:kern w:val="22"/>
          <w:lang w:val="fr-CA"/>
        </w:rPr>
        <w:t>,</w:t>
      </w:r>
      <w:r w:rsidR="0055491E" w:rsidRPr="00720E01">
        <w:rPr>
          <w:kern w:val="22"/>
          <w:lang w:val="fr-CA"/>
        </w:rPr>
        <w:t xml:space="preserve"> et 81 Parties ont transmis des informations grâce au cadre de présentation des rapports financiers. Une analyse à jour des cadres soumis est proposée dans le document </w:t>
      </w:r>
      <w:r w:rsidR="00CE3587" w:rsidRPr="00720E01">
        <w:rPr>
          <w:kern w:val="22"/>
          <w:lang w:val="fr-CA"/>
        </w:rPr>
        <w:t>CBD/3/5/Add.1.</w:t>
      </w:r>
    </w:p>
    <w:p w14:paraId="1AA22957" w14:textId="4CC2F981" w:rsidR="00084813" w:rsidRPr="00720E01" w:rsidRDefault="0055491E" w:rsidP="00B0045F">
      <w:pPr>
        <w:pStyle w:val="Titre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fr-CA"/>
        </w:rPr>
      </w:pPr>
      <w:bookmarkStart w:id="4" w:name="_Hlk34323181"/>
      <w:r w:rsidRPr="00720E01">
        <w:rPr>
          <w:snapToGrid w:val="0"/>
          <w:kern w:val="22"/>
          <w:szCs w:val="22"/>
          <w:lang w:val="fr-CA"/>
        </w:rPr>
        <w:t>Renforcement des capacités et soutien technique</w:t>
      </w:r>
    </w:p>
    <w:p w14:paraId="04E5CDFB" w14:textId="03FE0A65" w:rsidR="00B33C43" w:rsidRPr="00720E01" w:rsidRDefault="0055491E" w:rsidP="00304215">
      <w:pPr>
        <w:pStyle w:val="Para1"/>
        <w:tabs>
          <w:tab w:val="clear" w:pos="360"/>
        </w:tabs>
        <w:rPr>
          <w:kern w:val="22"/>
          <w:szCs w:val="22"/>
          <w:lang w:val="fr-CA"/>
        </w:rPr>
      </w:pPr>
      <w:r w:rsidRPr="00720E01">
        <w:rPr>
          <w:kern w:val="22"/>
          <w:szCs w:val="22"/>
          <w:lang w:val="fr-CA"/>
        </w:rPr>
        <w:t xml:space="preserve">Au paragraphe 4 de la décision 14/22, la Conférence des Parties a invité </w:t>
      </w:r>
      <w:r w:rsidR="00271552" w:rsidRPr="00720E01">
        <w:rPr>
          <w:kern w:val="22"/>
          <w:szCs w:val="22"/>
          <w:lang w:val="fr-CA"/>
        </w:rPr>
        <w:t>l’Initiative pour le financement de la biodiversité du Programme des Nations Unies pour le développement (</w:t>
      </w:r>
      <w:proofErr w:type="spellStart"/>
      <w:r w:rsidR="00271552" w:rsidRPr="00720E01">
        <w:rPr>
          <w:kern w:val="22"/>
          <w:szCs w:val="22"/>
          <w:lang w:val="fr-CA"/>
        </w:rPr>
        <w:t>BIOFIN</w:t>
      </w:r>
      <w:proofErr w:type="spellEnd"/>
      <w:r w:rsidR="00271552" w:rsidRPr="00720E01">
        <w:rPr>
          <w:kern w:val="22"/>
          <w:szCs w:val="22"/>
          <w:lang w:val="fr-CA"/>
        </w:rPr>
        <w:t xml:space="preserve">) </w:t>
      </w:r>
      <w:r w:rsidRPr="00720E01">
        <w:rPr>
          <w:kern w:val="22"/>
          <w:szCs w:val="22"/>
          <w:lang w:val="fr-CA"/>
        </w:rPr>
        <w:t>et autres programmes et initiatives semblables à fournir</w:t>
      </w:r>
      <w:r w:rsidR="00271552" w:rsidRPr="00720E01">
        <w:rPr>
          <w:kern w:val="22"/>
          <w:szCs w:val="22"/>
          <w:lang w:val="fr-CA"/>
        </w:rPr>
        <w:t xml:space="preserve"> un soutien financier et technique et un renforcement des capacités supplémentaire aux pays en développeme</w:t>
      </w:r>
      <w:r w:rsidR="00F5171D">
        <w:rPr>
          <w:kern w:val="22"/>
          <w:szCs w:val="22"/>
          <w:lang w:val="fr-CA"/>
        </w:rPr>
        <w:t>nt intéressés à participer à l’I</w:t>
      </w:r>
      <w:r w:rsidR="00271552" w:rsidRPr="00720E01">
        <w:rPr>
          <w:kern w:val="22"/>
          <w:szCs w:val="22"/>
          <w:lang w:val="fr-CA"/>
        </w:rPr>
        <w:t>nitiative</w:t>
      </w:r>
      <w:r w:rsidR="00B33C43" w:rsidRPr="00720E01">
        <w:rPr>
          <w:kern w:val="22"/>
          <w:szCs w:val="22"/>
          <w:lang w:val="fr-CA"/>
        </w:rPr>
        <w:t>.</w:t>
      </w:r>
    </w:p>
    <w:p w14:paraId="5A18AAEC" w14:textId="4CDC5AC2" w:rsidR="00084813" w:rsidRPr="00720E01" w:rsidRDefault="00271552" w:rsidP="00304215">
      <w:pPr>
        <w:pStyle w:val="Para1"/>
        <w:tabs>
          <w:tab w:val="clear" w:pos="360"/>
        </w:tabs>
        <w:rPr>
          <w:kern w:val="22"/>
          <w:szCs w:val="22"/>
          <w:lang w:val="fr-CA"/>
        </w:rPr>
      </w:pPr>
      <w:proofErr w:type="spellStart"/>
      <w:r w:rsidRPr="00720E01">
        <w:rPr>
          <w:kern w:val="22"/>
          <w:szCs w:val="22"/>
          <w:lang w:val="fr-CA"/>
        </w:rPr>
        <w:t>BIOFIN</w:t>
      </w:r>
      <w:proofErr w:type="spellEnd"/>
      <w:r w:rsidRPr="00720E01">
        <w:rPr>
          <w:kern w:val="22"/>
          <w:szCs w:val="22"/>
          <w:lang w:val="fr-CA"/>
        </w:rPr>
        <w:t xml:space="preserve"> a lancé sa phase II au cours de la période à l’étude, et 27 pays </w:t>
      </w:r>
      <w:r w:rsidR="007B1E16" w:rsidRPr="00720E01">
        <w:rPr>
          <w:kern w:val="22"/>
          <w:szCs w:val="22"/>
          <w:lang w:val="fr-CA"/>
        </w:rPr>
        <w:t>sont fin prêts à mettre en œuvre 106 solutions de financement de la biodiversité afin d’obtenir des résultats de financement tangibles. Cinq nouveaux pays ont commenc</w:t>
      </w:r>
      <w:r w:rsidR="00296A8E" w:rsidRPr="00720E01">
        <w:rPr>
          <w:kern w:val="22"/>
          <w:szCs w:val="22"/>
          <w:lang w:val="fr-CA"/>
        </w:rPr>
        <w:t>é</w:t>
      </w:r>
      <w:r w:rsidR="007B1E16" w:rsidRPr="00720E01">
        <w:rPr>
          <w:kern w:val="22"/>
          <w:szCs w:val="22"/>
          <w:lang w:val="fr-CA"/>
        </w:rPr>
        <w:t xml:space="preserve"> à </w:t>
      </w:r>
      <w:r w:rsidR="00296A8E" w:rsidRPr="00720E01">
        <w:rPr>
          <w:kern w:val="22"/>
          <w:szCs w:val="22"/>
          <w:lang w:val="fr-CA"/>
        </w:rPr>
        <w:t xml:space="preserve">appliquer </w:t>
      </w:r>
      <w:r w:rsidR="007B1E16" w:rsidRPr="00720E01">
        <w:rPr>
          <w:kern w:val="22"/>
          <w:szCs w:val="22"/>
          <w:lang w:val="fr-CA"/>
        </w:rPr>
        <w:t xml:space="preserve">la méthode </w:t>
      </w:r>
      <w:proofErr w:type="spellStart"/>
      <w:r w:rsidR="007B1E16" w:rsidRPr="00720E01">
        <w:rPr>
          <w:kern w:val="22"/>
          <w:szCs w:val="22"/>
          <w:lang w:val="fr-CA"/>
        </w:rPr>
        <w:t>BIOFIN</w:t>
      </w:r>
      <w:proofErr w:type="spellEnd"/>
      <w:r w:rsidR="007B1E16" w:rsidRPr="00720E01">
        <w:rPr>
          <w:kern w:val="22"/>
          <w:szCs w:val="22"/>
          <w:lang w:val="fr-CA"/>
        </w:rPr>
        <w:t>. L’équip</w:t>
      </w:r>
      <w:r w:rsidR="00296A8E" w:rsidRPr="00720E01">
        <w:rPr>
          <w:kern w:val="22"/>
          <w:szCs w:val="22"/>
          <w:lang w:val="fr-CA"/>
        </w:rPr>
        <w:t>e</w:t>
      </w:r>
      <w:r w:rsidR="007B1E16" w:rsidRPr="00720E01">
        <w:rPr>
          <w:kern w:val="22"/>
          <w:szCs w:val="22"/>
          <w:lang w:val="fr-CA"/>
        </w:rPr>
        <w:t xml:space="preserve"> </w:t>
      </w:r>
      <w:proofErr w:type="spellStart"/>
      <w:r w:rsidR="007B1E16" w:rsidRPr="00720E01">
        <w:rPr>
          <w:kern w:val="22"/>
          <w:szCs w:val="22"/>
          <w:lang w:val="fr-CA"/>
        </w:rPr>
        <w:t>BIOFIN</w:t>
      </w:r>
      <w:proofErr w:type="spellEnd"/>
      <w:r w:rsidR="007B1E16" w:rsidRPr="00720E01">
        <w:rPr>
          <w:kern w:val="22"/>
          <w:szCs w:val="22"/>
          <w:lang w:val="fr-CA"/>
        </w:rPr>
        <w:t xml:space="preserve"> a </w:t>
      </w:r>
      <w:r w:rsidR="00296A8E" w:rsidRPr="00720E01">
        <w:rPr>
          <w:kern w:val="22"/>
          <w:szCs w:val="22"/>
          <w:lang w:val="fr-CA"/>
        </w:rPr>
        <w:t>continué</w:t>
      </w:r>
      <w:r w:rsidR="007B1E16" w:rsidRPr="00720E01">
        <w:rPr>
          <w:kern w:val="22"/>
          <w:szCs w:val="22"/>
          <w:lang w:val="fr-CA"/>
        </w:rPr>
        <w:t xml:space="preserve"> à encourager les p</w:t>
      </w:r>
      <w:r w:rsidR="00F5171D">
        <w:rPr>
          <w:kern w:val="22"/>
          <w:szCs w:val="22"/>
          <w:lang w:val="fr-CA"/>
        </w:rPr>
        <w:t xml:space="preserve">ays </w:t>
      </w:r>
      <w:proofErr w:type="spellStart"/>
      <w:r w:rsidR="00F5171D">
        <w:rPr>
          <w:kern w:val="22"/>
          <w:szCs w:val="22"/>
          <w:lang w:val="fr-CA"/>
        </w:rPr>
        <w:t>BIOFIN</w:t>
      </w:r>
      <w:proofErr w:type="spellEnd"/>
      <w:r w:rsidR="00F5171D">
        <w:rPr>
          <w:kern w:val="22"/>
          <w:szCs w:val="22"/>
          <w:lang w:val="fr-CA"/>
        </w:rPr>
        <w:t xml:space="preserve"> à</w:t>
      </w:r>
      <w:r w:rsidR="007B1E16" w:rsidRPr="00720E01">
        <w:rPr>
          <w:kern w:val="22"/>
          <w:szCs w:val="22"/>
          <w:lang w:val="fr-CA"/>
        </w:rPr>
        <w:t xml:space="preserve"> communiquer leurs produits finis par le biais du cadre de présentation des rapports financ</w:t>
      </w:r>
      <w:r w:rsidR="00296A8E" w:rsidRPr="00720E01">
        <w:rPr>
          <w:kern w:val="22"/>
          <w:szCs w:val="22"/>
          <w:lang w:val="fr-CA"/>
        </w:rPr>
        <w:t>i</w:t>
      </w:r>
      <w:r w:rsidR="007B1E16" w:rsidRPr="00720E01">
        <w:rPr>
          <w:kern w:val="22"/>
          <w:szCs w:val="22"/>
          <w:lang w:val="fr-CA"/>
        </w:rPr>
        <w:t>ers de la C</w:t>
      </w:r>
      <w:r w:rsidR="00296A8E" w:rsidRPr="00720E01">
        <w:rPr>
          <w:kern w:val="22"/>
          <w:szCs w:val="22"/>
          <w:lang w:val="fr-CA"/>
        </w:rPr>
        <w:t>o</w:t>
      </w:r>
      <w:r w:rsidR="007B1E16" w:rsidRPr="00720E01">
        <w:rPr>
          <w:kern w:val="22"/>
          <w:szCs w:val="22"/>
          <w:lang w:val="fr-CA"/>
        </w:rPr>
        <w:t>nvention</w:t>
      </w:r>
      <w:r w:rsidR="000C5292" w:rsidRPr="00720E01">
        <w:rPr>
          <w:kern w:val="22"/>
          <w:szCs w:val="22"/>
          <w:lang w:val="fr-CA"/>
        </w:rPr>
        <w:t>.</w:t>
      </w:r>
      <w:r w:rsidR="005A2C5F" w:rsidRPr="00720E01">
        <w:rPr>
          <w:rStyle w:val="Appelnotedebasdep"/>
          <w:kern w:val="22"/>
          <w:szCs w:val="22"/>
          <w:lang w:val="fr-CA"/>
        </w:rPr>
        <w:footnoteReference w:id="8"/>
      </w:r>
      <w:r w:rsidR="000C5292" w:rsidRPr="00720E01">
        <w:rPr>
          <w:kern w:val="22"/>
          <w:szCs w:val="22"/>
          <w:lang w:val="fr-CA"/>
        </w:rPr>
        <w:t xml:space="preserve"> </w:t>
      </w:r>
      <w:r w:rsidR="007B1E16" w:rsidRPr="00720E01">
        <w:rPr>
          <w:kern w:val="22"/>
          <w:szCs w:val="22"/>
          <w:lang w:val="fr-CA"/>
        </w:rPr>
        <w:t xml:space="preserve">Une méthode </w:t>
      </w:r>
      <w:proofErr w:type="spellStart"/>
      <w:r w:rsidR="007B1E16" w:rsidRPr="00720E01">
        <w:rPr>
          <w:kern w:val="22"/>
          <w:szCs w:val="22"/>
          <w:lang w:val="fr-CA"/>
        </w:rPr>
        <w:t>BIOFIN</w:t>
      </w:r>
      <w:proofErr w:type="spellEnd"/>
      <w:r w:rsidR="007B1E16" w:rsidRPr="00720E01">
        <w:rPr>
          <w:kern w:val="22"/>
          <w:szCs w:val="22"/>
          <w:lang w:val="fr-CA"/>
        </w:rPr>
        <w:t xml:space="preserve"> révisée a été publiée en novembre 2018 et </w:t>
      </w:r>
      <w:r w:rsidR="004D634B" w:rsidRPr="00720E01">
        <w:rPr>
          <w:kern w:val="22"/>
          <w:szCs w:val="22"/>
          <w:lang w:val="fr-CA"/>
        </w:rPr>
        <w:t>le</w:t>
      </w:r>
      <w:r w:rsidR="007B1E16" w:rsidRPr="00720E01">
        <w:rPr>
          <w:kern w:val="22"/>
          <w:szCs w:val="22"/>
          <w:lang w:val="fr-CA"/>
        </w:rPr>
        <w:t xml:space="preserve"> </w:t>
      </w:r>
      <w:r w:rsidR="00F5171D">
        <w:rPr>
          <w:kern w:val="22"/>
          <w:szCs w:val="22"/>
          <w:lang w:val="fr-CA"/>
        </w:rPr>
        <w:t>répertoire</w:t>
      </w:r>
      <w:r w:rsidR="007B1E16" w:rsidRPr="00720E01">
        <w:rPr>
          <w:kern w:val="22"/>
          <w:szCs w:val="22"/>
          <w:lang w:val="fr-CA"/>
        </w:rPr>
        <w:t xml:space="preserve"> en ligne des </w:t>
      </w:r>
      <w:r w:rsidR="004D634B" w:rsidRPr="00720E01">
        <w:rPr>
          <w:kern w:val="22"/>
          <w:szCs w:val="22"/>
          <w:lang w:val="fr-CA"/>
        </w:rPr>
        <w:t>solutions de financement contient plus de 150 entrées</w:t>
      </w:r>
      <w:r w:rsidR="00974571" w:rsidRPr="00720E01">
        <w:rPr>
          <w:kern w:val="22"/>
          <w:szCs w:val="22"/>
          <w:lang w:val="fr-CA"/>
        </w:rPr>
        <w:t>.</w:t>
      </w:r>
      <w:r w:rsidR="00974571" w:rsidRPr="00720E01">
        <w:rPr>
          <w:rStyle w:val="Appelnotedebasdep"/>
          <w:kern w:val="22"/>
          <w:szCs w:val="22"/>
          <w:lang w:val="fr-CA"/>
        </w:rPr>
        <w:footnoteReference w:id="9"/>
      </w:r>
      <w:r w:rsidR="000C5292" w:rsidRPr="00720E01">
        <w:rPr>
          <w:kern w:val="22"/>
          <w:szCs w:val="22"/>
          <w:lang w:val="fr-CA"/>
        </w:rPr>
        <w:t xml:space="preserve"> </w:t>
      </w:r>
      <w:r w:rsidR="004D634B" w:rsidRPr="00720E01">
        <w:rPr>
          <w:kern w:val="22"/>
          <w:szCs w:val="22"/>
          <w:lang w:val="fr-CA"/>
        </w:rPr>
        <w:t>L</w:t>
      </w:r>
      <w:r w:rsidR="00296A8E" w:rsidRPr="00720E01">
        <w:rPr>
          <w:kern w:val="22"/>
          <w:szCs w:val="22"/>
          <w:lang w:val="fr-CA"/>
        </w:rPr>
        <w:t>e programme de soutien C</w:t>
      </w:r>
      <w:r w:rsidR="004D634B" w:rsidRPr="00720E01">
        <w:rPr>
          <w:kern w:val="22"/>
          <w:szCs w:val="22"/>
          <w:lang w:val="fr-CA"/>
        </w:rPr>
        <w:t>BD-</w:t>
      </w:r>
      <w:r w:rsidR="006B1352">
        <w:rPr>
          <w:kern w:val="22"/>
          <w:szCs w:val="22"/>
          <w:lang w:val="fr-CA"/>
        </w:rPr>
        <w:t xml:space="preserve">nœuds régionaux </w:t>
      </w:r>
      <w:proofErr w:type="spellStart"/>
      <w:r w:rsidR="004D634B" w:rsidRPr="00720E01">
        <w:rPr>
          <w:kern w:val="22"/>
          <w:szCs w:val="22"/>
          <w:lang w:val="fr-CA"/>
        </w:rPr>
        <w:t>BIOFIN</w:t>
      </w:r>
      <w:proofErr w:type="spellEnd"/>
      <w:r w:rsidR="004D634B" w:rsidRPr="00720E01">
        <w:rPr>
          <w:kern w:val="22"/>
          <w:szCs w:val="22"/>
          <w:lang w:val="fr-CA"/>
        </w:rPr>
        <w:t xml:space="preserve"> visant à offrir un soutien technique ciblé </w:t>
      </w:r>
      <w:r w:rsidR="006B1352">
        <w:rPr>
          <w:kern w:val="22"/>
          <w:szCs w:val="22"/>
          <w:lang w:val="fr-CA"/>
        </w:rPr>
        <w:t xml:space="preserve">pour l’application de </w:t>
      </w:r>
      <w:r w:rsidR="004D634B" w:rsidRPr="00720E01">
        <w:rPr>
          <w:kern w:val="22"/>
          <w:szCs w:val="22"/>
          <w:lang w:val="fr-CA"/>
        </w:rPr>
        <w:t xml:space="preserve">la méthode </w:t>
      </w:r>
      <w:proofErr w:type="spellStart"/>
      <w:r w:rsidR="004D634B" w:rsidRPr="00720E01">
        <w:rPr>
          <w:kern w:val="22"/>
          <w:szCs w:val="22"/>
          <w:lang w:val="fr-CA"/>
        </w:rPr>
        <w:t>BIOFIN</w:t>
      </w:r>
      <w:proofErr w:type="spellEnd"/>
      <w:r w:rsidR="004D634B" w:rsidRPr="00720E01">
        <w:rPr>
          <w:kern w:val="22"/>
          <w:szCs w:val="22"/>
          <w:lang w:val="fr-CA"/>
        </w:rPr>
        <w:t xml:space="preserve"> </w:t>
      </w:r>
      <w:r w:rsidR="00BD5719">
        <w:rPr>
          <w:kern w:val="22"/>
          <w:szCs w:val="22"/>
          <w:lang w:val="fr-CA"/>
        </w:rPr>
        <w:t xml:space="preserve">aux pays non </w:t>
      </w:r>
      <w:proofErr w:type="spellStart"/>
      <w:r w:rsidR="00BD5719">
        <w:rPr>
          <w:kern w:val="22"/>
          <w:szCs w:val="22"/>
          <w:lang w:val="fr-CA"/>
        </w:rPr>
        <w:t>BIOFIN</w:t>
      </w:r>
      <w:proofErr w:type="spellEnd"/>
      <w:r w:rsidR="00BD5719">
        <w:rPr>
          <w:kern w:val="22"/>
          <w:szCs w:val="22"/>
          <w:lang w:val="fr-CA"/>
        </w:rPr>
        <w:t xml:space="preserve"> </w:t>
      </w:r>
      <w:r w:rsidR="004D634B" w:rsidRPr="00720E01">
        <w:rPr>
          <w:kern w:val="22"/>
          <w:szCs w:val="22"/>
          <w:lang w:val="fr-CA"/>
        </w:rPr>
        <w:t>es</w:t>
      </w:r>
      <w:r w:rsidR="006B1352">
        <w:rPr>
          <w:kern w:val="22"/>
          <w:szCs w:val="22"/>
          <w:lang w:val="fr-CA"/>
        </w:rPr>
        <w:t>t en cours</w:t>
      </w:r>
      <w:r w:rsidR="00296A8E" w:rsidRPr="00720E01">
        <w:rPr>
          <w:kern w:val="22"/>
          <w:szCs w:val="22"/>
          <w:lang w:val="fr-CA"/>
        </w:rPr>
        <w:t xml:space="preserve"> et 40 pays se s</w:t>
      </w:r>
      <w:r w:rsidR="004D634B" w:rsidRPr="00720E01">
        <w:rPr>
          <w:kern w:val="22"/>
          <w:szCs w:val="22"/>
          <w:lang w:val="fr-CA"/>
        </w:rPr>
        <w:t xml:space="preserve">ont engagés </w:t>
      </w:r>
      <w:r w:rsidR="00296A8E" w:rsidRPr="00720E01">
        <w:rPr>
          <w:kern w:val="22"/>
          <w:szCs w:val="22"/>
          <w:lang w:val="fr-CA"/>
        </w:rPr>
        <w:t>à fo</w:t>
      </w:r>
      <w:r w:rsidR="004D634B" w:rsidRPr="00720E01">
        <w:rPr>
          <w:kern w:val="22"/>
          <w:szCs w:val="22"/>
          <w:lang w:val="fr-CA"/>
        </w:rPr>
        <w:t xml:space="preserve">urnir différents niveaux de soutien. </w:t>
      </w:r>
      <w:proofErr w:type="spellStart"/>
      <w:r w:rsidR="004D634B" w:rsidRPr="00720E01">
        <w:rPr>
          <w:kern w:val="22"/>
          <w:szCs w:val="22"/>
          <w:lang w:val="fr-CA"/>
        </w:rPr>
        <w:t>BIOFIN</w:t>
      </w:r>
      <w:proofErr w:type="spellEnd"/>
      <w:r w:rsidR="004D634B" w:rsidRPr="00720E01">
        <w:rPr>
          <w:kern w:val="22"/>
          <w:szCs w:val="22"/>
          <w:lang w:val="fr-CA"/>
        </w:rPr>
        <w:t>, en collaboration avec le Secrétariat de la Convention, a aussi offert un cours en ligne ouvert à tous (</w:t>
      </w:r>
      <w:proofErr w:type="spellStart"/>
      <w:r w:rsidR="004D634B" w:rsidRPr="00720E01">
        <w:rPr>
          <w:kern w:val="22"/>
          <w:szCs w:val="22"/>
          <w:lang w:val="fr-CA"/>
        </w:rPr>
        <w:t>MOOC</w:t>
      </w:r>
      <w:proofErr w:type="spellEnd"/>
      <w:r w:rsidR="004D634B" w:rsidRPr="00720E01">
        <w:rPr>
          <w:kern w:val="22"/>
          <w:szCs w:val="22"/>
          <w:lang w:val="fr-CA"/>
        </w:rPr>
        <w:t>) sur le financement de</w:t>
      </w:r>
      <w:r w:rsidR="00296A8E" w:rsidRPr="00720E01">
        <w:rPr>
          <w:kern w:val="22"/>
          <w:szCs w:val="22"/>
          <w:lang w:val="fr-CA"/>
        </w:rPr>
        <w:t xml:space="preserve"> </w:t>
      </w:r>
      <w:r w:rsidR="004D634B" w:rsidRPr="00720E01">
        <w:rPr>
          <w:kern w:val="22"/>
          <w:szCs w:val="22"/>
          <w:lang w:val="fr-CA"/>
        </w:rPr>
        <w:t>la bio</w:t>
      </w:r>
      <w:r w:rsidR="00F15D83">
        <w:rPr>
          <w:kern w:val="22"/>
          <w:szCs w:val="22"/>
          <w:lang w:val="fr-CA"/>
        </w:rPr>
        <w:t>diversité du 15 avril au 31 mai 2019, auquel ont participé 3 60</w:t>
      </w:r>
      <w:r w:rsidR="004D634B" w:rsidRPr="00720E01">
        <w:rPr>
          <w:kern w:val="22"/>
          <w:szCs w:val="22"/>
          <w:lang w:val="fr-CA"/>
        </w:rPr>
        <w:t>7 personnes de 170 p</w:t>
      </w:r>
      <w:r w:rsidR="00296A8E" w:rsidRPr="00720E01">
        <w:rPr>
          <w:kern w:val="22"/>
          <w:szCs w:val="22"/>
          <w:lang w:val="fr-CA"/>
        </w:rPr>
        <w:t>a</w:t>
      </w:r>
      <w:r w:rsidR="004D634B" w:rsidRPr="00720E01">
        <w:rPr>
          <w:kern w:val="22"/>
          <w:szCs w:val="22"/>
          <w:lang w:val="fr-CA"/>
        </w:rPr>
        <w:t xml:space="preserve">ys (dont 236 nouveaux participants </w:t>
      </w:r>
      <w:r w:rsidR="00296A8E" w:rsidRPr="00720E01">
        <w:rPr>
          <w:kern w:val="22"/>
          <w:szCs w:val="22"/>
          <w:lang w:val="fr-CA"/>
        </w:rPr>
        <w:t xml:space="preserve">inscrits au cours individualisé depuis la </w:t>
      </w:r>
      <w:r w:rsidR="00F15D83">
        <w:rPr>
          <w:kern w:val="22"/>
          <w:szCs w:val="22"/>
          <w:lang w:val="fr-CA"/>
        </w:rPr>
        <w:t>mise au point</w:t>
      </w:r>
      <w:r w:rsidR="00296A8E" w:rsidRPr="00720E01">
        <w:rPr>
          <w:kern w:val="22"/>
          <w:szCs w:val="22"/>
          <w:lang w:val="fr-CA"/>
        </w:rPr>
        <w:t xml:space="preserve"> de la version interactive du </w:t>
      </w:r>
      <w:proofErr w:type="spellStart"/>
      <w:r w:rsidR="00296A8E" w:rsidRPr="00720E01">
        <w:rPr>
          <w:kern w:val="22"/>
          <w:szCs w:val="22"/>
          <w:lang w:val="fr-CA"/>
        </w:rPr>
        <w:t>MOOC</w:t>
      </w:r>
      <w:proofErr w:type="spellEnd"/>
      <w:r w:rsidR="00296A8E" w:rsidRPr="00720E01">
        <w:rPr>
          <w:kern w:val="22"/>
          <w:szCs w:val="22"/>
          <w:lang w:val="fr-CA"/>
        </w:rPr>
        <w:t>)</w:t>
      </w:r>
      <w:r w:rsidR="000C5292" w:rsidRPr="00720E01">
        <w:rPr>
          <w:kern w:val="22"/>
          <w:szCs w:val="22"/>
          <w:lang w:val="fr-CA"/>
        </w:rPr>
        <w:t>.</w:t>
      </w:r>
      <w:r w:rsidR="00974571" w:rsidRPr="00720E01">
        <w:rPr>
          <w:rStyle w:val="Appelnotedebasdep"/>
          <w:kern w:val="22"/>
          <w:szCs w:val="22"/>
          <w:lang w:val="fr-CA"/>
        </w:rPr>
        <w:footnoteReference w:id="10"/>
      </w:r>
    </w:p>
    <w:p w14:paraId="77A0ABAA" w14:textId="78D521D7" w:rsidR="00D308B3" w:rsidRPr="00720E01" w:rsidRDefault="00296A8E" w:rsidP="00304215">
      <w:pPr>
        <w:pStyle w:val="Para1"/>
        <w:tabs>
          <w:tab w:val="clear" w:pos="360"/>
        </w:tabs>
        <w:rPr>
          <w:kern w:val="22"/>
          <w:szCs w:val="22"/>
          <w:lang w:val="fr-CA"/>
        </w:rPr>
      </w:pPr>
      <w:r w:rsidRPr="00720E01">
        <w:rPr>
          <w:kern w:val="22"/>
          <w:szCs w:val="22"/>
          <w:lang w:val="fr-CA"/>
        </w:rPr>
        <w:t xml:space="preserve">L’Organe subsidiaire pourrait souhaiter prendre note de ces travaux et inviter </w:t>
      </w:r>
      <w:proofErr w:type="spellStart"/>
      <w:r w:rsidRPr="00720E01">
        <w:rPr>
          <w:kern w:val="22"/>
          <w:szCs w:val="22"/>
          <w:lang w:val="fr-CA"/>
        </w:rPr>
        <w:t>BIOFIN</w:t>
      </w:r>
      <w:proofErr w:type="spellEnd"/>
      <w:r w:rsidRPr="00720E01">
        <w:rPr>
          <w:kern w:val="22"/>
          <w:szCs w:val="22"/>
          <w:lang w:val="fr-CA"/>
        </w:rPr>
        <w:t>, ainsi que les autres organisations et initiatives internationales compétentes, à poursuivre ces travaux au titre du cadre mondial de la bio</w:t>
      </w:r>
      <w:r w:rsidR="00F15D83">
        <w:rPr>
          <w:kern w:val="22"/>
          <w:szCs w:val="22"/>
          <w:lang w:val="fr-CA"/>
        </w:rPr>
        <w:t>diversité pour l</w:t>
      </w:r>
      <w:r w:rsidR="004C3F94">
        <w:rPr>
          <w:kern w:val="22"/>
          <w:szCs w:val="22"/>
          <w:lang w:val="fr-CA"/>
        </w:rPr>
        <w:t>’</w:t>
      </w:r>
      <w:r w:rsidR="00F15D83">
        <w:rPr>
          <w:kern w:val="22"/>
          <w:szCs w:val="22"/>
          <w:lang w:val="fr-CA"/>
        </w:rPr>
        <w:t>après-2020 et s</w:t>
      </w:r>
      <w:r w:rsidRPr="00720E01">
        <w:rPr>
          <w:kern w:val="22"/>
          <w:szCs w:val="22"/>
          <w:lang w:val="fr-CA"/>
        </w:rPr>
        <w:t>on volet de mobilisation des ressources</w:t>
      </w:r>
      <w:r w:rsidR="00D308B3" w:rsidRPr="00720E01">
        <w:rPr>
          <w:kern w:val="22"/>
          <w:szCs w:val="22"/>
          <w:lang w:val="fr-CA"/>
        </w:rPr>
        <w:t>.</w:t>
      </w:r>
    </w:p>
    <w:p w14:paraId="27F53C8D" w14:textId="375CB708" w:rsidR="009632C7" w:rsidRPr="00720E01" w:rsidRDefault="00830E6E" w:rsidP="00304215">
      <w:pPr>
        <w:pStyle w:val="Titre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lang w:val="fr-CA"/>
        </w:rPr>
      </w:pPr>
      <w:r w:rsidRPr="00720E01">
        <w:rPr>
          <w:snapToGrid w:val="0"/>
          <w:kern w:val="22"/>
          <w:szCs w:val="22"/>
          <w:lang w:val="fr-CA"/>
        </w:rPr>
        <w:t>Synergies entre les conventions</w:t>
      </w:r>
    </w:p>
    <w:p w14:paraId="4D551696" w14:textId="5FFAD03B" w:rsidR="000A4484" w:rsidRPr="00720E01" w:rsidRDefault="00830E6E" w:rsidP="00304215">
      <w:pPr>
        <w:pStyle w:val="Para1"/>
        <w:tabs>
          <w:tab w:val="clear" w:pos="360"/>
        </w:tabs>
        <w:rPr>
          <w:kern w:val="22"/>
          <w:szCs w:val="22"/>
          <w:lang w:val="fr-CA"/>
        </w:rPr>
      </w:pPr>
      <w:r w:rsidRPr="00720E01">
        <w:rPr>
          <w:lang w:val="fr-CA"/>
        </w:rPr>
        <w:t>Au paragraphe 7 de la décision 14/22</w:t>
      </w:r>
      <w:r w:rsidR="00DD7420" w:rsidRPr="00720E01">
        <w:rPr>
          <w:lang w:val="fr-CA"/>
        </w:rPr>
        <w:t xml:space="preserve">, la Conférence des Parties souligne que toute stratégie de mobilisation des ressources devra permettre de promouvoir et d’exploiter les synergies entre les conventions, </w:t>
      </w:r>
      <w:r w:rsidR="00DD7420" w:rsidRPr="00720E01">
        <w:rPr>
          <w:lang w:val="fr-CA"/>
        </w:rPr>
        <w:lastRenderedPageBreak/>
        <w:t xml:space="preserve">y compris les synergies </w:t>
      </w:r>
      <w:r w:rsidR="00F15D83">
        <w:rPr>
          <w:lang w:val="fr-CA"/>
        </w:rPr>
        <w:t xml:space="preserve">liées aux </w:t>
      </w:r>
      <w:r w:rsidR="00DD7420" w:rsidRPr="00720E01">
        <w:rPr>
          <w:lang w:val="fr-CA"/>
        </w:rPr>
        <w:t xml:space="preserve">systèmes de suivi des ressources financières </w:t>
      </w:r>
      <w:r w:rsidR="00210838">
        <w:rPr>
          <w:lang w:val="fr-CA"/>
        </w:rPr>
        <w:t xml:space="preserve">provenant </w:t>
      </w:r>
      <w:r w:rsidR="00DD7420" w:rsidRPr="00720E01">
        <w:rPr>
          <w:lang w:val="fr-CA"/>
        </w:rPr>
        <w:t>des différentes sources et l’application des conventions</w:t>
      </w:r>
      <w:r w:rsidR="00AF14CC" w:rsidRPr="00720E01">
        <w:rPr>
          <w:kern w:val="22"/>
          <w:szCs w:val="22"/>
          <w:lang w:val="fr-CA"/>
        </w:rPr>
        <w:t>.</w:t>
      </w:r>
      <w:r w:rsidR="00DD7420" w:rsidRPr="00720E01">
        <w:rPr>
          <w:kern w:val="22"/>
          <w:szCs w:val="22"/>
          <w:lang w:val="fr-CA"/>
        </w:rPr>
        <w:t xml:space="preserve"> À cet égard, le Fonds pour la neutralité en matière de dégradation des ter</w:t>
      </w:r>
      <w:r w:rsidR="00BD24FA" w:rsidRPr="00720E01">
        <w:rPr>
          <w:kern w:val="22"/>
          <w:szCs w:val="22"/>
          <w:lang w:val="fr-CA"/>
        </w:rPr>
        <w:t>r</w:t>
      </w:r>
      <w:r w:rsidR="00DD7420" w:rsidRPr="00720E01">
        <w:rPr>
          <w:kern w:val="22"/>
          <w:szCs w:val="22"/>
          <w:lang w:val="fr-CA"/>
        </w:rPr>
        <w:t>es, dirigé par le mécanisme mondial de la Convention des Nations Unies sur la lutte contre la désertification (</w:t>
      </w:r>
      <w:proofErr w:type="spellStart"/>
      <w:r w:rsidR="00295E2C" w:rsidRPr="00720E01">
        <w:rPr>
          <w:kern w:val="22"/>
          <w:szCs w:val="22"/>
          <w:lang w:val="fr-CA"/>
        </w:rPr>
        <w:t>CNULCD</w:t>
      </w:r>
      <w:proofErr w:type="spellEnd"/>
      <w:r w:rsidR="00295E2C" w:rsidRPr="00720E01">
        <w:rPr>
          <w:kern w:val="22"/>
          <w:szCs w:val="22"/>
          <w:lang w:val="fr-CA"/>
        </w:rPr>
        <w:t>) et lancé à la treizième session de la Conférence des Parties à</w:t>
      </w:r>
      <w:r w:rsidR="00210838">
        <w:rPr>
          <w:kern w:val="22"/>
          <w:szCs w:val="22"/>
          <w:lang w:val="fr-CA"/>
        </w:rPr>
        <w:t xml:space="preserve"> la </w:t>
      </w:r>
      <w:proofErr w:type="spellStart"/>
      <w:r w:rsidR="00210838">
        <w:rPr>
          <w:kern w:val="22"/>
          <w:szCs w:val="22"/>
          <w:lang w:val="fr-CA"/>
        </w:rPr>
        <w:t>CNULCD</w:t>
      </w:r>
      <w:proofErr w:type="spellEnd"/>
      <w:r w:rsidR="00210838">
        <w:rPr>
          <w:kern w:val="22"/>
          <w:szCs w:val="22"/>
          <w:lang w:val="fr-CA"/>
        </w:rPr>
        <w:t xml:space="preserve"> (Ordos, Chine, 2017)</w:t>
      </w:r>
      <w:r w:rsidR="00295E2C" w:rsidRPr="00720E01">
        <w:rPr>
          <w:kern w:val="22"/>
          <w:szCs w:val="22"/>
          <w:lang w:val="fr-CA"/>
        </w:rPr>
        <w:t xml:space="preserve"> en réponse </w:t>
      </w:r>
      <w:r w:rsidR="00BD24FA" w:rsidRPr="00720E01">
        <w:rPr>
          <w:kern w:val="22"/>
          <w:szCs w:val="22"/>
          <w:lang w:val="fr-CA"/>
        </w:rPr>
        <w:t>à</w:t>
      </w:r>
      <w:r w:rsidR="00295E2C" w:rsidRPr="00720E01">
        <w:rPr>
          <w:kern w:val="22"/>
          <w:szCs w:val="22"/>
          <w:lang w:val="fr-CA"/>
        </w:rPr>
        <w:t xml:space="preserve"> une demande antérieure de la Conférenc</w:t>
      </w:r>
      <w:r w:rsidR="00210838">
        <w:rPr>
          <w:kern w:val="22"/>
          <w:szCs w:val="22"/>
          <w:lang w:val="fr-CA"/>
        </w:rPr>
        <w:t xml:space="preserve">e des Parties à la </w:t>
      </w:r>
      <w:proofErr w:type="spellStart"/>
      <w:r w:rsidR="00210838">
        <w:rPr>
          <w:kern w:val="22"/>
          <w:szCs w:val="22"/>
          <w:lang w:val="fr-CA"/>
        </w:rPr>
        <w:t>CNULCD</w:t>
      </w:r>
      <w:proofErr w:type="spellEnd"/>
      <w:r w:rsidR="00210838">
        <w:rPr>
          <w:kern w:val="22"/>
          <w:szCs w:val="22"/>
          <w:lang w:val="fr-CA"/>
        </w:rPr>
        <w:t>, est u</w:t>
      </w:r>
      <w:r w:rsidR="00295E2C" w:rsidRPr="00720E01">
        <w:rPr>
          <w:kern w:val="22"/>
          <w:szCs w:val="22"/>
          <w:lang w:val="fr-CA"/>
        </w:rPr>
        <w:t>n investissement à impact réuni</w:t>
      </w:r>
      <w:r w:rsidR="00BD24FA" w:rsidRPr="00720E01">
        <w:rPr>
          <w:kern w:val="22"/>
          <w:szCs w:val="22"/>
          <w:lang w:val="fr-CA"/>
        </w:rPr>
        <w:t>ssant des ressources des secteur</w:t>
      </w:r>
      <w:r w:rsidR="00295E2C" w:rsidRPr="00720E01">
        <w:rPr>
          <w:kern w:val="22"/>
          <w:szCs w:val="22"/>
          <w:lang w:val="fr-CA"/>
        </w:rPr>
        <w:t>s privé, public et phi</w:t>
      </w:r>
      <w:r w:rsidR="00BD24FA" w:rsidRPr="00720E01">
        <w:rPr>
          <w:kern w:val="22"/>
          <w:szCs w:val="22"/>
          <w:lang w:val="fr-CA"/>
        </w:rPr>
        <w:t>lanthr</w:t>
      </w:r>
      <w:r w:rsidR="00295E2C" w:rsidRPr="00720E01">
        <w:rPr>
          <w:kern w:val="22"/>
          <w:szCs w:val="22"/>
          <w:lang w:val="fr-CA"/>
        </w:rPr>
        <w:t>opique</w:t>
      </w:r>
      <w:r w:rsidR="007D1998">
        <w:rPr>
          <w:kern w:val="22"/>
          <w:szCs w:val="22"/>
          <w:lang w:val="fr-CA"/>
        </w:rPr>
        <w:t>,</w:t>
      </w:r>
      <w:r w:rsidR="00295E2C" w:rsidRPr="00720E01">
        <w:rPr>
          <w:kern w:val="22"/>
          <w:szCs w:val="22"/>
          <w:lang w:val="fr-CA"/>
        </w:rPr>
        <w:t xml:space="preserve"> </w:t>
      </w:r>
      <w:r w:rsidR="00210838">
        <w:rPr>
          <w:kern w:val="22"/>
          <w:szCs w:val="22"/>
          <w:lang w:val="fr-CA"/>
        </w:rPr>
        <w:t>ayant pour objet de</w:t>
      </w:r>
      <w:r w:rsidR="00295E2C" w:rsidRPr="00720E01">
        <w:rPr>
          <w:kern w:val="22"/>
          <w:szCs w:val="22"/>
          <w:lang w:val="fr-CA"/>
        </w:rPr>
        <w:t xml:space="preserve"> soutenir la réalisation de la neutralité en matière de dégradation des terres grâce </w:t>
      </w:r>
      <w:r w:rsidR="00BD24FA" w:rsidRPr="00720E01">
        <w:rPr>
          <w:kern w:val="22"/>
          <w:szCs w:val="22"/>
          <w:lang w:val="fr-CA"/>
        </w:rPr>
        <w:t>à la restauration des terre</w:t>
      </w:r>
      <w:r w:rsidR="00295E2C" w:rsidRPr="00720E01">
        <w:rPr>
          <w:kern w:val="22"/>
          <w:szCs w:val="22"/>
          <w:lang w:val="fr-CA"/>
        </w:rPr>
        <w:t xml:space="preserve">s et </w:t>
      </w:r>
      <w:r w:rsidR="00BD24FA" w:rsidRPr="00720E01">
        <w:rPr>
          <w:kern w:val="22"/>
          <w:szCs w:val="22"/>
          <w:lang w:val="fr-CA"/>
        </w:rPr>
        <w:t>à des projets de res</w:t>
      </w:r>
      <w:r w:rsidR="00295E2C" w:rsidRPr="00720E01">
        <w:rPr>
          <w:kern w:val="22"/>
          <w:szCs w:val="22"/>
          <w:lang w:val="fr-CA"/>
        </w:rPr>
        <w:t xml:space="preserve">tauration durables mis en œuvre par le secteur privé. </w:t>
      </w:r>
      <w:r w:rsidR="00210838">
        <w:rPr>
          <w:kern w:val="22"/>
          <w:szCs w:val="22"/>
          <w:lang w:val="fr-CA"/>
        </w:rPr>
        <w:t>Le F</w:t>
      </w:r>
      <w:r w:rsidR="00FD517C" w:rsidRPr="00720E01">
        <w:rPr>
          <w:kern w:val="22"/>
          <w:szCs w:val="22"/>
          <w:lang w:val="fr-CA"/>
        </w:rPr>
        <w:t xml:space="preserve">onds </w:t>
      </w:r>
      <w:r w:rsidR="007D1998">
        <w:rPr>
          <w:kern w:val="22"/>
          <w:szCs w:val="22"/>
          <w:lang w:val="fr-CA"/>
        </w:rPr>
        <w:t>pour la</w:t>
      </w:r>
      <w:r w:rsidR="00FD517C" w:rsidRPr="00720E01">
        <w:rPr>
          <w:kern w:val="22"/>
          <w:szCs w:val="22"/>
          <w:lang w:val="fr-CA"/>
        </w:rPr>
        <w:t xml:space="preserve"> neutralité en matière de dégradation des terres vise à appliquer une approche par paysage qui tient compte et gère les compromis</w:t>
      </w:r>
      <w:r w:rsidR="00BD24FA" w:rsidRPr="00720E01">
        <w:rPr>
          <w:kern w:val="22"/>
          <w:szCs w:val="22"/>
          <w:lang w:val="fr-CA"/>
        </w:rPr>
        <w:t xml:space="preserve"> entre les utilisations concur</w:t>
      </w:r>
      <w:r w:rsidR="001B27C2" w:rsidRPr="00720E01">
        <w:rPr>
          <w:kern w:val="22"/>
          <w:szCs w:val="22"/>
          <w:lang w:val="fr-CA"/>
        </w:rPr>
        <w:t>r</w:t>
      </w:r>
      <w:r w:rsidR="00BD24FA" w:rsidRPr="00720E01">
        <w:rPr>
          <w:kern w:val="22"/>
          <w:szCs w:val="22"/>
          <w:lang w:val="fr-CA"/>
        </w:rPr>
        <w:t>e</w:t>
      </w:r>
      <w:r w:rsidR="00FD517C" w:rsidRPr="00720E01">
        <w:rPr>
          <w:kern w:val="22"/>
          <w:szCs w:val="22"/>
          <w:lang w:val="fr-CA"/>
        </w:rPr>
        <w:t xml:space="preserve">ntes des terres, les intérêts privés </w:t>
      </w:r>
      <w:r w:rsidR="000D2EA4">
        <w:rPr>
          <w:kern w:val="22"/>
          <w:szCs w:val="22"/>
          <w:lang w:val="fr-CA"/>
        </w:rPr>
        <w:t>et les politiques sectorielles</w:t>
      </w:r>
      <w:r w:rsidR="004C3F94">
        <w:rPr>
          <w:kern w:val="22"/>
          <w:szCs w:val="22"/>
          <w:lang w:val="fr-CA"/>
        </w:rPr>
        <w:t> </w:t>
      </w:r>
      <w:r w:rsidR="00210838">
        <w:rPr>
          <w:kern w:val="22"/>
          <w:szCs w:val="22"/>
          <w:lang w:val="fr-CA"/>
        </w:rPr>
        <w:t>;</w:t>
      </w:r>
      <w:r w:rsidR="00BD24FA" w:rsidRPr="00720E01">
        <w:rPr>
          <w:kern w:val="22"/>
          <w:szCs w:val="22"/>
          <w:lang w:val="fr-CA"/>
        </w:rPr>
        <w:t xml:space="preserve"> </w:t>
      </w:r>
      <w:r w:rsidR="00A41A69">
        <w:rPr>
          <w:kern w:val="22"/>
          <w:szCs w:val="22"/>
          <w:lang w:val="fr-CA"/>
        </w:rPr>
        <w:t xml:space="preserve">la protection des services écosystémiques vitaux, </w:t>
      </w:r>
      <w:r w:rsidR="00BD24FA" w:rsidRPr="00720E01">
        <w:rPr>
          <w:kern w:val="22"/>
          <w:szCs w:val="22"/>
          <w:lang w:val="fr-CA"/>
        </w:rPr>
        <w:t>en particuli</w:t>
      </w:r>
      <w:r w:rsidR="00FD517C" w:rsidRPr="00720E01">
        <w:rPr>
          <w:kern w:val="22"/>
          <w:szCs w:val="22"/>
          <w:lang w:val="fr-CA"/>
        </w:rPr>
        <w:t>er, va de pair avec la protection contre l’acquisition d</w:t>
      </w:r>
      <w:r w:rsidR="00A41A69">
        <w:rPr>
          <w:kern w:val="22"/>
          <w:szCs w:val="22"/>
          <w:lang w:val="fr-CA"/>
        </w:rPr>
        <w:t>e terres à grande échelle qui va</w:t>
      </w:r>
      <w:r w:rsidR="00FD517C" w:rsidRPr="00720E01">
        <w:rPr>
          <w:kern w:val="22"/>
          <w:szCs w:val="22"/>
          <w:lang w:val="fr-CA"/>
        </w:rPr>
        <w:t xml:space="preserve"> à l’encontre des normes environnementales et des intérêts des communautés locales. </w:t>
      </w:r>
      <w:r w:rsidR="00A41A69">
        <w:rPr>
          <w:kern w:val="22"/>
          <w:szCs w:val="22"/>
          <w:lang w:val="fr-CA"/>
        </w:rPr>
        <w:t>L</w:t>
      </w:r>
      <w:r w:rsidR="006A67DF" w:rsidRPr="00720E01">
        <w:rPr>
          <w:kern w:val="22"/>
          <w:szCs w:val="22"/>
          <w:lang w:val="fr-CA"/>
        </w:rPr>
        <w:t>es Secrétaire</w:t>
      </w:r>
      <w:r w:rsidR="000D2EA4">
        <w:rPr>
          <w:kern w:val="22"/>
          <w:szCs w:val="22"/>
          <w:lang w:val="fr-CA"/>
        </w:rPr>
        <w:t>s</w:t>
      </w:r>
      <w:r w:rsidR="006A67DF" w:rsidRPr="00720E01">
        <w:rPr>
          <w:kern w:val="22"/>
          <w:szCs w:val="22"/>
          <w:lang w:val="fr-CA"/>
        </w:rPr>
        <w:t xml:space="preserve"> exécutifs des trois conventions de Rio sont représentés au </w:t>
      </w:r>
      <w:r w:rsidR="00BD24FA" w:rsidRPr="00720E01">
        <w:rPr>
          <w:kern w:val="22"/>
          <w:szCs w:val="22"/>
          <w:lang w:val="fr-CA"/>
        </w:rPr>
        <w:t>conseil</w:t>
      </w:r>
      <w:r w:rsidR="006A67DF" w:rsidRPr="00720E01">
        <w:rPr>
          <w:kern w:val="22"/>
          <w:szCs w:val="22"/>
          <w:lang w:val="fr-CA"/>
        </w:rPr>
        <w:t xml:space="preserve"> stratégique du fonds pour la neutralité en matière de dégradation des terres</w:t>
      </w:r>
      <w:r w:rsidR="00A41A69">
        <w:rPr>
          <w:kern w:val="22"/>
          <w:szCs w:val="22"/>
          <w:lang w:val="fr-CA"/>
        </w:rPr>
        <w:t>, témoignant</w:t>
      </w:r>
      <w:r w:rsidR="00806BC8">
        <w:rPr>
          <w:kern w:val="22"/>
          <w:szCs w:val="22"/>
          <w:lang w:val="fr-CA"/>
        </w:rPr>
        <w:t xml:space="preserve"> de</w:t>
      </w:r>
      <w:r w:rsidR="00A41A69" w:rsidRPr="00720E01">
        <w:rPr>
          <w:kern w:val="22"/>
          <w:szCs w:val="22"/>
          <w:lang w:val="fr-CA"/>
        </w:rPr>
        <w:t xml:space="preserve"> cette direction du programme </w:t>
      </w:r>
      <w:r w:rsidR="00806BC8">
        <w:rPr>
          <w:kern w:val="22"/>
          <w:szCs w:val="22"/>
          <w:lang w:val="fr-CA"/>
        </w:rPr>
        <w:t>d’exploiter les synergies. De même, le</w:t>
      </w:r>
      <w:r w:rsidR="006A67DF" w:rsidRPr="00720E01">
        <w:rPr>
          <w:kern w:val="22"/>
          <w:szCs w:val="22"/>
          <w:lang w:val="fr-CA"/>
        </w:rPr>
        <w:t xml:space="preserve"> Fonds vert pour l</w:t>
      </w:r>
      <w:r w:rsidR="004C3F94">
        <w:rPr>
          <w:kern w:val="22"/>
          <w:szCs w:val="22"/>
          <w:lang w:val="fr-CA"/>
        </w:rPr>
        <w:t>e</w:t>
      </w:r>
      <w:r w:rsidR="006A67DF" w:rsidRPr="00720E01">
        <w:rPr>
          <w:kern w:val="22"/>
          <w:szCs w:val="22"/>
          <w:lang w:val="fr-CA"/>
        </w:rPr>
        <w:t xml:space="preserve"> climat appuie le soutien et le financement de solutions fondées sur la nature dans les politiques</w:t>
      </w:r>
      <w:r w:rsidR="00806BC8">
        <w:rPr>
          <w:kern w:val="22"/>
          <w:szCs w:val="22"/>
          <w:lang w:val="fr-CA"/>
        </w:rPr>
        <w:t>,</w:t>
      </w:r>
      <w:r w:rsidR="006A67DF" w:rsidRPr="00720E01">
        <w:rPr>
          <w:kern w:val="22"/>
          <w:szCs w:val="22"/>
          <w:lang w:val="fr-CA"/>
        </w:rPr>
        <w:t xml:space="preserve"> et le</w:t>
      </w:r>
      <w:r w:rsidR="00BD24FA" w:rsidRPr="00720E01">
        <w:rPr>
          <w:kern w:val="22"/>
          <w:szCs w:val="22"/>
          <w:lang w:val="fr-CA"/>
        </w:rPr>
        <w:t xml:space="preserve"> développement et le financement</w:t>
      </w:r>
      <w:r w:rsidR="006A67DF" w:rsidRPr="00720E01">
        <w:rPr>
          <w:kern w:val="22"/>
          <w:szCs w:val="22"/>
          <w:lang w:val="fr-CA"/>
        </w:rPr>
        <w:t xml:space="preserve"> des projets qui s’y rapportent, favorisant ainsi les synergies entre ces secteurs importants. </w:t>
      </w:r>
      <w:r w:rsidR="00BD24FA" w:rsidRPr="00720E01">
        <w:rPr>
          <w:kern w:val="22"/>
          <w:szCs w:val="22"/>
          <w:lang w:val="fr-CA"/>
        </w:rPr>
        <w:t xml:space="preserve">Certaines banques multilatérales et bilatérales de développement ont aussi adopté des stratégies et financent des projets </w:t>
      </w:r>
      <w:r w:rsidR="00806BC8">
        <w:rPr>
          <w:kern w:val="22"/>
          <w:szCs w:val="22"/>
          <w:lang w:val="fr-CA"/>
        </w:rPr>
        <w:t>ayant</w:t>
      </w:r>
      <w:r w:rsidR="00BD24FA" w:rsidRPr="00720E01">
        <w:rPr>
          <w:kern w:val="22"/>
          <w:szCs w:val="22"/>
          <w:lang w:val="fr-CA"/>
        </w:rPr>
        <w:t xml:space="preserve"> des retombées pour le climat et la biodiversité.</w:t>
      </w:r>
    </w:p>
    <w:bookmarkEnd w:id="4"/>
    <w:p w14:paraId="19FB1890" w14:textId="0769E9FF" w:rsidR="00084813" w:rsidRPr="00720E01" w:rsidRDefault="00A72528" w:rsidP="00304215">
      <w:pPr>
        <w:pStyle w:val="Titre2"/>
        <w:suppressLineNumbers/>
        <w:tabs>
          <w:tab w:val="clear" w:pos="720"/>
          <w:tab w:val="left" w:pos="360"/>
        </w:tabs>
        <w:suppressAutoHyphens/>
        <w:kinsoku w:val="0"/>
        <w:overflowPunct w:val="0"/>
        <w:autoSpaceDE w:val="0"/>
        <w:autoSpaceDN w:val="0"/>
        <w:adjustRightInd w:val="0"/>
        <w:snapToGrid w:val="0"/>
        <w:spacing w:line="235" w:lineRule="auto"/>
        <w:ind w:left="992"/>
        <w:rPr>
          <w:snapToGrid w:val="0"/>
          <w:kern w:val="22"/>
          <w:szCs w:val="22"/>
          <w:lang w:val="fr-CA"/>
        </w:rPr>
      </w:pPr>
      <w:r w:rsidRPr="00720E01">
        <w:rPr>
          <w:snapToGrid w:val="0"/>
          <w:kern w:val="22"/>
          <w:szCs w:val="22"/>
          <w:lang w:val="fr-CA"/>
        </w:rPr>
        <w:t>D.</w:t>
      </w:r>
      <w:r w:rsidRPr="00720E01">
        <w:rPr>
          <w:snapToGrid w:val="0"/>
          <w:kern w:val="22"/>
          <w:szCs w:val="22"/>
          <w:lang w:val="fr-CA"/>
        </w:rPr>
        <w:tab/>
      </w:r>
      <w:r w:rsidR="00BD24FA" w:rsidRPr="00720E01">
        <w:rPr>
          <w:snapToGrid w:val="0"/>
          <w:kern w:val="22"/>
          <w:szCs w:val="22"/>
          <w:lang w:val="fr-CA"/>
        </w:rPr>
        <w:t>Étapes de la</w:t>
      </w:r>
      <w:r w:rsidR="001B27C2" w:rsidRPr="00720E01">
        <w:rPr>
          <w:snapToGrid w:val="0"/>
          <w:kern w:val="22"/>
          <w:szCs w:val="22"/>
          <w:lang w:val="fr-CA"/>
        </w:rPr>
        <w:t xml:space="preserve"> mise en</w:t>
      </w:r>
      <w:r w:rsidR="00BD24FA" w:rsidRPr="00720E01">
        <w:rPr>
          <w:snapToGrid w:val="0"/>
          <w:kern w:val="22"/>
          <w:szCs w:val="22"/>
          <w:lang w:val="fr-CA"/>
        </w:rPr>
        <w:t xml:space="preserve"> œuvre complète de</w:t>
      </w:r>
      <w:r w:rsidR="002B6E73" w:rsidRPr="00720E01">
        <w:rPr>
          <w:snapToGrid w:val="0"/>
          <w:kern w:val="22"/>
          <w:szCs w:val="22"/>
          <w:lang w:val="fr-CA"/>
        </w:rPr>
        <w:t> </w:t>
      </w:r>
      <w:r w:rsidR="001B27C2" w:rsidRPr="00720E01">
        <w:rPr>
          <w:snapToGrid w:val="0"/>
          <w:kern w:val="22"/>
          <w:szCs w:val="22"/>
          <w:lang w:val="fr-CA"/>
        </w:rPr>
        <w:t xml:space="preserve">l’objectif </w:t>
      </w:r>
      <w:r w:rsidR="00084813" w:rsidRPr="00720E01">
        <w:rPr>
          <w:snapToGrid w:val="0"/>
          <w:kern w:val="22"/>
          <w:szCs w:val="22"/>
          <w:lang w:val="fr-CA"/>
        </w:rPr>
        <w:t>3</w:t>
      </w:r>
      <w:r w:rsidR="001B27C2" w:rsidRPr="00720E01">
        <w:rPr>
          <w:snapToGrid w:val="0"/>
          <w:kern w:val="22"/>
          <w:szCs w:val="22"/>
          <w:lang w:val="fr-CA"/>
        </w:rPr>
        <w:t xml:space="preserve"> d’Aichi pour la biodiversité</w:t>
      </w:r>
    </w:p>
    <w:p w14:paraId="2ECDB49D" w14:textId="06778016" w:rsidR="008F14A4" w:rsidRPr="00720E01" w:rsidRDefault="001B27C2" w:rsidP="00304215">
      <w:pPr>
        <w:pStyle w:val="Para1"/>
        <w:tabs>
          <w:tab w:val="clear" w:pos="360"/>
        </w:tabs>
        <w:rPr>
          <w:kern w:val="22"/>
          <w:szCs w:val="22"/>
          <w:lang w:val="fr-CA"/>
        </w:rPr>
      </w:pPr>
      <w:r w:rsidRPr="00720E01">
        <w:rPr>
          <w:kern w:val="22"/>
          <w:szCs w:val="22"/>
          <w:lang w:val="fr-CA"/>
        </w:rPr>
        <w:t xml:space="preserve">Au paragraphe 11 de la décision 14 /22, la Conférence des Parties se </w:t>
      </w:r>
      <w:r w:rsidR="00806BC8">
        <w:rPr>
          <w:kern w:val="22"/>
          <w:szCs w:val="22"/>
          <w:lang w:val="fr-CA"/>
        </w:rPr>
        <w:t>réjouit</w:t>
      </w:r>
      <w:r w:rsidRPr="00720E01">
        <w:rPr>
          <w:kern w:val="22"/>
          <w:szCs w:val="22"/>
          <w:lang w:val="fr-CA"/>
        </w:rPr>
        <w:t xml:space="preserve"> des travaux des organisations et initiatives concernées visant à fournir un soutien analytique et technique et un renforcement des capacités pour la mise en œuvre de l’objectif 3 d’Aichi pour la biodiversité, et les invite à poursuivre et à intensifier davantage ces travaux</w:t>
      </w:r>
      <w:r w:rsidR="004A3A7F" w:rsidRPr="00720E01">
        <w:rPr>
          <w:kern w:val="22"/>
          <w:szCs w:val="22"/>
          <w:lang w:val="fr-CA"/>
        </w:rPr>
        <w:t>.</w:t>
      </w:r>
    </w:p>
    <w:p w14:paraId="67B5AB7B" w14:textId="38DE32AD" w:rsidR="00C707BC" w:rsidRPr="00720E01" w:rsidRDefault="001B27C2" w:rsidP="00304215">
      <w:pPr>
        <w:pStyle w:val="Para1"/>
        <w:tabs>
          <w:tab w:val="clear" w:pos="360"/>
        </w:tabs>
        <w:rPr>
          <w:kern w:val="22"/>
          <w:szCs w:val="22"/>
          <w:lang w:val="fr-CA"/>
        </w:rPr>
      </w:pPr>
      <w:r w:rsidRPr="00720E01">
        <w:rPr>
          <w:kern w:val="22"/>
          <w:szCs w:val="22"/>
          <w:lang w:val="fr-CA"/>
        </w:rPr>
        <w:t xml:space="preserve">Au paragraphe 12 de cette même décision, la Conférence des Parties </w:t>
      </w:r>
      <w:r w:rsidR="009852DE" w:rsidRPr="00720E01">
        <w:rPr>
          <w:kern w:val="22"/>
          <w:szCs w:val="22"/>
          <w:lang w:val="fr-CA"/>
        </w:rPr>
        <w:t>prend note d</w:t>
      </w:r>
      <w:r w:rsidR="009852DE" w:rsidRPr="00720E01">
        <w:rPr>
          <w:lang w:val="fr-CA"/>
        </w:rPr>
        <w:t xml:space="preserve">u rôle utile des études nationales visant à </w:t>
      </w:r>
      <w:r w:rsidR="00122D4E">
        <w:rPr>
          <w:lang w:val="fr-CA"/>
        </w:rPr>
        <w:t>reconnaître</w:t>
      </w:r>
      <w:r w:rsidR="009852DE" w:rsidRPr="00720E01">
        <w:rPr>
          <w:lang w:val="fr-CA"/>
        </w:rPr>
        <w:t xml:space="preserve"> les mesures d’encouragement néfastes</w:t>
      </w:r>
      <w:r w:rsidR="00122D4E">
        <w:rPr>
          <w:lang w:val="fr-CA"/>
        </w:rPr>
        <w:t xml:space="preserve">, y compris les subventions, </w:t>
      </w:r>
      <w:r w:rsidR="009852DE" w:rsidRPr="00720E01">
        <w:rPr>
          <w:lang w:val="fr-CA"/>
        </w:rPr>
        <w:t xml:space="preserve">et les possibilités de les éliminer ou de les réformer, </w:t>
      </w:r>
      <w:r w:rsidR="00122D4E">
        <w:rPr>
          <w:lang w:val="fr-CA"/>
        </w:rPr>
        <w:t xml:space="preserve">et </w:t>
      </w:r>
      <w:r w:rsidR="009852DE" w:rsidRPr="00720E01">
        <w:rPr>
          <w:lang w:val="fr-CA"/>
        </w:rPr>
        <w:t>à identifier les mesures politiques les plus e</w:t>
      </w:r>
      <w:r w:rsidR="00122D4E">
        <w:rPr>
          <w:lang w:val="fr-CA"/>
        </w:rPr>
        <w:t>fficaces et définir leur portée. Elle</w:t>
      </w:r>
      <w:r w:rsidR="009852DE" w:rsidRPr="00720E01">
        <w:rPr>
          <w:lang w:val="fr-CA"/>
        </w:rPr>
        <w:t xml:space="preserve"> invite les organisations intéressées à envisager de compiler et d’analyser systématiquement les études existantes en vue de </w:t>
      </w:r>
      <w:r w:rsidR="00122D4E">
        <w:rPr>
          <w:lang w:val="fr-CA"/>
        </w:rPr>
        <w:t>reconnaître</w:t>
      </w:r>
      <w:r w:rsidR="009852DE" w:rsidRPr="00720E01">
        <w:rPr>
          <w:lang w:val="fr-CA"/>
        </w:rPr>
        <w:t xml:space="preserve"> les méthodes de bonnes pratiques pour identifier les mesures d’encouragement néfastes et élaborer les réponses politiques appropriées, et à élaborer </w:t>
      </w:r>
      <w:r w:rsidR="00BA30E3">
        <w:rPr>
          <w:lang w:val="fr-CA"/>
        </w:rPr>
        <w:t>des critères</w:t>
      </w:r>
      <w:r w:rsidR="009852DE" w:rsidRPr="00720E01">
        <w:rPr>
          <w:lang w:val="fr-CA"/>
        </w:rPr>
        <w:t xml:space="preserve"> ou un modèle pour de telles normes à titre d’orientations facultatives</w:t>
      </w:r>
      <w:r w:rsidR="009165D0" w:rsidRPr="00720E01">
        <w:rPr>
          <w:kern w:val="22"/>
          <w:szCs w:val="22"/>
          <w:lang w:val="fr-CA"/>
        </w:rPr>
        <w:t>.</w:t>
      </w:r>
      <w:r w:rsidR="009852DE" w:rsidRPr="00720E01">
        <w:rPr>
          <w:kern w:val="22"/>
          <w:szCs w:val="22"/>
          <w:lang w:val="fr-CA"/>
        </w:rPr>
        <w:t xml:space="preserve"> Le Groupe de travail</w:t>
      </w:r>
      <w:r w:rsidR="007B7C7E" w:rsidRPr="00720E01">
        <w:rPr>
          <w:kern w:val="22"/>
          <w:szCs w:val="22"/>
          <w:lang w:val="fr-CA"/>
        </w:rPr>
        <w:t xml:space="preserve"> sur la biodiversité, l’eau et les écosystèmes de </w:t>
      </w:r>
      <w:r w:rsidR="006B1352">
        <w:rPr>
          <w:kern w:val="22"/>
          <w:szCs w:val="22"/>
          <w:lang w:val="fr-CA"/>
        </w:rPr>
        <w:t>l’Organisation de coopération et de développement économiques (OCDE)</w:t>
      </w:r>
      <w:r w:rsidR="007B7C7E" w:rsidRPr="00720E01">
        <w:rPr>
          <w:kern w:val="22"/>
          <w:szCs w:val="22"/>
          <w:lang w:val="fr-CA"/>
        </w:rPr>
        <w:t xml:space="preserve"> a décidé de prendre cette tâche en charge dans le cadre de son programme de travail de 2019-2020 en cours. De plus, l’OCDE soutient les pays qui harmonisent leur budget national aux objectifs pour le climat, la biodiversité et autres objectifs environnementaux, au titre de </w:t>
      </w:r>
      <w:r w:rsidR="008633E3" w:rsidRPr="00720E01">
        <w:rPr>
          <w:kern w:val="22"/>
          <w:szCs w:val="22"/>
          <w:lang w:val="fr-CA"/>
        </w:rPr>
        <w:t xml:space="preserve">la </w:t>
      </w:r>
      <w:r w:rsidR="008633E3" w:rsidRPr="00720E01">
        <w:rPr>
          <w:i/>
          <w:kern w:val="22"/>
          <w:szCs w:val="22"/>
          <w:lang w:val="fr-CA"/>
        </w:rPr>
        <w:t>collaboration</w:t>
      </w:r>
      <w:r w:rsidR="007B7C7E" w:rsidRPr="00720E01">
        <w:rPr>
          <w:i/>
          <w:kern w:val="22"/>
          <w:szCs w:val="22"/>
          <w:lang w:val="fr-CA"/>
        </w:rPr>
        <w:t xml:space="preserve"> de Paris pour un</w:t>
      </w:r>
      <w:r w:rsidR="008633E3" w:rsidRPr="00720E01">
        <w:rPr>
          <w:i/>
          <w:kern w:val="22"/>
          <w:szCs w:val="22"/>
          <w:lang w:val="fr-CA"/>
        </w:rPr>
        <w:t xml:space="preserve"> bud</w:t>
      </w:r>
      <w:r w:rsidR="007B7C7E" w:rsidRPr="00720E01">
        <w:rPr>
          <w:i/>
          <w:kern w:val="22"/>
          <w:szCs w:val="22"/>
          <w:lang w:val="fr-CA"/>
        </w:rPr>
        <w:t>get vert</w:t>
      </w:r>
      <w:r w:rsidR="008633E3" w:rsidRPr="00720E01">
        <w:rPr>
          <w:kern w:val="22"/>
          <w:szCs w:val="22"/>
          <w:lang w:val="fr-CA"/>
        </w:rPr>
        <w:t>.</w:t>
      </w:r>
    </w:p>
    <w:p w14:paraId="4DD5359D" w14:textId="586925A8" w:rsidR="00C707BC" w:rsidRPr="00720E01" w:rsidRDefault="008633E3" w:rsidP="00304215">
      <w:pPr>
        <w:pStyle w:val="Para1"/>
        <w:tabs>
          <w:tab w:val="clear" w:pos="360"/>
        </w:tabs>
        <w:rPr>
          <w:kern w:val="22"/>
          <w:szCs w:val="22"/>
          <w:lang w:val="fr-CA"/>
        </w:rPr>
      </w:pPr>
      <w:r w:rsidRPr="00720E01">
        <w:rPr>
          <w:kern w:val="22"/>
          <w:szCs w:val="22"/>
          <w:lang w:val="fr-CA"/>
        </w:rPr>
        <w:t xml:space="preserve">L’OCDE continue à suivre les tendances des éléments du soutien gouvernemental pouvant </w:t>
      </w:r>
      <w:r w:rsidR="00BA30E3">
        <w:rPr>
          <w:kern w:val="22"/>
          <w:szCs w:val="22"/>
          <w:lang w:val="fr-CA"/>
        </w:rPr>
        <w:t>potentiellement</w:t>
      </w:r>
      <w:r w:rsidRPr="00720E01">
        <w:rPr>
          <w:kern w:val="22"/>
          <w:szCs w:val="22"/>
          <w:lang w:val="fr-CA"/>
        </w:rPr>
        <w:t xml:space="preserve"> avoir des effets néfastes sur l’agriculture, comme indicateur de la mesure du progrès pour contrer les</w:t>
      </w:r>
      <w:r w:rsidR="00A525BA" w:rsidRPr="00720E01">
        <w:rPr>
          <w:kern w:val="22"/>
          <w:szCs w:val="22"/>
          <w:lang w:val="fr-CA"/>
        </w:rPr>
        <w:t xml:space="preserve"> mesures d’encouragement </w:t>
      </w:r>
      <w:r w:rsidR="00BA30E3">
        <w:rPr>
          <w:kern w:val="22"/>
          <w:szCs w:val="22"/>
          <w:lang w:val="fr-CA"/>
        </w:rPr>
        <w:t>néfastes</w:t>
      </w:r>
      <w:r w:rsidR="00A525BA" w:rsidRPr="00720E01">
        <w:rPr>
          <w:kern w:val="22"/>
          <w:szCs w:val="22"/>
          <w:lang w:val="fr-CA"/>
        </w:rPr>
        <w:t>, dont les subventions, conformément à l’objectif 3 d’Aichi pour la biodiversité. L’OCDE effectue le suivi des instruments économiques et de financement de la biodiversité par le biais de sa base de données mondiale sur les instruments de politique pour l’environnement.</w:t>
      </w:r>
      <w:r w:rsidR="00BA30E3">
        <w:rPr>
          <w:kern w:val="22"/>
          <w:szCs w:val="22"/>
          <w:lang w:val="fr-CA"/>
        </w:rPr>
        <w:t xml:space="preserve"> Près de 11</w:t>
      </w:r>
      <w:r w:rsidR="007444B0" w:rsidRPr="00720E01">
        <w:rPr>
          <w:kern w:val="22"/>
          <w:szCs w:val="22"/>
          <w:lang w:val="fr-CA"/>
        </w:rPr>
        <w:t>0 pays contribuent à cette base de données</w:t>
      </w:r>
      <w:r w:rsidR="00EF6326">
        <w:rPr>
          <w:kern w:val="22"/>
          <w:szCs w:val="22"/>
          <w:lang w:val="fr-CA"/>
        </w:rPr>
        <w:t xml:space="preserve"> à l’heure actuelle, qui fournit</w:t>
      </w:r>
      <w:r w:rsidR="007444B0" w:rsidRPr="00720E01">
        <w:rPr>
          <w:kern w:val="22"/>
          <w:szCs w:val="22"/>
          <w:lang w:val="fr-CA"/>
        </w:rPr>
        <w:t xml:space="preserve"> des informations sur plus de 3 500 instruments de politique d’intérêt pour l’environnement. </w:t>
      </w:r>
      <w:r w:rsidR="00E26E2C">
        <w:rPr>
          <w:kern w:val="22"/>
          <w:szCs w:val="22"/>
          <w:lang w:val="fr-CA"/>
        </w:rPr>
        <w:t>Environ</w:t>
      </w:r>
      <w:r w:rsidR="007444B0" w:rsidRPr="00720E01">
        <w:rPr>
          <w:kern w:val="22"/>
          <w:szCs w:val="22"/>
          <w:lang w:val="fr-CA"/>
        </w:rPr>
        <w:t xml:space="preserve"> 60 pays ont transmis des données sur les instruments économiques d’intérêt pour la biodiversité qu’ils ont mis en place (c.-à-d., taxes, droits et frais, permis échangeables et subventions en lien avec la biodiversité). La notification</w:t>
      </w:r>
      <w:r w:rsidR="00A525BA" w:rsidRPr="00720E01">
        <w:rPr>
          <w:kern w:val="22"/>
          <w:szCs w:val="22"/>
          <w:lang w:val="fr-CA"/>
        </w:rPr>
        <w:t xml:space="preserve"> </w:t>
      </w:r>
      <w:r w:rsidR="00EF6326">
        <w:rPr>
          <w:kern w:val="22"/>
          <w:szCs w:val="22"/>
          <w:lang w:val="fr-CA"/>
        </w:rPr>
        <w:t xml:space="preserve">2019-114 </w:t>
      </w:r>
      <w:r w:rsidR="007444B0" w:rsidRPr="00720E01">
        <w:rPr>
          <w:kern w:val="22"/>
          <w:szCs w:val="22"/>
          <w:lang w:val="fr-CA"/>
        </w:rPr>
        <w:t xml:space="preserve">du 12 décembre 2019 lance une invitation à contribuer à la base de données </w:t>
      </w:r>
      <w:r w:rsidR="008D5C19" w:rsidRPr="00720E01">
        <w:rPr>
          <w:kern w:val="22"/>
          <w:szCs w:val="22"/>
          <w:lang w:val="fr-CA"/>
        </w:rPr>
        <w:t>mondiale sur les instruments de politique pour l’environnement. La base de données mondiale sur les instruments de politique pour l’environnement</w:t>
      </w:r>
      <w:r w:rsidR="00C707BC" w:rsidRPr="00720E01">
        <w:rPr>
          <w:kern w:val="22"/>
          <w:szCs w:val="22"/>
          <w:lang w:val="fr-CA"/>
        </w:rPr>
        <w:t xml:space="preserve"> </w:t>
      </w:r>
      <w:r w:rsidR="008D5C19" w:rsidRPr="00720E01">
        <w:rPr>
          <w:kern w:val="22"/>
          <w:szCs w:val="22"/>
          <w:lang w:val="fr-CA"/>
        </w:rPr>
        <w:t xml:space="preserve">est un </w:t>
      </w:r>
      <w:r w:rsidR="00F5171D">
        <w:rPr>
          <w:kern w:val="22"/>
          <w:szCs w:val="22"/>
          <w:lang w:val="fr-CA"/>
        </w:rPr>
        <w:t>répertoire</w:t>
      </w:r>
      <w:r w:rsidR="008D5C19" w:rsidRPr="00720E01">
        <w:rPr>
          <w:kern w:val="22"/>
          <w:szCs w:val="22"/>
          <w:lang w:val="fr-CA"/>
        </w:rPr>
        <w:t xml:space="preserve"> de données sur les indicateurs pertinents pour assurer le suivi des progrès accomplis dans la mise en œuvre de l’élément lié aux mesures d’encouragement positives de l’objectif 3 d’Aichi (voir l’annexe à la décision XIII/28)</w:t>
      </w:r>
      <w:r w:rsidR="00C707BC" w:rsidRPr="00720E01">
        <w:rPr>
          <w:kern w:val="22"/>
          <w:szCs w:val="22"/>
          <w:lang w:val="fr-CA"/>
        </w:rPr>
        <w:t>.</w:t>
      </w:r>
      <w:r w:rsidR="008D5C19" w:rsidRPr="00720E01">
        <w:rPr>
          <w:kern w:val="22"/>
          <w:szCs w:val="22"/>
          <w:lang w:val="fr-CA"/>
        </w:rPr>
        <w:t xml:space="preserve"> L’OCDE est également en voie d’</w:t>
      </w:r>
      <w:r w:rsidR="00B203C1" w:rsidRPr="00720E01">
        <w:rPr>
          <w:kern w:val="22"/>
          <w:szCs w:val="22"/>
          <w:lang w:val="fr-CA"/>
        </w:rPr>
        <w:t>élaborer de</w:t>
      </w:r>
      <w:r w:rsidR="00EF6326">
        <w:rPr>
          <w:kern w:val="22"/>
          <w:szCs w:val="22"/>
          <w:lang w:val="fr-CA"/>
        </w:rPr>
        <w:t>s</w:t>
      </w:r>
      <w:r w:rsidR="00B203C1" w:rsidRPr="00720E01">
        <w:rPr>
          <w:kern w:val="22"/>
          <w:szCs w:val="22"/>
          <w:lang w:val="fr-CA"/>
        </w:rPr>
        <w:t xml:space="preserve"> </w:t>
      </w:r>
      <w:r w:rsidR="00B203C1" w:rsidRPr="00720E01">
        <w:rPr>
          <w:kern w:val="22"/>
          <w:szCs w:val="22"/>
          <w:lang w:val="fr-CA"/>
        </w:rPr>
        <w:lastRenderedPageBreak/>
        <w:t>questionnaires pour assurer le suivi de deux instruments économiques supplémentaires, à savoir le paiement pour les services écosystémiques et les mesure</w:t>
      </w:r>
      <w:r w:rsidR="00EF6326">
        <w:rPr>
          <w:kern w:val="22"/>
          <w:szCs w:val="22"/>
          <w:lang w:val="fr-CA"/>
        </w:rPr>
        <w:t>s</w:t>
      </w:r>
      <w:r w:rsidR="00B203C1" w:rsidRPr="00720E01">
        <w:rPr>
          <w:kern w:val="22"/>
          <w:szCs w:val="22"/>
          <w:lang w:val="fr-CA"/>
        </w:rPr>
        <w:t xml:space="preserve"> compensatoires des atteintes à la biodiversité.</w:t>
      </w:r>
    </w:p>
    <w:p w14:paraId="30832F9D" w14:textId="3D985D87" w:rsidR="001E41B6" w:rsidRPr="00720E01" w:rsidRDefault="00BD6291" w:rsidP="00304215">
      <w:pPr>
        <w:pStyle w:val="Para1"/>
        <w:tabs>
          <w:tab w:val="clear" w:pos="360"/>
        </w:tabs>
        <w:rPr>
          <w:kern w:val="22"/>
          <w:szCs w:val="22"/>
          <w:lang w:val="fr-CA"/>
        </w:rPr>
      </w:pPr>
      <w:r w:rsidRPr="00720E01">
        <w:rPr>
          <w:kern w:val="22"/>
          <w:szCs w:val="22"/>
          <w:lang w:val="fr-CA"/>
        </w:rPr>
        <w:t xml:space="preserve">Le Programme des Nations Unies pour l’environnement a récemment lancé un programme de réforme fiscale pour l’agriculture durable </w:t>
      </w:r>
      <w:r w:rsidR="006B2750" w:rsidRPr="00720E01">
        <w:rPr>
          <w:kern w:val="22"/>
          <w:szCs w:val="22"/>
          <w:lang w:val="fr-CA"/>
        </w:rPr>
        <w:t>auquel collabore</w:t>
      </w:r>
      <w:r w:rsidRPr="00720E01">
        <w:rPr>
          <w:kern w:val="22"/>
          <w:szCs w:val="22"/>
          <w:lang w:val="fr-CA"/>
        </w:rPr>
        <w:t xml:space="preserve"> le Sec</w:t>
      </w:r>
      <w:r w:rsidR="006F6C78" w:rsidRPr="00720E01">
        <w:rPr>
          <w:kern w:val="22"/>
          <w:szCs w:val="22"/>
          <w:lang w:val="fr-CA"/>
        </w:rPr>
        <w:t>rétariat par le biais du gr</w:t>
      </w:r>
      <w:r w:rsidR="006B2750" w:rsidRPr="00720E01">
        <w:rPr>
          <w:kern w:val="22"/>
          <w:szCs w:val="22"/>
          <w:lang w:val="fr-CA"/>
        </w:rPr>
        <w:t xml:space="preserve">oupe d’experts techniques du programme. Ce programme vise à contribuer aux engagements internationaux au titre </w:t>
      </w:r>
      <w:r w:rsidR="006F6C78" w:rsidRPr="00720E01">
        <w:rPr>
          <w:kern w:val="22"/>
          <w:szCs w:val="22"/>
          <w:lang w:val="fr-CA"/>
        </w:rPr>
        <w:t>d</w:t>
      </w:r>
      <w:r w:rsidR="006B2750" w:rsidRPr="00720E01">
        <w:rPr>
          <w:kern w:val="22"/>
          <w:szCs w:val="22"/>
          <w:lang w:val="fr-CA"/>
        </w:rPr>
        <w:t xml:space="preserve">es Objectifs de développement durable et de la Convention sur la diversité biologique, </w:t>
      </w:r>
      <w:r w:rsidR="006F6C78" w:rsidRPr="00720E01">
        <w:rPr>
          <w:kern w:val="22"/>
          <w:szCs w:val="22"/>
          <w:lang w:val="fr-CA"/>
        </w:rPr>
        <w:t>afin de resserrer les écarts de connaissances connus</w:t>
      </w:r>
      <w:r w:rsidR="00EF6326">
        <w:rPr>
          <w:kern w:val="22"/>
          <w:szCs w:val="22"/>
          <w:lang w:val="fr-CA"/>
        </w:rPr>
        <w:t>,</w:t>
      </w:r>
      <w:r w:rsidR="006F6C78" w:rsidRPr="00720E01">
        <w:rPr>
          <w:kern w:val="22"/>
          <w:szCs w:val="22"/>
          <w:lang w:val="fr-CA"/>
        </w:rPr>
        <w:t xml:space="preserve"> de développer le dynamisme du programme et d’encourager son avancement en 2020-2021 en appliquant une approche globale en matière de systèmes alimentaires. </w:t>
      </w:r>
      <w:r w:rsidR="000F5639" w:rsidRPr="00720E01">
        <w:rPr>
          <w:kern w:val="22"/>
          <w:szCs w:val="22"/>
          <w:lang w:val="fr-CA"/>
        </w:rPr>
        <w:t xml:space="preserve">Le programme </w:t>
      </w:r>
      <w:r w:rsidR="00E26E2C">
        <w:rPr>
          <w:kern w:val="22"/>
          <w:szCs w:val="22"/>
          <w:lang w:val="fr-CA"/>
        </w:rPr>
        <w:t>comprend</w:t>
      </w:r>
      <w:r w:rsidR="000F5639" w:rsidRPr="00720E01">
        <w:rPr>
          <w:kern w:val="22"/>
          <w:szCs w:val="22"/>
          <w:lang w:val="fr-CA"/>
        </w:rPr>
        <w:t xml:space="preserve"> </w:t>
      </w:r>
      <w:r w:rsidR="00E26E2C">
        <w:rPr>
          <w:kern w:val="22"/>
          <w:szCs w:val="22"/>
          <w:lang w:val="fr-CA"/>
        </w:rPr>
        <w:t>des</w:t>
      </w:r>
      <w:r w:rsidR="000F5639" w:rsidRPr="00720E01">
        <w:rPr>
          <w:kern w:val="22"/>
          <w:szCs w:val="22"/>
          <w:lang w:val="fr-CA"/>
        </w:rPr>
        <w:t xml:space="preserve"> plans pour organiser une série d’activités de proximité, dont des dialogues de politique de haut niveau lors de conférences internationales, lancer un</w:t>
      </w:r>
      <w:r w:rsidR="004C3F94">
        <w:rPr>
          <w:kern w:val="22"/>
          <w:szCs w:val="22"/>
          <w:lang w:val="fr-CA"/>
        </w:rPr>
        <w:t>e</w:t>
      </w:r>
      <w:r w:rsidR="000F5639" w:rsidRPr="00720E01">
        <w:rPr>
          <w:kern w:val="22"/>
          <w:szCs w:val="22"/>
          <w:lang w:val="fr-CA"/>
        </w:rPr>
        <w:t xml:space="preserve"> campagne de communications ciblées autour d’un exposé de faits positif et produire un rapport mondial sur la réorientation du soutien agricole vers les systèmes alimentaires durables.</w:t>
      </w:r>
    </w:p>
    <w:p w14:paraId="0865EB68" w14:textId="73DAE3C6" w:rsidR="00084813" w:rsidRPr="00720E01" w:rsidRDefault="00FF5037" w:rsidP="00304215">
      <w:pPr>
        <w:pStyle w:val="Titre1"/>
        <w:suppressLineNumbers/>
        <w:tabs>
          <w:tab w:val="clear" w:pos="720"/>
        </w:tabs>
        <w:suppressAutoHyphens/>
        <w:kinsoku w:val="0"/>
        <w:overflowPunct w:val="0"/>
        <w:autoSpaceDE w:val="0"/>
        <w:autoSpaceDN w:val="0"/>
        <w:adjustRightInd w:val="0"/>
        <w:snapToGrid w:val="0"/>
        <w:spacing w:line="235" w:lineRule="auto"/>
        <w:rPr>
          <w:bCs/>
          <w:snapToGrid w:val="0"/>
          <w:kern w:val="22"/>
          <w:szCs w:val="22"/>
          <w:lang w:val="fr-CA"/>
        </w:rPr>
      </w:pPr>
      <w:r w:rsidRPr="00720E01">
        <w:rPr>
          <w:bCs/>
          <w:snapToGrid w:val="0"/>
          <w:kern w:val="22"/>
          <w:szCs w:val="22"/>
          <w:lang w:val="fr-CA"/>
        </w:rPr>
        <w:t>IV</w:t>
      </w:r>
      <w:r w:rsidR="00084813" w:rsidRPr="00720E01">
        <w:rPr>
          <w:bCs/>
          <w:snapToGrid w:val="0"/>
          <w:kern w:val="22"/>
          <w:szCs w:val="22"/>
          <w:lang w:val="fr-CA"/>
        </w:rPr>
        <w:t xml:space="preserve">. </w:t>
      </w:r>
      <w:r w:rsidR="00491CB6" w:rsidRPr="00720E01">
        <w:rPr>
          <w:bCs/>
          <w:snapToGrid w:val="0"/>
          <w:kern w:val="22"/>
          <w:szCs w:val="22"/>
          <w:lang w:val="fr-CA"/>
        </w:rPr>
        <w:tab/>
      </w:r>
      <w:r w:rsidR="000F5639" w:rsidRPr="00720E01">
        <w:rPr>
          <w:bCs/>
          <w:snapToGrid w:val="0"/>
          <w:kern w:val="22"/>
          <w:szCs w:val="22"/>
          <w:lang w:val="fr-CA"/>
        </w:rPr>
        <w:t>CONCLusions et éléments d’un projet de décision</w:t>
      </w:r>
    </w:p>
    <w:p w14:paraId="4904B332" w14:textId="1E9E7347" w:rsidR="00084813" w:rsidRPr="00720E01" w:rsidRDefault="00491CB6" w:rsidP="001C6487">
      <w:pPr>
        <w:pStyle w:val="Titre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fr-CA"/>
        </w:rPr>
      </w:pPr>
      <w:r w:rsidRPr="00720E01">
        <w:rPr>
          <w:snapToGrid w:val="0"/>
          <w:kern w:val="22"/>
          <w:szCs w:val="22"/>
          <w:lang w:val="fr-CA"/>
        </w:rPr>
        <w:t>A.</w:t>
      </w:r>
      <w:r w:rsidRPr="00720E01">
        <w:rPr>
          <w:snapToGrid w:val="0"/>
          <w:kern w:val="22"/>
          <w:szCs w:val="22"/>
          <w:lang w:val="fr-CA"/>
        </w:rPr>
        <w:tab/>
      </w:r>
      <w:r w:rsidR="000F5639" w:rsidRPr="00720E01">
        <w:rPr>
          <w:snapToGrid w:val="0"/>
          <w:kern w:val="22"/>
          <w:szCs w:val="22"/>
          <w:lang w:val="fr-CA"/>
        </w:rPr>
        <w:t>Volet de mobilisation des ressources du cadre de la biodiversité pour l</w:t>
      </w:r>
      <w:r w:rsidR="004C3F94">
        <w:rPr>
          <w:snapToGrid w:val="0"/>
          <w:kern w:val="22"/>
          <w:szCs w:val="22"/>
          <w:lang w:val="fr-CA"/>
        </w:rPr>
        <w:t>’</w:t>
      </w:r>
      <w:r w:rsidR="000F5639" w:rsidRPr="00720E01">
        <w:rPr>
          <w:snapToGrid w:val="0"/>
          <w:kern w:val="22"/>
          <w:szCs w:val="22"/>
          <w:lang w:val="fr-CA"/>
        </w:rPr>
        <w:t>après-2020</w:t>
      </w:r>
    </w:p>
    <w:p w14:paraId="4EEC663E" w14:textId="5F37FA2C" w:rsidR="009B7E53" w:rsidRPr="00720E01" w:rsidRDefault="00D17198" w:rsidP="00304215">
      <w:pPr>
        <w:pStyle w:val="Para1"/>
        <w:tabs>
          <w:tab w:val="clear" w:pos="360"/>
        </w:tabs>
        <w:rPr>
          <w:kern w:val="22"/>
          <w:szCs w:val="22"/>
          <w:lang w:val="fr-CA"/>
        </w:rPr>
      </w:pPr>
      <w:r w:rsidRPr="00720E01">
        <w:rPr>
          <w:kern w:val="22"/>
          <w:szCs w:val="22"/>
          <w:lang w:val="fr-CA"/>
        </w:rPr>
        <w:t>Le groupe d’experts a présenté sa contribution au volet de projet de mobilisation des ressources du cadre mondial de la biodiversité pour l</w:t>
      </w:r>
      <w:r w:rsidR="004C3F94">
        <w:rPr>
          <w:kern w:val="22"/>
          <w:szCs w:val="22"/>
          <w:lang w:val="fr-CA"/>
        </w:rPr>
        <w:t>’</w:t>
      </w:r>
      <w:r w:rsidRPr="00720E01">
        <w:rPr>
          <w:kern w:val="22"/>
          <w:szCs w:val="22"/>
          <w:lang w:val="fr-CA"/>
        </w:rPr>
        <w:t>après-2020 dans son troisième rapport</w:t>
      </w:r>
      <w:r w:rsidR="006736F7" w:rsidRPr="00720E01">
        <w:rPr>
          <w:kern w:val="22"/>
          <w:szCs w:val="22"/>
          <w:lang w:val="fr-CA"/>
        </w:rPr>
        <w:t xml:space="preserve"> (CBD/</w:t>
      </w:r>
      <w:proofErr w:type="spellStart"/>
      <w:r w:rsidR="006736F7" w:rsidRPr="00720E01">
        <w:rPr>
          <w:kern w:val="22"/>
          <w:szCs w:val="22"/>
          <w:lang w:val="fr-CA"/>
        </w:rPr>
        <w:t>SBI</w:t>
      </w:r>
      <w:proofErr w:type="spellEnd"/>
      <w:r w:rsidR="006736F7" w:rsidRPr="00720E01">
        <w:rPr>
          <w:kern w:val="22"/>
          <w:szCs w:val="22"/>
          <w:lang w:val="fr-CA"/>
        </w:rPr>
        <w:t>/3/5/Add.3)</w:t>
      </w:r>
      <w:r w:rsidR="000C4162" w:rsidRPr="00720E01">
        <w:rPr>
          <w:kern w:val="22"/>
          <w:szCs w:val="22"/>
          <w:lang w:val="fr-CA"/>
        </w:rPr>
        <w:t xml:space="preserve">. </w:t>
      </w:r>
      <w:r w:rsidRPr="00720E01">
        <w:rPr>
          <w:kern w:val="22"/>
          <w:szCs w:val="22"/>
          <w:lang w:val="fr-CA"/>
        </w:rPr>
        <w:t>La contribution se divise en deux parties. La partie VI du document présente les propositions du groupe d’experts sur les moyens d’incorporer la mobilisation des ressources dans le cadre mondial de la biodiversité pour l</w:t>
      </w:r>
      <w:r w:rsidR="004C3F94">
        <w:rPr>
          <w:kern w:val="22"/>
          <w:szCs w:val="22"/>
          <w:lang w:val="fr-CA"/>
        </w:rPr>
        <w:t>’</w:t>
      </w:r>
      <w:r w:rsidRPr="00720E01">
        <w:rPr>
          <w:kern w:val="22"/>
          <w:szCs w:val="22"/>
          <w:lang w:val="fr-CA"/>
        </w:rPr>
        <w:t xml:space="preserve">après-2020 sous forme </w:t>
      </w:r>
      <w:r w:rsidR="00D649A2" w:rsidRPr="00720E01">
        <w:rPr>
          <w:kern w:val="22"/>
          <w:szCs w:val="22"/>
          <w:lang w:val="fr-CA"/>
        </w:rPr>
        <w:t>d’objectifs</w:t>
      </w:r>
      <w:r w:rsidRPr="00720E01">
        <w:rPr>
          <w:kern w:val="22"/>
          <w:szCs w:val="22"/>
          <w:lang w:val="fr-CA"/>
        </w:rPr>
        <w:t xml:space="preserve"> possibles</w:t>
      </w:r>
      <w:r w:rsidR="00D649A2" w:rsidRPr="00720E01">
        <w:rPr>
          <w:kern w:val="22"/>
          <w:szCs w:val="22"/>
          <w:lang w:val="fr-CA"/>
        </w:rPr>
        <w:t xml:space="preserve">, tandis que les parties I à V proposent une démarche stratégique pour </w:t>
      </w:r>
      <w:r w:rsidR="00EF6B28">
        <w:rPr>
          <w:kern w:val="22"/>
          <w:szCs w:val="22"/>
          <w:lang w:val="fr-CA"/>
        </w:rPr>
        <w:t>remplacer</w:t>
      </w:r>
      <w:r w:rsidR="006805F6">
        <w:rPr>
          <w:kern w:val="22"/>
          <w:szCs w:val="22"/>
          <w:lang w:val="fr-CA"/>
        </w:rPr>
        <w:t xml:space="preserve"> </w:t>
      </w:r>
      <w:r w:rsidR="00D649A2" w:rsidRPr="00720E01">
        <w:rPr>
          <w:kern w:val="22"/>
          <w:szCs w:val="22"/>
          <w:lang w:val="fr-CA"/>
        </w:rPr>
        <w:t>la stratégie actuelle de mobilisation des ressources. Les objectifs et la démarche stratégique</w:t>
      </w:r>
      <w:r w:rsidRPr="00720E01">
        <w:rPr>
          <w:kern w:val="22"/>
          <w:szCs w:val="22"/>
          <w:lang w:val="fr-CA"/>
        </w:rPr>
        <w:t xml:space="preserve"> </w:t>
      </w:r>
      <w:r w:rsidR="00D649A2" w:rsidRPr="00720E01">
        <w:rPr>
          <w:kern w:val="22"/>
          <w:szCs w:val="22"/>
          <w:lang w:val="fr-CA"/>
        </w:rPr>
        <w:t xml:space="preserve">proposés sont </w:t>
      </w:r>
      <w:r w:rsidR="006805F6">
        <w:rPr>
          <w:kern w:val="22"/>
          <w:szCs w:val="22"/>
          <w:lang w:val="fr-CA"/>
        </w:rPr>
        <w:t>construits</w:t>
      </w:r>
      <w:r w:rsidR="00D649A2" w:rsidRPr="00720E01">
        <w:rPr>
          <w:kern w:val="22"/>
          <w:szCs w:val="22"/>
          <w:lang w:val="fr-CA"/>
        </w:rPr>
        <w:t xml:space="preserve"> de la même façon et comprennent trois éléments interreliés et complémentaires : a) réduire ou </w:t>
      </w:r>
      <w:r w:rsidR="006805F6">
        <w:rPr>
          <w:kern w:val="22"/>
          <w:szCs w:val="22"/>
          <w:lang w:val="fr-CA"/>
        </w:rPr>
        <w:t>rediriger</w:t>
      </w:r>
      <w:r w:rsidR="00D649A2" w:rsidRPr="00720E01">
        <w:rPr>
          <w:kern w:val="22"/>
          <w:szCs w:val="22"/>
          <w:lang w:val="fr-CA"/>
        </w:rPr>
        <w:t xml:space="preserve"> les ressources nuisibles pour la biodiversité, b) </w:t>
      </w:r>
      <w:r w:rsidR="006805F6">
        <w:rPr>
          <w:kern w:val="22"/>
          <w:szCs w:val="22"/>
          <w:lang w:val="fr-CA"/>
        </w:rPr>
        <w:t>créer</w:t>
      </w:r>
      <w:r w:rsidR="00D649A2" w:rsidRPr="00720E01">
        <w:rPr>
          <w:kern w:val="22"/>
          <w:szCs w:val="22"/>
          <w:lang w:val="fr-CA"/>
        </w:rPr>
        <w:t xml:space="preserve"> des ressources supplémentaires de toutes les sources et c) améliorer l’efficacité et l’efficience de l’utilisation des ressources. </w:t>
      </w:r>
      <w:r w:rsidR="00474EA8" w:rsidRPr="00720E01">
        <w:rPr>
          <w:kern w:val="22"/>
          <w:szCs w:val="22"/>
          <w:lang w:val="fr-CA"/>
        </w:rPr>
        <w:t xml:space="preserve">Il existe des liens d’interdépendance et </w:t>
      </w:r>
      <w:r w:rsidR="008B114A">
        <w:rPr>
          <w:kern w:val="22"/>
          <w:szCs w:val="22"/>
          <w:lang w:val="fr-CA"/>
        </w:rPr>
        <w:t xml:space="preserve">une </w:t>
      </w:r>
      <w:proofErr w:type="spellStart"/>
      <w:r w:rsidR="008B114A">
        <w:rPr>
          <w:kern w:val="22"/>
          <w:szCs w:val="22"/>
          <w:lang w:val="fr-CA"/>
        </w:rPr>
        <w:t>interfécondation</w:t>
      </w:r>
      <w:proofErr w:type="spellEnd"/>
      <w:r w:rsidR="00474EA8" w:rsidRPr="00720E01">
        <w:rPr>
          <w:kern w:val="22"/>
          <w:szCs w:val="22"/>
          <w:lang w:val="fr-CA"/>
        </w:rPr>
        <w:t xml:space="preserve"> possible entre certains objectifs de mobilisation des ressources proposés par le groupe d’experts et les buts de la démarche stratégique à long terme pour l’intégration élaborés avec le soutien du Groupe consultatif informel sur l’intégration.</w:t>
      </w:r>
    </w:p>
    <w:p w14:paraId="580E2F68" w14:textId="1A1F515A" w:rsidR="008802C6" w:rsidRPr="00720E01" w:rsidRDefault="00474EA8" w:rsidP="00304215">
      <w:pPr>
        <w:pStyle w:val="Para1"/>
        <w:tabs>
          <w:tab w:val="clear" w:pos="360"/>
        </w:tabs>
        <w:rPr>
          <w:kern w:val="22"/>
          <w:szCs w:val="22"/>
          <w:lang w:val="fr-CA"/>
        </w:rPr>
      </w:pPr>
      <w:r w:rsidRPr="00720E01">
        <w:rPr>
          <w:kern w:val="22"/>
          <w:szCs w:val="22"/>
          <w:lang w:val="fr-CA"/>
        </w:rPr>
        <w:t xml:space="preserve">Ces deux parties sont </w:t>
      </w:r>
      <w:r w:rsidR="008B114A">
        <w:rPr>
          <w:kern w:val="22"/>
          <w:szCs w:val="22"/>
          <w:lang w:val="fr-CA"/>
        </w:rPr>
        <w:t>reflétées</w:t>
      </w:r>
      <w:r w:rsidRPr="00720E01">
        <w:rPr>
          <w:kern w:val="22"/>
          <w:szCs w:val="22"/>
          <w:lang w:val="fr-CA"/>
        </w:rPr>
        <w:t xml:space="preserve"> dans le projet de recommandation ci-dessous</w:t>
      </w:r>
      <w:r w:rsidR="008B114A">
        <w:rPr>
          <w:kern w:val="22"/>
          <w:szCs w:val="22"/>
          <w:lang w:val="fr-CA"/>
        </w:rPr>
        <w:t>,</w:t>
      </w:r>
      <w:r w:rsidRPr="00720E01">
        <w:rPr>
          <w:kern w:val="22"/>
          <w:szCs w:val="22"/>
          <w:lang w:val="fr-CA"/>
        </w:rPr>
        <w:t xml:space="preserve"> sous forme de projets d’</w:t>
      </w:r>
      <w:r w:rsidR="00980AD1" w:rsidRPr="00720E01">
        <w:rPr>
          <w:kern w:val="22"/>
          <w:szCs w:val="22"/>
          <w:lang w:val="fr-CA"/>
        </w:rPr>
        <w:t>éléments sur la mobilisati</w:t>
      </w:r>
      <w:r w:rsidRPr="00720E01">
        <w:rPr>
          <w:kern w:val="22"/>
          <w:szCs w:val="22"/>
          <w:lang w:val="fr-CA"/>
        </w:rPr>
        <w:t>on des ressources</w:t>
      </w:r>
      <w:r w:rsidR="00980AD1" w:rsidRPr="00720E01">
        <w:rPr>
          <w:kern w:val="22"/>
          <w:szCs w:val="22"/>
          <w:lang w:val="fr-CA"/>
        </w:rPr>
        <w:t xml:space="preserve"> aux fins d’intégration possible dans le cadre mondial de la biodiversité pour l</w:t>
      </w:r>
      <w:r w:rsidR="004C3F94">
        <w:rPr>
          <w:kern w:val="22"/>
          <w:szCs w:val="22"/>
          <w:lang w:val="fr-CA"/>
        </w:rPr>
        <w:t>’</w:t>
      </w:r>
      <w:r w:rsidR="00980AD1" w:rsidRPr="00720E01">
        <w:rPr>
          <w:kern w:val="22"/>
          <w:szCs w:val="22"/>
          <w:lang w:val="fr-CA"/>
        </w:rPr>
        <w:t>après-2020 (annexe I) et les projets d’éléments d’un</w:t>
      </w:r>
      <w:r w:rsidR="00EF6B28">
        <w:rPr>
          <w:kern w:val="22"/>
          <w:szCs w:val="22"/>
          <w:lang w:val="fr-CA"/>
        </w:rPr>
        <w:t xml:space="preserve">e démarche stratégique </w:t>
      </w:r>
      <w:r w:rsidR="00FA1427">
        <w:rPr>
          <w:kern w:val="22"/>
          <w:szCs w:val="22"/>
          <w:lang w:val="fr-CA"/>
        </w:rPr>
        <w:t xml:space="preserve">possible </w:t>
      </w:r>
      <w:r w:rsidR="00EF6B28">
        <w:rPr>
          <w:kern w:val="22"/>
          <w:szCs w:val="22"/>
          <w:lang w:val="fr-CA"/>
        </w:rPr>
        <w:t xml:space="preserve">pour remplacer </w:t>
      </w:r>
      <w:r w:rsidR="00980AD1" w:rsidRPr="00720E01">
        <w:rPr>
          <w:kern w:val="22"/>
          <w:szCs w:val="22"/>
          <w:lang w:val="fr-CA"/>
        </w:rPr>
        <w:t>la stratégie actuelle de mobilisation des ressources (annexe II). L’Organe subsidiaire pourrait souhaiter inviter le Groupe de travail à composition non limitée sur le cadre mondial de la biodiversité pour l</w:t>
      </w:r>
      <w:r w:rsidR="004C3F94">
        <w:rPr>
          <w:kern w:val="22"/>
          <w:szCs w:val="22"/>
          <w:lang w:val="fr-CA"/>
        </w:rPr>
        <w:t>’</w:t>
      </w:r>
      <w:r w:rsidR="00980AD1" w:rsidRPr="00720E01">
        <w:rPr>
          <w:kern w:val="22"/>
          <w:szCs w:val="22"/>
          <w:lang w:val="fr-CA"/>
        </w:rPr>
        <w:t>après-2020 et ses coprésidents à tenir compte des projets d’éléments sur la mobilisation des ressources aux fins de leur intégration possible dans le cadre mondial de la biodiversité pour l</w:t>
      </w:r>
      <w:r w:rsidR="004C3F94">
        <w:rPr>
          <w:kern w:val="22"/>
          <w:szCs w:val="22"/>
          <w:lang w:val="fr-CA"/>
        </w:rPr>
        <w:t>’</w:t>
      </w:r>
      <w:r w:rsidR="00980AD1" w:rsidRPr="00720E01">
        <w:rPr>
          <w:kern w:val="22"/>
          <w:szCs w:val="22"/>
          <w:lang w:val="fr-CA"/>
        </w:rPr>
        <w:t xml:space="preserve">après-2020 (annexe i) et recommander à la Conférence des Parties, à sa quinzième réunion, d’adopter </w:t>
      </w:r>
      <w:r w:rsidR="00C15CF0">
        <w:rPr>
          <w:kern w:val="22"/>
          <w:szCs w:val="22"/>
          <w:lang w:val="fr-CA"/>
        </w:rPr>
        <w:t>la</w:t>
      </w:r>
      <w:r w:rsidR="00EF6B28">
        <w:rPr>
          <w:kern w:val="22"/>
          <w:szCs w:val="22"/>
          <w:lang w:val="fr-CA"/>
        </w:rPr>
        <w:t xml:space="preserve"> démarche stratégique pour remplacer</w:t>
      </w:r>
      <w:r w:rsidR="00980AD1" w:rsidRPr="00720E01">
        <w:rPr>
          <w:kern w:val="22"/>
          <w:szCs w:val="22"/>
          <w:lang w:val="fr-CA"/>
        </w:rPr>
        <w:t xml:space="preserve"> la stratégie actuelle de mobilisation des ressources</w:t>
      </w:r>
      <w:r w:rsidR="00D82ED2">
        <w:rPr>
          <w:kern w:val="22"/>
          <w:szCs w:val="22"/>
          <w:lang w:val="fr-CA"/>
        </w:rPr>
        <w:t>,</w:t>
      </w:r>
      <w:r w:rsidR="00980AD1" w:rsidRPr="00720E01">
        <w:rPr>
          <w:kern w:val="22"/>
          <w:szCs w:val="22"/>
          <w:lang w:val="fr-CA"/>
        </w:rPr>
        <w:t xml:space="preserve"> contenu</w:t>
      </w:r>
      <w:r w:rsidR="00DB4BD9">
        <w:rPr>
          <w:kern w:val="22"/>
          <w:szCs w:val="22"/>
          <w:lang w:val="fr-CA"/>
        </w:rPr>
        <w:t>e</w:t>
      </w:r>
      <w:r w:rsidR="00980AD1" w:rsidRPr="00720E01">
        <w:rPr>
          <w:kern w:val="22"/>
          <w:szCs w:val="22"/>
          <w:lang w:val="fr-CA"/>
        </w:rPr>
        <w:t xml:space="preserve"> à l’annexe II</w:t>
      </w:r>
      <w:r w:rsidR="005B1CD9" w:rsidRPr="00720E01">
        <w:rPr>
          <w:kern w:val="22"/>
          <w:szCs w:val="22"/>
          <w:lang w:val="fr-CA"/>
        </w:rPr>
        <w:t>.</w:t>
      </w:r>
    </w:p>
    <w:p w14:paraId="0959C702" w14:textId="0B6F309D" w:rsidR="009B7E53" w:rsidRPr="00720E01" w:rsidRDefault="00980AD1" w:rsidP="00304215">
      <w:pPr>
        <w:pStyle w:val="Para1"/>
        <w:tabs>
          <w:tab w:val="clear" w:pos="360"/>
        </w:tabs>
        <w:rPr>
          <w:kern w:val="22"/>
          <w:szCs w:val="22"/>
          <w:lang w:val="fr-CA"/>
        </w:rPr>
      </w:pPr>
      <w:r w:rsidRPr="00720E01">
        <w:rPr>
          <w:kern w:val="22"/>
          <w:szCs w:val="22"/>
          <w:lang w:val="fr-CA"/>
        </w:rPr>
        <w:t>La contribution du groupe d’experts contient également des observations et des suggestions concernant le</w:t>
      </w:r>
      <w:r w:rsidR="00824C10" w:rsidRPr="00720E01">
        <w:rPr>
          <w:kern w:val="22"/>
          <w:szCs w:val="22"/>
          <w:lang w:val="fr-CA"/>
        </w:rPr>
        <w:t>s</w:t>
      </w:r>
      <w:r w:rsidRPr="00720E01">
        <w:rPr>
          <w:kern w:val="22"/>
          <w:szCs w:val="22"/>
          <w:lang w:val="fr-CA"/>
        </w:rPr>
        <w:t xml:space="preserve"> besoin</w:t>
      </w:r>
      <w:r w:rsidR="00824C10" w:rsidRPr="00720E01">
        <w:rPr>
          <w:kern w:val="22"/>
          <w:szCs w:val="22"/>
          <w:lang w:val="fr-CA"/>
        </w:rPr>
        <w:t>s</w:t>
      </w:r>
      <w:r w:rsidRPr="00720E01">
        <w:rPr>
          <w:kern w:val="22"/>
          <w:szCs w:val="22"/>
          <w:lang w:val="fr-CA"/>
        </w:rPr>
        <w:t xml:space="preserve"> perpétuel</w:t>
      </w:r>
      <w:r w:rsidR="00824C10" w:rsidRPr="00720E01">
        <w:rPr>
          <w:kern w:val="22"/>
          <w:szCs w:val="22"/>
          <w:lang w:val="fr-CA"/>
        </w:rPr>
        <w:t>s</w:t>
      </w:r>
      <w:r w:rsidRPr="00720E01">
        <w:rPr>
          <w:kern w:val="22"/>
          <w:szCs w:val="22"/>
          <w:lang w:val="fr-CA"/>
        </w:rPr>
        <w:t xml:space="preserve"> </w:t>
      </w:r>
      <w:r w:rsidR="00824C10" w:rsidRPr="00720E01">
        <w:rPr>
          <w:kern w:val="22"/>
          <w:szCs w:val="22"/>
          <w:lang w:val="fr-CA"/>
        </w:rPr>
        <w:t>de soutien technique et de renforcement des ca</w:t>
      </w:r>
      <w:r w:rsidR="00D82ED2">
        <w:rPr>
          <w:kern w:val="22"/>
          <w:szCs w:val="22"/>
          <w:lang w:val="fr-CA"/>
        </w:rPr>
        <w:t xml:space="preserve">pacités, dont l’élaboration de </w:t>
      </w:r>
      <w:r w:rsidR="00824C10" w:rsidRPr="00720E01">
        <w:rPr>
          <w:kern w:val="22"/>
          <w:szCs w:val="22"/>
          <w:lang w:val="fr-CA"/>
        </w:rPr>
        <w:t xml:space="preserve">plans financiers nationaux et autres activités de mobilisation des ressources, </w:t>
      </w:r>
      <w:r w:rsidRPr="00720E01">
        <w:rPr>
          <w:kern w:val="22"/>
          <w:szCs w:val="22"/>
          <w:lang w:val="fr-CA"/>
        </w:rPr>
        <w:t>des</w:t>
      </w:r>
      <w:r w:rsidR="00824C10" w:rsidRPr="00720E01">
        <w:rPr>
          <w:kern w:val="22"/>
          <w:szCs w:val="22"/>
          <w:lang w:val="fr-CA"/>
        </w:rPr>
        <w:t xml:space="preserve"> pays en développement et des pays à économies en transition</w:t>
      </w:r>
      <w:r w:rsidR="009B7E53" w:rsidRPr="00720E01">
        <w:rPr>
          <w:kern w:val="22"/>
          <w:szCs w:val="22"/>
          <w:lang w:val="fr-CA"/>
        </w:rPr>
        <w:t>.</w:t>
      </w:r>
      <w:r w:rsidR="00824C10" w:rsidRPr="00720E01">
        <w:rPr>
          <w:kern w:val="22"/>
          <w:szCs w:val="22"/>
          <w:lang w:val="fr-CA"/>
        </w:rPr>
        <w:t xml:space="preserve"> Ces suggestions ont été prises en compte dans le projet de recommandation ci-dessous</w:t>
      </w:r>
      <w:r w:rsidR="00D82ED2">
        <w:rPr>
          <w:kern w:val="22"/>
          <w:szCs w:val="22"/>
          <w:lang w:val="fr-CA"/>
        </w:rPr>
        <w:t>.</w:t>
      </w:r>
    </w:p>
    <w:p w14:paraId="72152078" w14:textId="0A81B948" w:rsidR="00CC6389" w:rsidRPr="00720E01" w:rsidRDefault="00491CB6" w:rsidP="007A6DAB">
      <w:pPr>
        <w:pStyle w:val="Titre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fr-CA"/>
        </w:rPr>
      </w:pPr>
      <w:r w:rsidRPr="00720E01">
        <w:rPr>
          <w:snapToGrid w:val="0"/>
          <w:kern w:val="22"/>
          <w:szCs w:val="22"/>
          <w:lang w:val="fr-CA"/>
        </w:rPr>
        <w:t>B.</w:t>
      </w:r>
      <w:r w:rsidRPr="00720E01">
        <w:rPr>
          <w:snapToGrid w:val="0"/>
          <w:kern w:val="22"/>
          <w:szCs w:val="22"/>
          <w:lang w:val="fr-CA"/>
        </w:rPr>
        <w:tab/>
      </w:r>
      <w:r w:rsidR="00D82ED2">
        <w:rPr>
          <w:snapToGrid w:val="0"/>
          <w:kern w:val="22"/>
          <w:szCs w:val="22"/>
          <w:lang w:val="fr-CA"/>
        </w:rPr>
        <w:t>Cadre de présentation des rapports financiers</w:t>
      </w:r>
    </w:p>
    <w:p w14:paraId="0FE95C5D" w14:textId="063D0298" w:rsidR="006714FD" w:rsidRPr="00720E01" w:rsidRDefault="00824C10" w:rsidP="00304215">
      <w:pPr>
        <w:pStyle w:val="Para1"/>
        <w:tabs>
          <w:tab w:val="clear" w:pos="360"/>
        </w:tabs>
        <w:rPr>
          <w:kern w:val="22"/>
          <w:szCs w:val="22"/>
          <w:lang w:val="fr-CA"/>
        </w:rPr>
      </w:pPr>
      <w:r w:rsidRPr="00720E01">
        <w:rPr>
          <w:kern w:val="22"/>
          <w:szCs w:val="22"/>
          <w:lang w:val="fr-CA"/>
        </w:rPr>
        <w:t>La contribution du groupe d’experts présentée dans le document</w:t>
      </w:r>
      <w:r w:rsidR="006714FD" w:rsidRPr="00720E01">
        <w:rPr>
          <w:kern w:val="22"/>
          <w:szCs w:val="22"/>
          <w:lang w:val="fr-CA"/>
        </w:rPr>
        <w:t xml:space="preserve"> CBD/</w:t>
      </w:r>
      <w:proofErr w:type="spellStart"/>
      <w:r w:rsidR="006714FD" w:rsidRPr="00720E01">
        <w:rPr>
          <w:kern w:val="22"/>
          <w:szCs w:val="22"/>
          <w:lang w:val="fr-CA"/>
        </w:rPr>
        <w:t>SBI</w:t>
      </w:r>
      <w:proofErr w:type="spellEnd"/>
      <w:r w:rsidR="006714FD" w:rsidRPr="00720E01">
        <w:rPr>
          <w:kern w:val="22"/>
          <w:szCs w:val="22"/>
          <w:lang w:val="fr-CA"/>
        </w:rPr>
        <w:t xml:space="preserve">/3/5/Add.3 </w:t>
      </w:r>
      <w:r w:rsidRPr="00720E01">
        <w:rPr>
          <w:kern w:val="22"/>
          <w:szCs w:val="22"/>
          <w:lang w:val="fr-CA"/>
        </w:rPr>
        <w:t>contient également des recommandations pour simp</w:t>
      </w:r>
      <w:r w:rsidR="00D82ED2">
        <w:rPr>
          <w:kern w:val="22"/>
          <w:szCs w:val="22"/>
          <w:lang w:val="fr-CA"/>
        </w:rPr>
        <w:t>lifier le cadre de présentation</w:t>
      </w:r>
      <w:r w:rsidRPr="00720E01">
        <w:rPr>
          <w:kern w:val="22"/>
          <w:szCs w:val="22"/>
          <w:lang w:val="fr-CA"/>
        </w:rPr>
        <w:t xml:space="preserve"> des rapports financiers et le rendre plus efficace. </w:t>
      </w:r>
      <w:r w:rsidR="00246063" w:rsidRPr="00720E01">
        <w:rPr>
          <w:kern w:val="22"/>
          <w:szCs w:val="22"/>
          <w:lang w:val="fr-CA"/>
        </w:rPr>
        <w:t xml:space="preserve">Le groupe a </w:t>
      </w:r>
      <w:r w:rsidR="00D82ED2">
        <w:rPr>
          <w:kern w:val="22"/>
          <w:szCs w:val="22"/>
          <w:lang w:val="fr-CA"/>
        </w:rPr>
        <w:t>reconnu le besoin</w:t>
      </w:r>
      <w:r w:rsidR="00246063" w:rsidRPr="00720E01">
        <w:rPr>
          <w:kern w:val="22"/>
          <w:szCs w:val="22"/>
          <w:lang w:val="fr-CA"/>
        </w:rPr>
        <w:t xml:space="preserve"> de rendre la collecte, la gestion et l’utilisation </w:t>
      </w:r>
      <w:r w:rsidR="00D82ED2">
        <w:rPr>
          <w:kern w:val="22"/>
          <w:szCs w:val="22"/>
          <w:lang w:val="fr-CA"/>
        </w:rPr>
        <w:t xml:space="preserve">des données </w:t>
      </w:r>
      <w:r w:rsidR="00246063" w:rsidRPr="00720E01">
        <w:rPr>
          <w:kern w:val="22"/>
          <w:szCs w:val="22"/>
          <w:lang w:val="fr-CA"/>
        </w:rPr>
        <w:t xml:space="preserve">plus opportune et régulière afin de favoriser la prise de décisions informées, notamment en utilisant davantage les cadres </w:t>
      </w:r>
      <w:r w:rsidR="00D82ED2">
        <w:rPr>
          <w:kern w:val="22"/>
          <w:szCs w:val="22"/>
          <w:lang w:val="fr-CA"/>
        </w:rPr>
        <w:t xml:space="preserve">internationaux </w:t>
      </w:r>
      <w:r w:rsidR="00246063" w:rsidRPr="00720E01">
        <w:rPr>
          <w:kern w:val="22"/>
          <w:szCs w:val="22"/>
          <w:lang w:val="fr-CA"/>
        </w:rPr>
        <w:t>de présentation de statistiques et les processus connexes. Ces suggestions sont prises en compte dans le projet de recommandation ci-dessous</w:t>
      </w:r>
      <w:r w:rsidR="006714FD" w:rsidRPr="00720E01">
        <w:rPr>
          <w:kern w:val="22"/>
          <w:szCs w:val="22"/>
          <w:lang w:val="fr-CA"/>
        </w:rPr>
        <w:t>.</w:t>
      </w:r>
    </w:p>
    <w:p w14:paraId="4B6A5A72" w14:textId="3299D844" w:rsidR="00084813" w:rsidRPr="00720E01" w:rsidRDefault="00491CB6" w:rsidP="001C6487">
      <w:pPr>
        <w:pStyle w:val="Titre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fr-CA"/>
        </w:rPr>
      </w:pPr>
      <w:r w:rsidRPr="00720E01">
        <w:rPr>
          <w:snapToGrid w:val="0"/>
          <w:kern w:val="22"/>
          <w:szCs w:val="22"/>
          <w:lang w:val="fr-CA"/>
        </w:rPr>
        <w:lastRenderedPageBreak/>
        <w:t>C.</w:t>
      </w:r>
      <w:r w:rsidR="003E7230" w:rsidRPr="00720E01">
        <w:rPr>
          <w:snapToGrid w:val="0"/>
          <w:kern w:val="22"/>
          <w:szCs w:val="22"/>
          <w:lang w:val="fr-CA"/>
        </w:rPr>
        <w:tab/>
      </w:r>
      <w:r w:rsidR="00D01DB2" w:rsidRPr="00720E01">
        <w:rPr>
          <w:snapToGrid w:val="0"/>
          <w:kern w:val="22"/>
          <w:szCs w:val="22"/>
          <w:lang w:val="fr-CA"/>
        </w:rPr>
        <w:t>Synergies entre les conventions</w:t>
      </w:r>
    </w:p>
    <w:p w14:paraId="4A1CAD3E" w14:textId="688A621A" w:rsidR="00084813" w:rsidRPr="00720E01" w:rsidRDefault="00D01DB2" w:rsidP="00304215">
      <w:pPr>
        <w:pStyle w:val="Para1"/>
        <w:tabs>
          <w:tab w:val="clear" w:pos="360"/>
        </w:tabs>
        <w:rPr>
          <w:kern w:val="22"/>
          <w:szCs w:val="22"/>
          <w:lang w:val="fr-CA"/>
        </w:rPr>
      </w:pPr>
      <w:r w:rsidRPr="00720E01">
        <w:rPr>
          <w:kern w:val="22"/>
          <w:szCs w:val="22"/>
          <w:lang w:val="fr-CA"/>
        </w:rPr>
        <w:t xml:space="preserve">L’Organe subsidiaire pourrait souhaiter prendre note des travaux des organisations décrites dans la partie précédente et encourager </w:t>
      </w:r>
      <w:r w:rsidR="00C15CF0">
        <w:rPr>
          <w:kern w:val="22"/>
          <w:szCs w:val="22"/>
          <w:lang w:val="fr-CA"/>
        </w:rPr>
        <w:t xml:space="preserve">ces organisations </w:t>
      </w:r>
      <w:r w:rsidRPr="00720E01">
        <w:rPr>
          <w:kern w:val="22"/>
          <w:szCs w:val="22"/>
          <w:lang w:val="fr-CA"/>
        </w:rPr>
        <w:t>à poursuivre et à intensifier leurs travaux</w:t>
      </w:r>
      <w:r w:rsidR="00FA71E3" w:rsidRPr="00720E01">
        <w:rPr>
          <w:kern w:val="22"/>
          <w:szCs w:val="22"/>
          <w:lang w:val="fr-CA"/>
        </w:rPr>
        <w:t>.</w:t>
      </w:r>
    </w:p>
    <w:p w14:paraId="492EF798" w14:textId="5EBF7FBE" w:rsidR="00084813" w:rsidRPr="00720E01" w:rsidRDefault="00784639" w:rsidP="00784639">
      <w:pPr>
        <w:pStyle w:val="Titre2"/>
        <w:rPr>
          <w:snapToGrid w:val="0"/>
          <w:lang w:val="fr-CA"/>
        </w:rPr>
      </w:pPr>
      <w:r w:rsidRPr="00720E01">
        <w:rPr>
          <w:snapToGrid w:val="0"/>
          <w:lang w:val="fr-CA"/>
        </w:rPr>
        <w:t>D</w:t>
      </w:r>
      <w:r w:rsidRPr="00720E01">
        <w:rPr>
          <w:snapToGrid w:val="0"/>
          <w:kern w:val="22"/>
          <w:szCs w:val="22"/>
          <w:lang w:val="fr-CA"/>
        </w:rPr>
        <w:t>.</w:t>
      </w:r>
      <w:r w:rsidR="003D34A3" w:rsidRPr="00720E01">
        <w:rPr>
          <w:snapToGrid w:val="0"/>
          <w:kern w:val="22"/>
          <w:szCs w:val="22"/>
          <w:lang w:val="fr-CA"/>
        </w:rPr>
        <w:tab/>
      </w:r>
      <w:r w:rsidR="00D01DB2" w:rsidRPr="00720E01">
        <w:rPr>
          <w:snapToGrid w:val="0"/>
          <w:kern w:val="22"/>
          <w:szCs w:val="22"/>
          <w:lang w:val="fr-CA"/>
        </w:rPr>
        <w:t>Étapes de la mise en œuvre complète de l’objectif</w:t>
      </w:r>
      <w:r w:rsidR="003D34A3" w:rsidRPr="00720E01">
        <w:rPr>
          <w:snapToGrid w:val="0"/>
          <w:kern w:val="22"/>
          <w:szCs w:val="22"/>
          <w:lang w:val="fr-CA"/>
        </w:rPr>
        <w:t> 3</w:t>
      </w:r>
      <w:r w:rsidR="00D01DB2" w:rsidRPr="00720E01">
        <w:rPr>
          <w:snapToGrid w:val="0"/>
          <w:kern w:val="22"/>
          <w:szCs w:val="22"/>
          <w:lang w:val="fr-CA"/>
        </w:rPr>
        <w:t xml:space="preserve"> d’Aichi pour la biodiversité</w:t>
      </w:r>
    </w:p>
    <w:p w14:paraId="35E798D9" w14:textId="36765DE8" w:rsidR="00C206EB" w:rsidRPr="00720E01" w:rsidRDefault="00D01DB2" w:rsidP="00304215">
      <w:pPr>
        <w:pStyle w:val="Para1"/>
        <w:tabs>
          <w:tab w:val="clear" w:pos="360"/>
        </w:tabs>
        <w:rPr>
          <w:kern w:val="22"/>
          <w:szCs w:val="22"/>
          <w:lang w:val="fr-CA"/>
        </w:rPr>
      </w:pPr>
      <w:r w:rsidRPr="00720E01">
        <w:rPr>
          <w:kern w:val="22"/>
          <w:szCs w:val="22"/>
          <w:lang w:val="fr-CA"/>
        </w:rPr>
        <w:t xml:space="preserve">Les trois dernières </w:t>
      </w:r>
      <w:r w:rsidR="00AF0EBA" w:rsidRPr="00720E01">
        <w:rPr>
          <w:kern w:val="22"/>
          <w:szCs w:val="22"/>
          <w:lang w:val="fr-CA"/>
        </w:rPr>
        <w:t>ré</w:t>
      </w:r>
      <w:r w:rsidRPr="00720E01">
        <w:rPr>
          <w:kern w:val="22"/>
          <w:szCs w:val="22"/>
          <w:lang w:val="fr-CA"/>
        </w:rPr>
        <w:t xml:space="preserve">unions de la Conférence des Parties ont </w:t>
      </w:r>
      <w:r w:rsidR="00AF0EBA" w:rsidRPr="00720E01">
        <w:rPr>
          <w:kern w:val="22"/>
          <w:szCs w:val="22"/>
          <w:lang w:val="fr-CA"/>
        </w:rPr>
        <w:t xml:space="preserve">permis de </w:t>
      </w:r>
      <w:r w:rsidRPr="00720E01">
        <w:rPr>
          <w:kern w:val="22"/>
          <w:szCs w:val="22"/>
          <w:lang w:val="fr-CA"/>
        </w:rPr>
        <w:t>dévelop</w:t>
      </w:r>
      <w:r w:rsidR="00AF0EBA" w:rsidRPr="00720E01">
        <w:rPr>
          <w:kern w:val="22"/>
          <w:szCs w:val="22"/>
          <w:lang w:val="fr-CA"/>
        </w:rPr>
        <w:t>per</w:t>
      </w:r>
      <w:r w:rsidRPr="00720E01">
        <w:rPr>
          <w:kern w:val="22"/>
          <w:szCs w:val="22"/>
          <w:lang w:val="fr-CA"/>
        </w:rPr>
        <w:t xml:space="preserve"> un acquis considérable </w:t>
      </w:r>
      <w:r w:rsidR="0069278F">
        <w:rPr>
          <w:kern w:val="22"/>
          <w:szCs w:val="22"/>
          <w:lang w:val="fr-CA"/>
        </w:rPr>
        <w:t>qui met</w:t>
      </w:r>
      <w:r w:rsidRPr="00720E01">
        <w:rPr>
          <w:kern w:val="22"/>
          <w:szCs w:val="22"/>
          <w:lang w:val="fr-CA"/>
        </w:rPr>
        <w:t xml:space="preserve"> en évidence la contribution possible d</w:t>
      </w:r>
      <w:r w:rsidR="00B227A7" w:rsidRPr="00720E01">
        <w:rPr>
          <w:kern w:val="22"/>
          <w:szCs w:val="22"/>
          <w:lang w:val="fr-CA"/>
        </w:rPr>
        <w:t>e la mise en</w:t>
      </w:r>
      <w:r w:rsidR="00AF0EBA" w:rsidRPr="00720E01">
        <w:rPr>
          <w:kern w:val="22"/>
          <w:szCs w:val="22"/>
          <w:lang w:val="fr-CA"/>
        </w:rPr>
        <w:t xml:space="preserve"> œuvre </w:t>
      </w:r>
      <w:r w:rsidR="00B227A7" w:rsidRPr="00720E01">
        <w:rPr>
          <w:kern w:val="22"/>
          <w:szCs w:val="22"/>
          <w:lang w:val="fr-CA"/>
        </w:rPr>
        <w:t>de l’objectif 3 d’Aichi po</w:t>
      </w:r>
      <w:r w:rsidR="00AF0EBA" w:rsidRPr="00720E01">
        <w:rPr>
          <w:kern w:val="22"/>
          <w:szCs w:val="22"/>
          <w:lang w:val="fr-CA"/>
        </w:rPr>
        <w:t xml:space="preserve">ur la biodiversité, sur les mesures d’encouragement, jusqu’à l’objectif 20 d’Aichi pour la biodiversité, sur la mobilisation des ressources, et </w:t>
      </w:r>
      <w:r w:rsidR="0069278F">
        <w:rPr>
          <w:kern w:val="22"/>
          <w:szCs w:val="22"/>
          <w:lang w:val="fr-CA"/>
        </w:rPr>
        <w:t>fourni</w:t>
      </w:r>
      <w:r w:rsidR="00AF0EBA" w:rsidRPr="00720E01">
        <w:rPr>
          <w:kern w:val="22"/>
          <w:szCs w:val="22"/>
          <w:lang w:val="fr-CA"/>
        </w:rPr>
        <w:t xml:space="preserve"> une orientation opérationnelle pour celle-ci, notamment en réalisant les étapes de la mise en œuvre de l’objectif 3 d’Aichi établies par la Conférence des Parties à sa douzième réunion</w:t>
      </w:r>
      <w:r w:rsidR="009B2D92" w:rsidRPr="00720E01">
        <w:rPr>
          <w:kern w:val="22"/>
          <w:szCs w:val="22"/>
          <w:lang w:val="fr-CA"/>
        </w:rPr>
        <w:t>.</w:t>
      </w:r>
      <w:r w:rsidR="00C832AF" w:rsidRPr="00720E01">
        <w:rPr>
          <w:rStyle w:val="Appelnotedebasdep"/>
          <w:kern w:val="22"/>
          <w:szCs w:val="22"/>
          <w:lang w:val="fr-CA"/>
        </w:rPr>
        <w:footnoteReference w:id="11"/>
      </w:r>
      <w:r w:rsidR="009B2D92" w:rsidRPr="00720E01">
        <w:rPr>
          <w:kern w:val="22"/>
          <w:szCs w:val="22"/>
          <w:lang w:val="fr-CA"/>
        </w:rPr>
        <w:t xml:space="preserve"> </w:t>
      </w:r>
      <w:r w:rsidR="000E48F6" w:rsidRPr="00720E01">
        <w:rPr>
          <w:kern w:val="22"/>
          <w:szCs w:val="22"/>
          <w:lang w:val="fr-CA"/>
        </w:rPr>
        <w:t xml:space="preserve">L’objectif 3 d’Aichi pour la biodiversité et les étapes de sa mise en œuvre doivent </w:t>
      </w:r>
      <w:r w:rsidR="0092791B" w:rsidRPr="00720E01">
        <w:rPr>
          <w:kern w:val="22"/>
          <w:szCs w:val="22"/>
          <w:lang w:val="fr-CA"/>
        </w:rPr>
        <w:t>être réalisés avant la da</w:t>
      </w:r>
      <w:r w:rsidR="000E48F6" w:rsidRPr="00720E01">
        <w:rPr>
          <w:kern w:val="22"/>
          <w:szCs w:val="22"/>
          <w:lang w:val="fr-CA"/>
        </w:rPr>
        <w:t xml:space="preserve">te limite de 2020. Un objectif </w:t>
      </w:r>
      <w:r w:rsidR="000E48F6" w:rsidRPr="0069278F">
        <w:rPr>
          <w:kern w:val="22"/>
          <w:szCs w:val="22"/>
          <w:lang w:val="fr-CA"/>
        </w:rPr>
        <w:t xml:space="preserve">de </w:t>
      </w:r>
      <w:r w:rsidR="00DB4BD9" w:rsidRPr="0069278F">
        <w:rPr>
          <w:kern w:val="22"/>
          <w:szCs w:val="22"/>
          <w:lang w:val="fr-CA"/>
        </w:rPr>
        <w:t>remplacement</w:t>
      </w:r>
      <w:r w:rsidR="000E48F6" w:rsidRPr="00720E01">
        <w:rPr>
          <w:kern w:val="22"/>
          <w:szCs w:val="22"/>
          <w:lang w:val="fr-CA"/>
        </w:rPr>
        <w:t xml:space="preserve"> possible a été proposé pour les mesures d’encouragement dans l’avant-projet du cadre mondial de la biodiversité pour l</w:t>
      </w:r>
      <w:r w:rsidR="004C3F94">
        <w:rPr>
          <w:kern w:val="22"/>
          <w:szCs w:val="22"/>
          <w:lang w:val="fr-CA"/>
        </w:rPr>
        <w:t>’</w:t>
      </w:r>
      <w:r w:rsidR="000E48F6" w:rsidRPr="00720E01">
        <w:rPr>
          <w:kern w:val="22"/>
          <w:szCs w:val="22"/>
          <w:lang w:val="fr-CA"/>
        </w:rPr>
        <w:t xml:space="preserve">après-2020 (objectif 12) et le développement plus poussé et l’amendement de </w:t>
      </w:r>
      <w:r w:rsidR="0069278F">
        <w:rPr>
          <w:kern w:val="22"/>
          <w:szCs w:val="22"/>
          <w:lang w:val="fr-CA"/>
        </w:rPr>
        <w:t>cet objectif</w:t>
      </w:r>
      <w:r w:rsidR="000E48F6" w:rsidRPr="00720E01">
        <w:rPr>
          <w:kern w:val="22"/>
          <w:szCs w:val="22"/>
          <w:lang w:val="fr-CA"/>
        </w:rPr>
        <w:t xml:space="preserve"> ont été proposés dans la contribution du groupe d’experts (voir l’annexe I ci-dessous). L’</w:t>
      </w:r>
      <w:r w:rsidR="0092791B" w:rsidRPr="00720E01">
        <w:rPr>
          <w:kern w:val="22"/>
          <w:szCs w:val="22"/>
          <w:lang w:val="fr-CA"/>
        </w:rPr>
        <w:t>approche stratégique</w:t>
      </w:r>
      <w:r w:rsidR="000E48F6" w:rsidRPr="00720E01">
        <w:rPr>
          <w:kern w:val="22"/>
          <w:szCs w:val="22"/>
          <w:lang w:val="fr-CA"/>
        </w:rPr>
        <w:t xml:space="preserve"> à long terme à l’intégration de la diversité biologiq</w:t>
      </w:r>
      <w:r w:rsidR="00074136">
        <w:rPr>
          <w:kern w:val="22"/>
          <w:szCs w:val="22"/>
          <w:lang w:val="fr-CA"/>
        </w:rPr>
        <w:t>ue et son plan d’action élaborée</w:t>
      </w:r>
      <w:r w:rsidR="000E48F6" w:rsidRPr="00720E01">
        <w:rPr>
          <w:kern w:val="22"/>
          <w:szCs w:val="22"/>
          <w:lang w:val="fr-CA"/>
        </w:rPr>
        <w:t xml:space="preserve"> avec le soutien du Groupe consultatif informel sur l’intégration, </w:t>
      </w:r>
      <w:r w:rsidR="00074136">
        <w:rPr>
          <w:kern w:val="22"/>
          <w:szCs w:val="22"/>
          <w:lang w:val="fr-CA"/>
        </w:rPr>
        <w:t>est</w:t>
      </w:r>
      <w:r w:rsidR="000E48F6" w:rsidRPr="00720E01">
        <w:rPr>
          <w:kern w:val="22"/>
          <w:szCs w:val="22"/>
          <w:lang w:val="fr-CA"/>
        </w:rPr>
        <w:t xml:space="preserve"> aussi pertinent</w:t>
      </w:r>
      <w:r w:rsidR="00074136">
        <w:rPr>
          <w:kern w:val="22"/>
          <w:szCs w:val="22"/>
          <w:lang w:val="fr-CA"/>
        </w:rPr>
        <w:t>e</w:t>
      </w:r>
      <w:r w:rsidR="000E48F6" w:rsidRPr="00720E01">
        <w:rPr>
          <w:kern w:val="22"/>
          <w:szCs w:val="22"/>
          <w:lang w:val="fr-CA"/>
        </w:rPr>
        <w:t xml:space="preserve"> à cet égard</w:t>
      </w:r>
      <w:r w:rsidR="008555C9" w:rsidRPr="00720E01">
        <w:rPr>
          <w:kern w:val="22"/>
          <w:szCs w:val="22"/>
          <w:lang w:val="fr-CA"/>
        </w:rPr>
        <w:t>.</w:t>
      </w:r>
      <w:r w:rsidR="00BE7F0B" w:rsidRPr="00720E01">
        <w:rPr>
          <w:rStyle w:val="Appelnotedebasdep"/>
          <w:kern w:val="22"/>
          <w:szCs w:val="22"/>
          <w:lang w:val="fr-CA"/>
        </w:rPr>
        <w:footnoteReference w:id="12"/>
      </w:r>
      <w:r w:rsidR="00CE0A79" w:rsidRPr="00720E01">
        <w:rPr>
          <w:kern w:val="22"/>
          <w:szCs w:val="22"/>
          <w:vertAlign w:val="superscript"/>
          <w:lang w:val="fr-CA"/>
        </w:rPr>
        <w:t>,</w:t>
      </w:r>
      <w:r w:rsidR="00BE7F0B" w:rsidRPr="00720E01">
        <w:rPr>
          <w:rStyle w:val="Appelnotedebasdep"/>
          <w:kern w:val="22"/>
          <w:szCs w:val="22"/>
          <w:lang w:val="fr-CA"/>
        </w:rPr>
        <w:footnoteReference w:id="13"/>
      </w:r>
    </w:p>
    <w:p w14:paraId="6470112D" w14:textId="696BF365" w:rsidR="00784639" w:rsidRPr="00720E01" w:rsidRDefault="0092791B" w:rsidP="00304215">
      <w:pPr>
        <w:pStyle w:val="Para1"/>
        <w:tabs>
          <w:tab w:val="clear" w:pos="360"/>
        </w:tabs>
        <w:rPr>
          <w:kern w:val="22"/>
          <w:szCs w:val="22"/>
          <w:lang w:val="fr-CA"/>
        </w:rPr>
      </w:pPr>
      <w:r w:rsidRPr="00720E01">
        <w:rPr>
          <w:kern w:val="22"/>
          <w:szCs w:val="22"/>
          <w:lang w:val="fr-CA"/>
        </w:rPr>
        <w:t>L’Organe subsidiaire pourrait souhaiter recommander la suite de ces travaux au titre du cadre mondial de la biodiversité pour l</w:t>
      </w:r>
      <w:r w:rsidR="004C3F94">
        <w:rPr>
          <w:kern w:val="22"/>
          <w:szCs w:val="22"/>
          <w:lang w:val="fr-CA"/>
        </w:rPr>
        <w:t>’</w:t>
      </w:r>
      <w:r w:rsidRPr="00720E01">
        <w:rPr>
          <w:kern w:val="22"/>
          <w:szCs w:val="22"/>
          <w:lang w:val="fr-CA"/>
        </w:rPr>
        <w:t>après-2020, en prenant note des activités de soutien des organisations internationales compétentes et en encourageant la suite et l’intensification de ces travaux</w:t>
      </w:r>
      <w:r w:rsidR="002B75FB" w:rsidRPr="00720E01">
        <w:rPr>
          <w:kern w:val="22"/>
          <w:szCs w:val="22"/>
          <w:lang w:val="fr-CA"/>
        </w:rPr>
        <w:t>.</w:t>
      </w:r>
    </w:p>
    <w:p w14:paraId="29DD546B" w14:textId="43277D54" w:rsidR="00084813" w:rsidRPr="00720E01" w:rsidRDefault="003D34A3" w:rsidP="009D0A7F">
      <w:pPr>
        <w:pStyle w:val="Titre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fr-CA"/>
        </w:rPr>
      </w:pPr>
      <w:r w:rsidRPr="00720E01">
        <w:rPr>
          <w:snapToGrid w:val="0"/>
          <w:kern w:val="22"/>
          <w:szCs w:val="22"/>
          <w:lang w:val="fr-CA"/>
        </w:rPr>
        <w:t>E</w:t>
      </w:r>
      <w:r w:rsidR="00491CB6" w:rsidRPr="00720E01">
        <w:rPr>
          <w:snapToGrid w:val="0"/>
          <w:kern w:val="22"/>
          <w:szCs w:val="22"/>
          <w:lang w:val="fr-CA"/>
        </w:rPr>
        <w:t>.</w:t>
      </w:r>
      <w:r w:rsidR="00491CB6" w:rsidRPr="00720E01">
        <w:rPr>
          <w:snapToGrid w:val="0"/>
          <w:kern w:val="22"/>
          <w:szCs w:val="22"/>
          <w:lang w:val="fr-CA"/>
        </w:rPr>
        <w:tab/>
      </w:r>
      <w:r w:rsidR="000B3BC6" w:rsidRPr="00720E01">
        <w:rPr>
          <w:snapToGrid w:val="0"/>
          <w:kern w:val="22"/>
          <w:szCs w:val="22"/>
          <w:lang w:val="fr-CA"/>
        </w:rPr>
        <w:t>Éléments d’un projet de recommandation</w:t>
      </w:r>
    </w:p>
    <w:p w14:paraId="2AFC4A50" w14:textId="721B248E" w:rsidR="00084813" w:rsidRPr="00720E01" w:rsidRDefault="000B3BC6" w:rsidP="00304215">
      <w:pPr>
        <w:pStyle w:val="Para1"/>
        <w:keepNext/>
        <w:tabs>
          <w:tab w:val="clear" w:pos="360"/>
        </w:tabs>
        <w:rPr>
          <w:kern w:val="22"/>
          <w:szCs w:val="22"/>
          <w:lang w:val="fr-CA"/>
        </w:rPr>
      </w:pPr>
      <w:r w:rsidRPr="00720E01">
        <w:rPr>
          <w:kern w:val="22"/>
          <w:szCs w:val="22"/>
          <w:lang w:val="fr-CA"/>
        </w:rPr>
        <w:t xml:space="preserve">À la lumière </w:t>
      </w:r>
      <w:r w:rsidR="00224D18">
        <w:rPr>
          <w:kern w:val="22"/>
          <w:szCs w:val="22"/>
          <w:lang w:val="fr-CA"/>
        </w:rPr>
        <w:t>de ce qui précède</w:t>
      </w:r>
      <w:r w:rsidRPr="00720E01">
        <w:rPr>
          <w:kern w:val="22"/>
          <w:szCs w:val="22"/>
          <w:lang w:val="fr-CA"/>
        </w:rPr>
        <w:t>, l’Organe subsidiaire chargé de l’application pourrait souhaiter, à sa troisième réunion, envisager une recommandation qui ressemblerait à ce qui suit</w:t>
      </w:r>
      <w:r w:rsidR="00084813" w:rsidRPr="00720E01">
        <w:rPr>
          <w:kern w:val="22"/>
          <w:szCs w:val="22"/>
          <w:lang w:val="fr-CA"/>
        </w:rPr>
        <w:t>.</w:t>
      </w:r>
    </w:p>
    <w:p w14:paraId="2BBBB6CE" w14:textId="3B5099B3" w:rsidR="00084813" w:rsidRPr="00720E01" w:rsidRDefault="000B3BC6" w:rsidP="00304215">
      <w:pPr>
        <w:keepNext/>
        <w:suppressLineNumbers/>
        <w:suppressAutoHyphens/>
        <w:kinsoku w:val="0"/>
        <w:overflowPunct w:val="0"/>
        <w:autoSpaceDE w:val="0"/>
        <w:autoSpaceDN w:val="0"/>
        <w:adjustRightInd w:val="0"/>
        <w:snapToGrid w:val="0"/>
        <w:spacing w:after="120" w:line="235" w:lineRule="auto"/>
        <w:ind w:firstLine="720"/>
        <w:rPr>
          <w:i/>
          <w:snapToGrid w:val="0"/>
          <w:kern w:val="22"/>
          <w:szCs w:val="22"/>
          <w:lang w:val="fr-CA"/>
        </w:rPr>
      </w:pPr>
      <w:r w:rsidRPr="00720E01">
        <w:rPr>
          <w:i/>
          <w:snapToGrid w:val="0"/>
          <w:kern w:val="22"/>
          <w:szCs w:val="22"/>
          <w:lang w:val="fr-CA"/>
        </w:rPr>
        <w:t>L’Organe subsidiaire chargé de l’application</w:t>
      </w:r>
      <w:r w:rsidR="00084813" w:rsidRPr="00720E01">
        <w:rPr>
          <w:i/>
          <w:snapToGrid w:val="0"/>
          <w:kern w:val="22"/>
          <w:szCs w:val="22"/>
          <w:lang w:val="fr-CA"/>
        </w:rPr>
        <w:t>,</w:t>
      </w:r>
    </w:p>
    <w:p w14:paraId="5B60CB36" w14:textId="66574AF7" w:rsidR="00084813" w:rsidRPr="00720E01" w:rsidRDefault="009E41AF"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fr-CA"/>
        </w:rPr>
      </w:pPr>
      <w:r w:rsidRPr="00720E01">
        <w:rPr>
          <w:i/>
          <w:snapToGrid w:val="0"/>
          <w:kern w:val="22"/>
          <w:szCs w:val="22"/>
          <w:lang w:val="fr-CA"/>
        </w:rPr>
        <w:t>Rappelant</w:t>
      </w:r>
      <w:r w:rsidR="00084813" w:rsidRPr="00720E01">
        <w:rPr>
          <w:snapToGrid w:val="0"/>
          <w:kern w:val="22"/>
          <w:szCs w:val="22"/>
          <w:lang w:val="fr-CA"/>
        </w:rPr>
        <w:t xml:space="preserve"> </w:t>
      </w:r>
      <w:r w:rsidRPr="00720E01">
        <w:rPr>
          <w:snapToGrid w:val="0"/>
          <w:kern w:val="22"/>
          <w:szCs w:val="22"/>
          <w:lang w:val="fr-CA"/>
        </w:rPr>
        <w:t>la décision</w:t>
      </w:r>
      <w:r w:rsidR="00224D18">
        <w:rPr>
          <w:snapToGrid w:val="0"/>
          <w:kern w:val="22"/>
          <w:szCs w:val="22"/>
          <w:lang w:val="fr-CA"/>
        </w:rPr>
        <w:t xml:space="preserve"> 14/22</w:t>
      </w:r>
      <w:r w:rsidR="00D53DAF" w:rsidRPr="00720E01">
        <w:rPr>
          <w:snapToGrid w:val="0"/>
          <w:kern w:val="22"/>
          <w:szCs w:val="22"/>
          <w:lang w:val="fr-CA"/>
        </w:rPr>
        <w:t xml:space="preserve"> </w:t>
      </w:r>
      <w:r w:rsidRPr="00720E01">
        <w:rPr>
          <w:snapToGrid w:val="0"/>
          <w:kern w:val="22"/>
          <w:szCs w:val="22"/>
          <w:lang w:val="fr-CA"/>
        </w:rPr>
        <w:t xml:space="preserve">et sa décision d’entreprendre la préparation du volet de mobilisation des ressources du </w:t>
      </w:r>
      <w:r w:rsidR="00224D18">
        <w:rPr>
          <w:snapToGrid w:val="0"/>
          <w:kern w:val="22"/>
          <w:szCs w:val="22"/>
          <w:lang w:val="fr-CA"/>
        </w:rPr>
        <w:t>cadre mondial de la biodiversité pour l</w:t>
      </w:r>
      <w:r w:rsidR="004C3F94">
        <w:rPr>
          <w:snapToGrid w:val="0"/>
          <w:kern w:val="22"/>
          <w:szCs w:val="22"/>
          <w:lang w:val="fr-CA"/>
        </w:rPr>
        <w:t>’</w:t>
      </w:r>
      <w:r w:rsidR="00224D18">
        <w:rPr>
          <w:snapToGrid w:val="0"/>
          <w:kern w:val="22"/>
          <w:szCs w:val="22"/>
          <w:lang w:val="fr-CA"/>
        </w:rPr>
        <w:t xml:space="preserve">après-2020 </w:t>
      </w:r>
      <w:r w:rsidRPr="00720E01">
        <w:rPr>
          <w:snapToGrid w:val="0"/>
          <w:kern w:val="22"/>
          <w:szCs w:val="22"/>
          <w:lang w:val="fr-CA"/>
        </w:rPr>
        <w:t xml:space="preserve">au début du processus </w:t>
      </w:r>
      <w:r w:rsidR="00224D18">
        <w:rPr>
          <w:snapToGrid w:val="0"/>
          <w:kern w:val="22"/>
          <w:szCs w:val="22"/>
          <w:lang w:val="fr-CA"/>
        </w:rPr>
        <w:t>d’élaboration</w:t>
      </w:r>
      <w:r w:rsidRPr="00720E01">
        <w:rPr>
          <w:snapToGrid w:val="0"/>
          <w:kern w:val="22"/>
          <w:szCs w:val="22"/>
          <w:lang w:val="fr-CA"/>
        </w:rPr>
        <w:t xml:space="preserve"> du cadre</w:t>
      </w:r>
      <w:r w:rsidR="004156C9" w:rsidRPr="00720E01">
        <w:rPr>
          <w:snapToGrid w:val="0"/>
          <w:kern w:val="22"/>
          <w:szCs w:val="22"/>
          <w:lang w:val="fr-CA"/>
        </w:rPr>
        <w:t>,</w:t>
      </w:r>
      <w:r w:rsidRPr="00720E01">
        <w:rPr>
          <w:snapToGrid w:val="0"/>
          <w:kern w:val="22"/>
          <w:szCs w:val="22"/>
          <w:lang w:val="fr-CA"/>
        </w:rPr>
        <w:t xml:space="preserve"> en harmonie et en coordination avec le processus global,</w:t>
      </w:r>
    </w:p>
    <w:p w14:paraId="0F70D57C" w14:textId="68806FF2" w:rsidR="004156C9" w:rsidRPr="00720E01" w:rsidRDefault="009E41AF" w:rsidP="004156C9">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fr-CA"/>
        </w:rPr>
      </w:pPr>
      <w:r w:rsidRPr="00720E01">
        <w:rPr>
          <w:i/>
          <w:snapToGrid w:val="0"/>
          <w:kern w:val="22"/>
          <w:szCs w:val="22"/>
          <w:lang w:val="fr-CA"/>
        </w:rPr>
        <w:t xml:space="preserve">Soulignant </w:t>
      </w:r>
      <w:r w:rsidRPr="00720E01">
        <w:rPr>
          <w:snapToGrid w:val="0"/>
          <w:kern w:val="22"/>
          <w:szCs w:val="22"/>
          <w:lang w:val="fr-CA"/>
        </w:rPr>
        <w:t xml:space="preserve">l’importance d’accroître la mobilisation des ressources de toutes </w:t>
      </w:r>
      <w:r w:rsidR="0021119B" w:rsidRPr="00720E01">
        <w:rPr>
          <w:snapToGrid w:val="0"/>
          <w:kern w:val="22"/>
          <w:szCs w:val="22"/>
          <w:lang w:val="fr-CA"/>
        </w:rPr>
        <w:t>les sources afin de mettre en œuvre le cadre mondial de la biodiversité pour l</w:t>
      </w:r>
      <w:r w:rsidR="004C3F94">
        <w:rPr>
          <w:snapToGrid w:val="0"/>
          <w:kern w:val="22"/>
          <w:szCs w:val="22"/>
          <w:lang w:val="fr-CA"/>
        </w:rPr>
        <w:t>’</w:t>
      </w:r>
      <w:r w:rsidR="0021119B" w:rsidRPr="00720E01">
        <w:rPr>
          <w:snapToGrid w:val="0"/>
          <w:kern w:val="22"/>
          <w:szCs w:val="22"/>
          <w:lang w:val="fr-CA"/>
        </w:rPr>
        <w:t>après-2020 de manière efficace</w:t>
      </w:r>
      <w:r w:rsidR="004156C9" w:rsidRPr="00720E01">
        <w:rPr>
          <w:snapToGrid w:val="0"/>
          <w:kern w:val="22"/>
          <w:szCs w:val="22"/>
          <w:lang w:val="fr-CA"/>
        </w:rPr>
        <w:t>,</w:t>
      </w:r>
    </w:p>
    <w:p w14:paraId="1B271D4B" w14:textId="5646965E" w:rsidR="004156C9" w:rsidRPr="00720E01" w:rsidRDefault="0021119B" w:rsidP="001C6487">
      <w:pPr>
        <w:suppressLineNumbers/>
        <w:suppressAutoHyphens/>
        <w:kinsoku w:val="0"/>
        <w:overflowPunct w:val="0"/>
        <w:autoSpaceDE w:val="0"/>
        <w:autoSpaceDN w:val="0"/>
        <w:adjustRightInd w:val="0"/>
        <w:snapToGrid w:val="0"/>
        <w:spacing w:after="120" w:line="235" w:lineRule="auto"/>
        <w:ind w:firstLine="720"/>
        <w:rPr>
          <w:iCs/>
          <w:snapToGrid w:val="0"/>
          <w:kern w:val="22"/>
          <w:szCs w:val="22"/>
          <w:lang w:val="fr-CA"/>
        </w:rPr>
      </w:pPr>
      <w:r w:rsidRPr="00720E01">
        <w:rPr>
          <w:i/>
          <w:snapToGrid w:val="0"/>
          <w:kern w:val="22"/>
          <w:szCs w:val="22"/>
          <w:lang w:val="fr-CA"/>
        </w:rPr>
        <w:t xml:space="preserve">Ayant pris en considération </w:t>
      </w:r>
      <w:r w:rsidRPr="00720E01">
        <w:rPr>
          <w:snapToGrid w:val="0"/>
          <w:kern w:val="22"/>
          <w:szCs w:val="22"/>
          <w:lang w:val="fr-CA"/>
        </w:rPr>
        <w:t>le rapport de l’Atelier thématique sur la mobilisation des ressources pour le cadre mondial de la biodiversité pour l</w:t>
      </w:r>
      <w:r w:rsidR="004C3F94">
        <w:rPr>
          <w:snapToGrid w:val="0"/>
          <w:kern w:val="22"/>
          <w:szCs w:val="22"/>
          <w:lang w:val="fr-CA"/>
        </w:rPr>
        <w:t>’</w:t>
      </w:r>
      <w:r w:rsidRPr="00720E01">
        <w:rPr>
          <w:snapToGrid w:val="0"/>
          <w:kern w:val="22"/>
          <w:szCs w:val="22"/>
          <w:lang w:val="fr-CA"/>
        </w:rPr>
        <w:t>après-2020,</w:t>
      </w:r>
      <w:r w:rsidR="00E26E2C" w:rsidRPr="00A70D05">
        <w:rPr>
          <w:rStyle w:val="Appelnotedebasdep"/>
          <w:snapToGrid w:val="0"/>
          <w:kern w:val="22"/>
          <w:szCs w:val="22"/>
        </w:rPr>
        <w:footnoteReference w:id="14"/>
      </w:r>
      <w:r w:rsidR="00E26E2C" w:rsidRPr="00E26E2C">
        <w:rPr>
          <w:iCs/>
          <w:snapToGrid w:val="0"/>
          <w:kern w:val="22"/>
          <w:szCs w:val="22"/>
          <w:lang w:val="fr-CA"/>
        </w:rPr>
        <w:t xml:space="preserve"> </w:t>
      </w:r>
      <w:r w:rsidRPr="00720E01">
        <w:rPr>
          <w:snapToGrid w:val="0"/>
          <w:kern w:val="22"/>
          <w:szCs w:val="22"/>
          <w:lang w:val="fr-CA"/>
        </w:rPr>
        <w:t xml:space="preserve"> tenu à Berlin du 14 au 16 janvier 2020</w:t>
      </w:r>
      <w:r w:rsidR="004156C9" w:rsidRPr="00720E01">
        <w:rPr>
          <w:iCs/>
          <w:snapToGrid w:val="0"/>
          <w:kern w:val="22"/>
          <w:szCs w:val="22"/>
          <w:lang w:val="fr-CA"/>
        </w:rPr>
        <w:t>,</w:t>
      </w:r>
    </w:p>
    <w:p w14:paraId="2B60B04F" w14:textId="29943B79" w:rsidR="00084813" w:rsidRPr="00720E01" w:rsidRDefault="0021119B"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fr-CA"/>
        </w:rPr>
      </w:pPr>
      <w:r w:rsidRPr="00720E01">
        <w:rPr>
          <w:i/>
          <w:snapToGrid w:val="0"/>
          <w:kern w:val="22"/>
          <w:szCs w:val="22"/>
          <w:lang w:val="fr-CA"/>
        </w:rPr>
        <w:t xml:space="preserve">Ayant également tenu compte </w:t>
      </w:r>
      <w:r w:rsidRPr="00720E01">
        <w:rPr>
          <w:snapToGrid w:val="0"/>
          <w:kern w:val="22"/>
          <w:szCs w:val="22"/>
          <w:lang w:val="fr-CA"/>
        </w:rPr>
        <w:t>des rapports du groupe d’experts sur la mobilisation des ressources, plus particulièrement la contribution au projet de volet de mobilisation des ressources</w:t>
      </w:r>
      <w:r w:rsidR="00084813" w:rsidRPr="00720E01">
        <w:rPr>
          <w:snapToGrid w:val="0"/>
          <w:kern w:val="22"/>
          <w:szCs w:val="22"/>
          <w:lang w:val="fr-CA"/>
        </w:rPr>
        <w:t>,</w:t>
      </w:r>
    </w:p>
    <w:p w14:paraId="1EBF0253" w14:textId="19C87F67" w:rsidR="002C737C" w:rsidRPr="00720E01" w:rsidRDefault="0021119B"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fr-CA"/>
        </w:rPr>
      </w:pPr>
      <w:r w:rsidRPr="00720E01">
        <w:rPr>
          <w:i/>
          <w:iCs/>
          <w:snapToGrid w:val="0"/>
          <w:kern w:val="22"/>
          <w:szCs w:val="22"/>
          <w:lang w:val="fr-CA"/>
        </w:rPr>
        <w:t xml:space="preserve">Mettant en évidence </w:t>
      </w:r>
      <w:r w:rsidRPr="00720E01">
        <w:rPr>
          <w:iCs/>
          <w:snapToGrid w:val="0"/>
          <w:kern w:val="22"/>
          <w:szCs w:val="22"/>
          <w:lang w:val="fr-CA"/>
        </w:rPr>
        <w:t xml:space="preserve">les liens d’interdépendance et </w:t>
      </w:r>
      <w:r w:rsidR="008B114A">
        <w:rPr>
          <w:iCs/>
          <w:snapToGrid w:val="0"/>
          <w:kern w:val="22"/>
          <w:szCs w:val="22"/>
          <w:lang w:val="fr-CA"/>
        </w:rPr>
        <w:t>l’</w:t>
      </w:r>
      <w:proofErr w:type="spellStart"/>
      <w:r w:rsidR="008B114A">
        <w:rPr>
          <w:iCs/>
          <w:snapToGrid w:val="0"/>
          <w:kern w:val="22"/>
          <w:szCs w:val="22"/>
          <w:lang w:val="fr-CA"/>
        </w:rPr>
        <w:t>interfécondation</w:t>
      </w:r>
      <w:proofErr w:type="spellEnd"/>
      <w:r w:rsidR="009418DD" w:rsidRPr="00720E01">
        <w:rPr>
          <w:snapToGrid w:val="0"/>
          <w:kern w:val="22"/>
          <w:szCs w:val="22"/>
          <w:lang w:val="fr-CA"/>
        </w:rPr>
        <w:t xml:space="preserve"> possible de certains éléments du volet de mobilisation des ressources proposés par le groupe d’experts </w:t>
      </w:r>
      <w:r w:rsidR="008B114A">
        <w:rPr>
          <w:snapToGrid w:val="0"/>
          <w:kern w:val="22"/>
          <w:szCs w:val="22"/>
          <w:lang w:val="fr-CA"/>
        </w:rPr>
        <w:t>et de l’approche stratégique à</w:t>
      </w:r>
      <w:r w:rsidR="009418DD" w:rsidRPr="00720E01">
        <w:rPr>
          <w:snapToGrid w:val="0"/>
          <w:kern w:val="22"/>
          <w:szCs w:val="22"/>
          <w:lang w:val="fr-CA"/>
        </w:rPr>
        <w:t xml:space="preserve"> long terme pour l’intégration élaborée avec l’appui du groupe consultatif informel sur l’intégration</w:t>
      </w:r>
      <w:r w:rsidR="002C737C" w:rsidRPr="00720E01">
        <w:rPr>
          <w:snapToGrid w:val="0"/>
          <w:kern w:val="22"/>
          <w:szCs w:val="22"/>
          <w:lang w:val="fr-CA"/>
        </w:rPr>
        <w:t>,</w:t>
      </w:r>
    </w:p>
    <w:p w14:paraId="1B2EB783" w14:textId="43B1D201" w:rsidR="00084813" w:rsidRPr="00720E01" w:rsidRDefault="0096551C" w:rsidP="001C6487">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fr-CA"/>
        </w:rPr>
      </w:pPr>
      <w:r>
        <w:rPr>
          <w:b/>
          <w:snapToGrid w:val="0"/>
          <w:kern w:val="22"/>
          <w:szCs w:val="22"/>
          <w:lang w:val="fr-CA"/>
        </w:rPr>
        <w:lastRenderedPageBreak/>
        <w:t>Cadre de présentation des r</w:t>
      </w:r>
      <w:r w:rsidR="00C645B8" w:rsidRPr="00720E01">
        <w:rPr>
          <w:b/>
          <w:snapToGrid w:val="0"/>
          <w:kern w:val="22"/>
          <w:szCs w:val="22"/>
          <w:lang w:val="fr-CA"/>
        </w:rPr>
        <w:t>apports financiers</w:t>
      </w:r>
    </w:p>
    <w:p w14:paraId="6A42D35C" w14:textId="440D1AA4" w:rsidR="00084813" w:rsidRPr="00720E01"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CA"/>
        </w:rPr>
      </w:pPr>
      <w:r w:rsidRPr="00720E01">
        <w:rPr>
          <w:snapToGrid w:val="0"/>
          <w:kern w:val="22"/>
          <w:szCs w:val="22"/>
          <w:lang w:val="fr-CA"/>
        </w:rPr>
        <w:t>1.</w:t>
      </w:r>
      <w:r w:rsidRPr="00720E01">
        <w:rPr>
          <w:snapToGrid w:val="0"/>
          <w:kern w:val="22"/>
          <w:szCs w:val="22"/>
          <w:lang w:val="fr-CA"/>
        </w:rPr>
        <w:tab/>
      </w:r>
      <w:r w:rsidR="00C645B8" w:rsidRPr="00720E01">
        <w:rPr>
          <w:i/>
          <w:snapToGrid w:val="0"/>
          <w:kern w:val="22"/>
          <w:szCs w:val="22"/>
          <w:lang w:val="fr-CA"/>
        </w:rPr>
        <w:t xml:space="preserve">Prend note avec satisfaction </w:t>
      </w:r>
      <w:r w:rsidR="00C645B8" w:rsidRPr="00720E01">
        <w:rPr>
          <w:snapToGrid w:val="0"/>
          <w:kern w:val="22"/>
          <w:szCs w:val="22"/>
          <w:lang w:val="fr-CA"/>
        </w:rPr>
        <w:t xml:space="preserve">des informations fournies par les Parties grâce au </w:t>
      </w:r>
      <w:r w:rsidR="0001262B" w:rsidRPr="00720E01">
        <w:rPr>
          <w:snapToGrid w:val="0"/>
          <w:kern w:val="22"/>
          <w:szCs w:val="22"/>
          <w:lang w:val="fr-CA"/>
        </w:rPr>
        <w:t>cadre de présentation des rappor</w:t>
      </w:r>
      <w:r w:rsidR="00C645B8" w:rsidRPr="00720E01">
        <w:rPr>
          <w:snapToGrid w:val="0"/>
          <w:kern w:val="22"/>
          <w:szCs w:val="22"/>
          <w:lang w:val="fr-CA"/>
        </w:rPr>
        <w:t>ts financiers et de l’évaluation proposée dans le rapport pertinent du groupe d’experts</w:t>
      </w:r>
      <w:r w:rsidR="004C3F94">
        <w:rPr>
          <w:snapToGrid w:val="0"/>
          <w:kern w:val="22"/>
          <w:szCs w:val="22"/>
          <w:lang w:val="fr-CA"/>
        </w:rPr>
        <w:t> </w:t>
      </w:r>
      <w:r w:rsidRPr="00720E01">
        <w:rPr>
          <w:snapToGrid w:val="0"/>
          <w:kern w:val="22"/>
          <w:szCs w:val="22"/>
          <w:lang w:val="fr-CA"/>
        </w:rPr>
        <w:t>;</w:t>
      </w:r>
      <w:r w:rsidR="00124EF9" w:rsidRPr="00720E01">
        <w:rPr>
          <w:rStyle w:val="Appelnotedebasdep"/>
          <w:snapToGrid w:val="0"/>
          <w:kern w:val="22"/>
          <w:szCs w:val="22"/>
          <w:lang w:val="fr-CA"/>
        </w:rPr>
        <w:footnoteReference w:id="15"/>
      </w:r>
    </w:p>
    <w:p w14:paraId="77295CDA" w14:textId="782DA127" w:rsidR="00084813" w:rsidRPr="00720E01"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CA"/>
        </w:rPr>
      </w:pPr>
      <w:r w:rsidRPr="00720E01">
        <w:rPr>
          <w:snapToGrid w:val="0"/>
          <w:kern w:val="22"/>
          <w:szCs w:val="22"/>
          <w:lang w:val="fr-CA"/>
        </w:rPr>
        <w:t>2.</w:t>
      </w:r>
      <w:r w:rsidRPr="00720E01">
        <w:rPr>
          <w:snapToGrid w:val="0"/>
          <w:kern w:val="22"/>
          <w:szCs w:val="22"/>
          <w:lang w:val="fr-CA"/>
        </w:rPr>
        <w:tab/>
      </w:r>
      <w:r w:rsidR="0001262B" w:rsidRPr="00720E01">
        <w:rPr>
          <w:i/>
          <w:snapToGrid w:val="0"/>
          <w:kern w:val="22"/>
          <w:szCs w:val="22"/>
          <w:lang w:val="fr-CA"/>
        </w:rPr>
        <w:t xml:space="preserve">Exhorte </w:t>
      </w:r>
      <w:r w:rsidR="0001262B" w:rsidRPr="00720E01">
        <w:rPr>
          <w:snapToGrid w:val="0"/>
          <w:kern w:val="22"/>
          <w:szCs w:val="22"/>
          <w:lang w:val="fr-CA"/>
        </w:rPr>
        <w:t xml:space="preserve">les Parties qui ne l’ont pas encore fait de fournir les données de référence nécessaires et de soumettre un rapport des premiers progrès accomplis par rapport aux objectifs de mobilisation des ressources jusqu’en 2015 avant le 31 décembre 2020 en utilisant le cadre de présentation des rapports financiers, et </w:t>
      </w:r>
      <w:r w:rsidR="0001262B" w:rsidRPr="00720E01">
        <w:rPr>
          <w:i/>
          <w:snapToGrid w:val="0"/>
          <w:kern w:val="22"/>
          <w:szCs w:val="22"/>
          <w:lang w:val="fr-CA"/>
        </w:rPr>
        <w:t xml:space="preserve">invite </w:t>
      </w:r>
      <w:r w:rsidR="0001262B" w:rsidRPr="00720E01">
        <w:rPr>
          <w:snapToGrid w:val="0"/>
          <w:kern w:val="22"/>
          <w:szCs w:val="22"/>
          <w:lang w:val="fr-CA"/>
        </w:rPr>
        <w:t>les Parties à mettre à jour, selon qu’il convient, leur cadre de présentation des rapports financiers contenant les données confirmées ou finales pour l’année 2015, afin de renforcer davantage les données et de faciliter l’évaluation complète des progrès en vue de la réalisation des objecti</w:t>
      </w:r>
      <w:r w:rsidR="0096551C">
        <w:rPr>
          <w:snapToGrid w:val="0"/>
          <w:kern w:val="22"/>
          <w:szCs w:val="22"/>
          <w:lang w:val="fr-CA"/>
        </w:rPr>
        <w:t>fs fixés par le Conférence des P</w:t>
      </w:r>
      <w:r w:rsidR="0001262B" w:rsidRPr="00720E01">
        <w:rPr>
          <w:snapToGrid w:val="0"/>
          <w:kern w:val="22"/>
          <w:szCs w:val="22"/>
          <w:lang w:val="fr-CA"/>
        </w:rPr>
        <w:t>arties à sa douzième réunion</w:t>
      </w:r>
      <w:r w:rsidR="004C3F94">
        <w:rPr>
          <w:snapToGrid w:val="0"/>
          <w:kern w:val="22"/>
          <w:szCs w:val="22"/>
          <w:lang w:val="fr-CA"/>
        </w:rPr>
        <w:t> </w:t>
      </w:r>
      <w:r w:rsidRPr="00720E01">
        <w:rPr>
          <w:snapToGrid w:val="0"/>
          <w:kern w:val="22"/>
          <w:szCs w:val="22"/>
          <w:lang w:val="fr-CA"/>
        </w:rPr>
        <w:t>;</w:t>
      </w:r>
      <w:r w:rsidR="00586001" w:rsidRPr="00720E01">
        <w:rPr>
          <w:rStyle w:val="Appelnotedebasdep"/>
          <w:snapToGrid w:val="0"/>
          <w:kern w:val="22"/>
          <w:szCs w:val="22"/>
          <w:lang w:val="fr-CA"/>
        </w:rPr>
        <w:footnoteReference w:id="16"/>
      </w:r>
    </w:p>
    <w:p w14:paraId="21D01093" w14:textId="098C3C6C" w:rsidR="00084813" w:rsidRPr="00720E01" w:rsidRDefault="0080688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CA"/>
        </w:rPr>
      </w:pPr>
      <w:r w:rsidRPr="00720E01">
        <w:rPr>
          <w:snapToGrid w:val="0"/>
          <w:kern w:val="22"/>
          <w:szCs w:val="22"/>
          <w:lang w:val="fr-CA"/>
        </w:rPr>
        <w:t>3</w:t>
      </w:r>
      <w:r w:rsidR="00084813" w:rsidRPr="00720E01">
        <w:rPr>
          <w:snapToGrid w:val="0"/>
          <w:kern w:val="22"/>
          <w:szCs w:val="22"/>
          <w:lang w:val="fr-CA"/>
        </w:rPr>
        <w:t>.</w:t>
      </w:r>
      <w:r w:rsidR="00084813" w:rsidRPr="00720E01">
        <w:rPr>
          <w:snapToGrid w:val="0"/>
          <w:kern w:val="22"/>
          <w:szCs w:val="22"/>
          <w:lang w:val="fr-CA"/>
        </w:rPr>
        <w:tab/>
      </w:r>
      <w:r w:rsidR="0001262B" w:rsidRPr="00720E01">
        <w:rPr>
          <w:i/>
          <w:snapToGrid w:val="0"/>
          <w:kern w:val="22"/>
          <w:szCs w:val="22"/>
          <w:lang w:val="fr-CA"/>
        </w:rPr>
        <w:t xml:space="preserve">Prie </w:t>
      </w:r>
      <w:r w:rsidR="0001262B" w:rsidRPr="00720E01">
        <w:rPr>
          <w:snapToGrid w:val="0"/>
          <w:kern w:val="22"/>
          <w:szCs w:val="22"/>
          <w:lang w:val="fr-CA"/>
        </w:rPr>
        <w:t>la Secrétaire exécutive de préparer une analyse actualisée et finale des</w:t>
      </w:r>
      <w:r w:rsidR="007B4EB5" w:rsidRPr="00720E01">
        <w:rPr>
          <w:snapToGrid w:val="0"/>
          <w:kern w:val="22"/>
          <w:szCs w:val="22"/>
          <w:lang w:val="fr-CA"/>
        </w:rPr>
        <w:t xml:space="preserve"> rapports financiers reçus, afin d’informer la Conférence des Parties à sa quinzième réunion</w:t>
      </w:r>
      <w:r w:rsidR="004C3F94">
        <w:rPr>
          <w:snapToGrid w:val="0"/>
          <w:kern w:val="22"/>
          <w:szCs w:val="22"/>
          <w:lang w:val="fr-CA"/>
        </w:rPr>
        <w:t> </w:t>
      </w:r>
      <w:r w:rsidR="00084813" w:rsidRPr="00720E01">
        <w:rPr>
          <w:snapToGrid w:val="0"/>
          <w:kern w:val="22"/>
          <w:szCs w:val="22"/>
          <w:lang w:val="fr-CA"/>
        </w:rPr>
        <w:t>;</w:t>
      </w:r>
    </w:p>
    <w:p w14:paraId="4618A075" w14:textId="0C329EB8" w:rsidR="00084813" w:rsidRPr="00720E01" w:rsidRDefault="007B4EB5" w:rsidP="00B07DAE">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fr-CA"/>
        </w:rPr>
      </w:pPr>
      <w:r w:rsidRPr="00720E01">
        <w:rPr>
          <w:b/>
          <w:snapToGrid w:val="0"/>
          <w:kern w:val="22"/>
          <w:szCs w:val="22"/>
          <w:lang w:val="fr-CA"/>
        </w:rPr>
        <w:t>Volet de mobilisation des ressources du cadre mondial de la biodiversité pour l</w:t>
      </w:r>
      <w:r w:rsidR="004C3F94">
        <w:rPr>
          <w:b/>
          <w:snapToGrid w:val="0"/>
          <w:kern w:val="22"/>
          <w:szCs w:val="22"/>
          <w:lang w:val="fr-CA"/>
        </w:rPr>
        <w:t>’</w:t>
      </w:r>
      <w:r w:rsidRPr="00720E01">
        <w:rPr>
          <w:b/>
          <w:snapToGrid w:val="0"/>
          <w:kern w:val="22"/>
          <w:szCs w:val="22"/>
          <w:lang w:val="fr-CA"/>
        </w:rPr>
        <w:t>après-2020</w:t>
      </w:r>
    </w:p>
    <w:p w14:paraId="317825B7" w14:textId="6BA40C56" w:rsidR="00F05AB9" w:rsidRPr="00720E01" w:rsidRDefault="002C737C"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CA"/>
        </w:rPr>
      </w:pPr>
      <w:r w:rsidRPr="00720E01">
        <w:rPr>
          <w:snapToGrid w:val="0"/>
          <w:kern w:val="22"/>
          <w:szCs w:val="22"/>
          <w:lang w:val="fr-CA"/>
        </w:rPr>
        <w:t>4</w:t>
      </w:r>
      <w:r w:rsidR="00084813" w:rsidRPr="00720E01">
        <w:rPr>
          <w:snapToGrid w:val="0"/>
          <w:kern w:val="22"/>
          <w:szCs w:val="22"/>
          <w:lang w:val="fr-CA"/>
        </w:rPr>
        <w:t>.</w:t>
      </w:r>
      <w:r w:rsidR="00084813" w:rsidRPr="00720E01">
        <w:rPr>
          <w:snapToGrid w:val="0"/>
          <w:kern w:val="22"/>
          <w:szCs w:val="22"/>
          <w:lang w:val="fr-CA"/>
        </w:rPr>
        <w:tab/>
      </w:r>
      <w:r w:rsidR="007B4EB5" w:rsidRPr="00720E01">
        <w:rPr>
          <w:i/>
          <w:iCs/>
          <w:snapToGrid w:val="0"/>
          <w:kern w:val="22"/>
          <w:szCs w:val="22"/>
          <w:lang w:val="fr-CA"/>
        </w:rPr>
        <w:t xml:space="preserve">Invite </w:t>
      </w:r>
      <w:r w:rsidR="007B4EB5" w:rsidRPr="00720E01">
        <w:rPr>
          <w:iCs/>
          <w:snapToGrid w:val="0"/>
          <w:kern w:val="22"/>
          <w:szCs w:val="22"/>
          <w:lang w:val="fr-CA"/>
        </w:rPr>
        <w:t>le Groupe de travail à composition non limitée sur le cadre mondial de la biodiversité pour l</w:t>
      </w:r>
      <w:r w:rsidR="004C3F94">
        <w:rPr>
          <w:iCs/>
          <w:snapToGrid w:val="0"/>
          <w:kern w:val="22"/>
          <w:szCs w:val="22"/>
          <w:lang w:val="fr-CA"/>
        </w:rPr>
        <w:t>’</w:t>
      </w:r>
      <w:r w:rsidR="007B4EB5" w:rsidRPr="00720E01">
        <w:rPr>
          <w:iCs/>
          <w:snapToGrid w:val="0"/>
          <w:kern w:val="22"/>
          <w:szCs w:val="22"/>
          <w:lang w:val="fr-CA"/>
        </w:rPr>
        <w:t>après-2020 et ses coprésidents à tenir compte des projets d’éléments sur la mobilisation des ressources aux fins d’intégration possible au cadre mondial de la biodiversité pour l</w:t>
      </w:r>
      <w:r w:rsidR="004C3F94">
        <w:rPr>
          <w:iCs/>
          <w:snapToGrid w:val="0"/>
          <w:kern w:val="22"/>
          <w:szCs w:val="22"/>
          <w:lang w:val="fr-CA"/>
        </w:rPr>
        <w:t>’</w:t>
      </w:r>
      <w:r w:rsidR="007B4EB5" w:rsidRPr="00720E01">
        <w:rPr>
          <w:iCs/>
          <w:snapToGrid w:val="0"/>
          <w:kern w:val="22"/>
          <w:szCs w:val="22"/>
          <w:lang w:val="fr-CA"/>
        </w:rPr>
        <w:t>après-2020 préparé par le groupe d’experts sur la mobilisation des ressources, résumé</w:t>
      </w:r>
      <w:r w:rsidR="00313BDA">
        <w:rPr>
          <w:iCs/>
          <w:snapToGrid w:val="0"/>
          <w:kern w:val="22"/>
          <w:szCs w:val="22"/>
          <w:lang w:val="fr-CA"/>
        </w:rPr>
        <w:t>s</w:t>
      </w:r>
      <w:r w:rsidR="007B4EB5" w:rsidRPr="00720E01">
        <w:rPr>
          <w:iCs/>
          <w:snapToGrid w:val="0"/>
          <w:kern w:val="22"/>
          <w:szCs w:val="22"/>
          <w:lang w:val="fr-CA"/>
        </w:rPr>
        <w:t xml:space="preserve"> à l’annexe I à la présente recommandation</w:t>
      </w:r>
      <w:r w:rsidR="004C3F94">
        <w:rPr>
          <w:iCs/>
          <w:snapToGrid w:val="0"/>
          <w:kern w:val="22"/>
          <w:szCs w:val="22"/>
          <w:lang w:val="fr-CA"/>
        </w:rPr>
        <w:t> </w:t>
      </w:r>
      <w:r w:rsidR="00013E58" w:rsidRPr="00720E01">
        <w:rPr>
          <w:snapToGrid w:val="0"/>
          <w:kern w:val="22"/>
          <w:szCs w:val="22"/>
          <w:lang w:val="fr-CA"/>
        </w:rPr>
        <w:t>;</w:t>
      </w:r>
    </w:p>
    <w:p w14:paraId="276DDAEE" w14:textId="3D57291E" w:rsidR="009E41C9" w:rsidRPr="00720E01" w:rsidRDefault="007B4EB5" w:rsidP="00304215">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bCs/>
          <w:snapToGrid w:val="0"/>
          <w:kern w:val="22"/>
          <w:szCs w:val="22"/>
          <w:lang w:val="fr-CA"/>
        </w:rPr>
      </w:pPr>
      <w:r w:rsidRPr="00720E01">
        <w:rPr>
          <w:b/>
          <w:bCs/>
          <w:snapToGrid w:val="0"/>
          <w:kern w:val="22"/>
          <w:szCs w:val="22"/>
          <w:lang w:val="fr-CA"/>
        </w:rPr>
        <w:t>Plans nationaux de financement</w:t>
      </w:r>
    </w:p>
    <w:p w14:paraId="62B34455" w14:textId="3E04D250" w:rsidR="009E41C9" w:rsidRPr="00720E01" w:rsidRDefault="006E5EE5" w:rsidP="00D54387">
      <w:pPr>
        <w:pStyle w:val="Para1"/>
        <w:numPr>
          <w:ilvl w:val="0"/>
          <w:numId w:val="0"/>
        </w:numPr>
        <w:ind w:firstLine="709"/>
        <w:rPr>
          <w:lang w:val="fr-CA"/>
        </w:rPr>
      </w:pPr>
      <w:r w:rsidRPr="00720E01">
        <w:rPr>
          <w:lang w:val="fr-CA"/>
        </w:rPr>
        <w:t>5.</w:t>
      </w:r>
      <w:r w:rsidRPr="00720E01">
        <w:rPr>
          <w:i/>
          <w:iCs/>
          <w:lang w:val="fr-CA"/>
        </w:rPr>
        <w:tab/>
      </w:r>
      <w:r w:rsidR="007C55F6" w:rsidRPr="00720E01">
        <w:rPr>
          <w:i/>
          <w:iCs/>
          <w:lang w:val="fr-CA"/>
        </w:rPr>
        <w:t xml:space="preserve">Souligne </w:t>
      </w:r>
      <w:r w:rsidR="007C55F6" w:rsidRPr="00720E01">
        <w:rPr>
          <w:iCs/>
          <w:lang w:val="fr-CA"/>
        </w:rPr>
        <w:t>que l’élaboration de plans nationaux de financement ou d’instruments semblables sera nécessaire pour garantir la mobilisation adéquate et à point nommé de toutes les ressources, conformément à la stratégie de mobilisation des ressources proposée pour la mise en œuvre efficace du cadre mondial de la biodiversité pour l</w:t>
      </w:r>
      <w:r w:rsidR="004C3F94">
        <w:rPr>
          <w:iCs/>
          <w:lang w:val="fr-CA"/>
        </w:rPr>
        <w:t>’</w:t>
      </w:r>
      <w:r w:rsidR="007C55F6" w:rsidRPr="00720E01">
        <w:rPr>
          <w:iCs/>
          <w:lang w:val="fr-CA"/>
        </w:rPr>
        <w:t>après-2020</w:t>
      </w:r>
      <w:r w:rsidR="004C3F94">
        <w:rPr>
          <w:iCs/>
          <w:lang w:val="fr-CA"/>
        </w:rPr>
        <w:t> </w:t>
      </w:r>
      <w:r w:rsidR="009E41C9" w:rsidRPr="00720E01">
        <w:rPr>
          <w:lang w:val="fr-CA"/>
        </w:rPr>
        <w:t>;</w:t>
      </w:r>
    </w:p>
    <w:p w14:paraId="58D27AB1" w14:textId="21729065" w:rsidR="0095497E" w:rsidRPr="00720E01" w:rsidRDefault="007C55F6" w:rsidP="003D2308">
      <w:pPr>
        <w:pStyle w:val="Para1"/>
        <w:numPr>
          <w:ilvl w:val="0"/>
          <w:numId w:val="15"/>
        </w:numPr>
        <w:ind w:firstLine="709"/>
        <w:rPr>
          <w:lang w:val="fr-CA"/>
        </w:rPr>
      </w:pPr>
      <w:r w:rsidRPr="00720E01">
        <w:rPr>
          <w:i/>
          <w:iCs/>
          <w:lang w:val="fr-CA"/>
        </w:rPr>
        <w:t xml:space="preserve">Prend note avec satisfaction </w:t>
      </w:r>
      <w:r w:rsidRPr="00720E01">
        <w:rPr>
          <w:iCs/>
          <w:lang w:val="fr-CA"/>
        </w:rPr>
        <w:t xml:space="preserve">des travaux des organisations et initiatives compétentes, dont l’Initiative de financement de la biodiversité du Programme des Nations Unies pour le développement, visant à offrir un soutien financier et technique, et </w:t>
      </w:r>
      <w:r w:rsidR="00313BDA">
        <w:rPr>
          <w:iCs/>
          <w:lang w:val="fr-CA"/>
        </w:rPr>
        <w:t>un</w:t>
      </w:r>
      <w:r w:rsidRPr="00720E01">
        <w:rPr>
          <w:iCs/>
          <w:lang w:val="fr-CA"/>
        </w:rPr>
        <w:t xml:space="preserve"> renforcement des capacité</w:t>
      </w:r>
      <w:r w:rsidR="004C3F94">
        <w:rPr>
          <w:iCs/>
          <w:lang w:val="fr-CA"/>
        </w:rPr>
        <w:t>s</w:t>
      </w:r>
      <w:r w:rsidR="00313BDA">
        <w:rPr>
          <w:iCs/>
          <w:lang w:val="fr-CA"/>
        </w:rPr>
        <w:t>,</w:t>
      </w:r>
      <w:r w:rsidRPr="00720E01">
        <w:rPr>
          <w:iCs/>
          <w:lang w:val="fr-CA"/>
        </w:rPr>
        <w:t xml:space="preserve"> aux pays en développement intéressés et </w:t>
      </w:r>
      <w:r w:rsidR="00C3630C" w:rsidRPr="00720E01">
        <w:rPr>
          <w:iCs/>
          <w:lang w:val="fr-CA"/>
        </w:rPr>
        <w:t xml:space="preserve">à </w:t>
      </w:r>
      <w:r w:rsidRPr="00720E01">
        <w:rPr>
          <w:iCs/>
          <w:lang w:val="fr-CA"/>
        </w:rPr>
        <w:t>mettre en œuvre les plans nationaux de financement de la biodiversité, conformément au paragraphe 10 de la décision</w:t>
      </w:r>
      <w:r w:rsidR="00E94D74" w:rsidRPr="00720E01">
        <w:rPr>
          <w:lang w:val="fr-CA"/>
        </w:rPr>
        <w:t xml:space="preserve"> </w:t>
      </w:r>
      <w:hyperlink r:id="rId16" w:history="1">
        <w:r w:rsidR="006E5EE5" w:rsidRPr="00720E01">
          <w:rPr>
            <w:rStyle w:val="Lienhypertexte"/>
            <w:sz w:val="22"/>
            <w:lang w:val="fr-CA"/>
          </w:rPr>
          <w:t>XII</w:t>
        </w:r>
        <w:r w:rsidR="00A24FDF" w:rsidRPr="00720E01">
          <w:rPr>
            <w:rStyle w:val="Lienhypertexte"/>
            <w:sz w:val="22"/>
            <w:lang w:val="fr-CA"/>
          </w:rPr>
          <w:t>I</w:t>
        </w:r>
        <w:r w:rsidR="003D2308" w:rsidRPr="00720E01">
          <w:rPr>
            <w:rStyle w:val="Lienhypertexte"/>
            <w:sz w:val="22"/>
            <w:lang w:val="fr-CA"/>
          </w:rPr>
          <w:t>/</w:t>
        </w:r>
        <w:r w:rsidR="006E5EE5" w:rsidRPr="00720E01">
          <w:rPr>
            <w:rStyle w:val="Lienhypertexte"/>
            <w:sz w:val="22"/>
            <w:lang w:val="fr-CA"/>
          </w:rPr>
          <w:t>20</w:t>
        </w:r>
      </w:hyperlink>
      <w:r w:rsidR="006E5EE5" w:rsidRPr="00720E01">
        <w:rPr>
          <w:lang w:val="fr-CA"/>
        </w:rPr>
        <w:t xml:space="preserve">, </w:t>
      </w:r>
      <w:r w:rsidRPr="00720E01">
        <w:rPr>
          <w:lang w:val="fr-CA"/>
        </w:rPr>
        <w:t>et au paragraphe 4 de la décision 14/22</w:t>
      </w:r>
      <w:r w:rsidR="004C3F94">
        <w:rPr>
          <w:lang w:val="fr-CA"/>
        </w:rPr>
        <w:t> </w:t>
      </w:r>
      <w:r w:rsidR="00EB6A7D" w:rsidRPr="00720E01">
        <w:rPr>
          <w:lang w:val="fr-CA"/>
        </w:rPr>
        <w:t>;</w:t>
      </w:r>
    </w:p>
    <w:p w14:paraId="1042BE81" w14:textId="4038AE5A" w:rsidR="0095497E" w:rsidRPr="00720E01" w:rsidRDefault="00C3630C" w:rsidP="00883A2F">
      <w:pPr>
        <w:pStyle w:val="Para1"/>
        <w:ind w:firstLine="709"/>
        <w:rPr>
          <w:lang w:val="fr-CA"/>
        </w:rPr>
      </w:pPr>
      <w:r w:rsidRPr="00720E01">
        <w:rPr>
          <w:i/>
          <w:iCs/>
          <w:lang w:val="fr-CA"/>
        </w:rPr>
        <w:t xml:space="preserve">Invite </w:t>
      </w:r>
      <w:r w:rsidRPr="00720E01">
        <w:rPr>
          <w:iCs/>
          <w:lang w:val="fr-CA"/>
        </w:rPr>
        <w:t>l’Initiative de financement de la biodiversité du Programme des Nations Unies pour le développement</w:t>
      </w:r>
      <w:r w:rsidR="00313BDA">
        <w:rPr>
          <w:iCs/>
          <w:lang w:val="fr-CA"/>
        </w:rPr>
        <w:t xml:space="preserve"> à mettre au point</w:t>
      </w:r>
      <w:r w:rsidRPr="00720E01">
        <w:rPr>
          <w:iCs/>
          <w:lang w:val="fr-CA"/>
        </w:rPr>
        <w:t>, en collaboration avec les autres organisations et initiatives compétentes intéressées, ainsi qu’avec la Secrétaire exécutive, la méthodologie existante de l’Initiative de financement de la biodiversité en vue de la préparation des plans nationaux de fina</w:t>
      </w:r>
      <w:r w:rsidR="00263268">
        <w:rPr>
          <w:iCs/>
          <w:lang w:val="fr-CA"/>
        </w:rPr>
        <w:t>ncement dans tous les pays</w:t>
      </w:r>
      <w:r w:rsidR="00EA7E09">
        <w:rPr>
          <w:iCs/>
          <w:lang w:val="fr-CA"/>
        </w:rPr>
        <w:t xml:space="preserve"> et l</w:t>
      </w:r>
      <w:r w:rsidRPr="00720E01">
        <w:rPr>
          <w:iCs/>
          <w:lang w:val="fr-CA"/>
        </w:rPr>
        <w:t>es modalités techniques et financières pour le déploiement de cette méthodol</w:t>
      </w:r>
      <w:r w:rsidR="00B526AB" w:rsidRPr="00720E01">
        <w:rPr>
          <w:iCs/>
          <w:lang w:val="fr-CA"/>
        </w:rPr>
        <w:t>og</w:t>
      </w:r>
      <w:r w:rsidRPr="00720E01">
        <w:rPr>
          <w:iCs/>
          <w:lang w:val="fr-CA"/>
        </w:rPr>
        <w:t>ie</w:t>
      </w:r>
      <w:r w:rsidR="00313BDA">
        <w:rPr>
          <w:iCs/>
          <w:lang w:val="fr-CA"/>
        </w:rPr>
        <w:t>,</w:t>
      </w:r>
      <w:r w:rsidRPr="00720E01">
        <w:rPr>
          <w:iCs/>
          <w:lang w:val="fr-CA"/>
        </w:rPr>
        <w:t xml:space="preserve"> </w:t>
      </w:r>
      <w:r w:rsidR="00313BDA">
        <w:rPr>
          <w:iCs/>
          <w:lang w:val="fr-CA"/>
        </w:rPr>
        <w:t>selon les</w:t>
      </w:r>
      <w:r w:rsidRPr="00720E01">
        <w:rPr>
          <w:iCs/>
          <w:lang w:val="fr-CA"/>
        </w:rPr>
        <w:t xml:space="preserve"> circonstances et </w:t>
      </w:r>
      <w:r w:rsidR="00313BDA">
        <w:rPr>
          <w:iCs/>
          <w:lang w:val="fr-CA"/>
        </w:rPr>
        <w:t>les</w:t>
      </w:r>
      <w:r w:rsidRPr="00720E01">
        <w:rPr>
          <w:iCs/>
          <w:lang w:val="fr-CA"/>
        </w:rPr>
        <w:t xml:space="preserve"> capacités des pays</w:t>
      </w:r>
      <w:r w:rsidR="004C3F94">
        <w:rPr>
          <w:iCs/>
          <w:lang w:val="fr-CA"/>
        </w:rPr>
        <w:t> </w:t>
      </w:r>
      <w:r w:rsidR="0095497E" w:rsidRPr="00720E01">
        <w:rPr>
          <w:lang w:val="fr-CA"/>
        </w:rPr>
        <w:t>;</w:t>
      </w:r>
    </w:p>
    <w:p w14:paraId="0FB7D50C" w14:textId="18E96611" w:rsidR="00084813" w:rsidRPr="00720E01" w:rsidRDefault="008308A4"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CA"/>
        </w:rPr>
      </w:pPr>
      <w:r w:rsidRPr="00720E01">
        <w:rPr>
          <w:snapToGrid w:val="0"/>
          <w:kern w:val="22"/>
          <w:szCs w:val="22"/>
          <w:lang w:val="fr-CA"/>
        </w:rPr>
        <w:t>8</w:t>
      </w:r>
      <w:r w:rsidR="00084813" w:rsidRPr="00720E01">
        <w:rPr>
          <w:snapToGrid w:val="0"/>
          <w:kern w:val="22"/>
          <w:szCs w:val="22"/>
          <w:lang w:val="fr-CA"/>
        </w:rPr>
        <w:t>.</w:t>
      </w:r>
      <w:r w:rsidR="00084813" w:rsidRPr="00720E01">
        <w:rPr>
          <w:snapToGrid w:val="0"/>
          <w:kern w:val="22"/>
          <w:szCs w:val="22"/>
          <w:lang w:val="fr-CA"/>
        </w:rPr>
        <w:tab/>
      </w:r>
      <w:r w:rsidR="00B526AB" w:rsidRPr="00720E01">
        <w:rPr>
          <w:i/>
          <w:snapToGrid w:val="0"/>
          <w:kern w:val="22"/>
          <w:szCs w:val="22"/>
          <w:lang w:val="fr-CA"/>
        </w:rPr>
        <w:t xml:space="preserve">Recommande </w:t>
      </w:r>
      <w:r w:rsidR="00B526AB" w:rsidRPr="00720E01">
        <w:rPr>
          <w:snapToGrid w:val="0"/>
          <w:kern w:val="22"/>
          <w:szCs w:val="22"/>
          <w:lang w:val="fr-CA"/>
        </w:rPr>
        <w:t>que la Conférence des Parties adopte, à sa quinzième réunion, une décision qui ressemble à ce qui suit</w:t>
      </w:r>
      <w:r w:rsidR="004C3F94">
        <w:rPr>
          <w:snapToGrid w:val="0"/>
          <w:kern w:val="22"/>
          <w:szCs w:val="22"/>
          <w:lang w:val="fr-CA"/>
        </w:rPr>
        <w:t> </w:t>
      </w:r>
      <w:r w:rsidR="00084813" w:rsidRPr="00720E01">
        <w:rPr>
          <w:snapToGrid w:val="0"/>
          <w:kern w:val="22"/>
          <w:szCs w:val="22"/>
          <w:lang w:val="fr-CA"/>
        </w:rPr>
        <w:t>:</w:t>
      </w:r>
    </w:p>
    <w:p w14:paraId="1A74F465" w14:textId="58461F0A" w:rsidR="00084813" w:rsidRPr="00720E01" w:rsidRDefault="00B526AB" w:rsidP="00304215">
      <w:pPr>
        <w:suppressLineNumbers/>
        <w:suppressAutoHyphens/>
        <w:kinsoku w:val="0"/>
        <w:overflowPunct w:val="0"/>
        <w:autoSpaceDE w:val="0"/>
        <w:autoSpaceDN w:val="0"/>
        <w:adjustRightInd w:val="0"/>
        <w:snapToGrid w:val="0"/>
        <w:spacing w:after="120" w:line="235" w:lineRule="auto"/>
        <w:ind w:left="720" w:firstLine="698"/>
        <w:rPr>
          <w:i/>
          <w:snapToGrid w:val="0"/>
          <w:kern w:val="22"/>
          <w:szCs w:val="22"/>
          <w:lang w:val="fr-CA"/>
        </w:rPr>
      </w:pPr>
      <w:r w:rsidRPr="00720E01">
        <w:rPr>
          <w:i/>
          <w:snapToGrid w:val="0"/>
          <w:kern w:val="22"/>
          <w:szCs w:val="22"/>
          <w:lang w:val="fr-CA"/>
        </w:rPr>
        <w:t>La Conférence des Parties</w:t>
      </w:r>
      <w:r w:rsidR="00084813" w:rsidRPr="00720E01">
        <w:rPr>
          <w:i/>
          <w:snapToGrid w:val="0"/>
          <w:kern w:val="22"/>
          <w:szCs w:val="22"/>
          <w:lang w:val="fr-CA"/>
        </w:rPr>
        <w:t>,</w:t>
      </w:r>
    </w:p>
    <w:p w14:paraId="054C2790" w14:textId="303387D4" w:rsidR="006E07A8" w:rsidRPr="00720E01" w:rsidRDefault="00B526AB" w:rsidP="00304215">
      <w:pPr>
        <w:pStyle w:val="Paragraphedeliste"/>
        <w:spacing w:after="120"/>
        <w:ind w:firstLine="720"/>
        <w:contextualSpacing w:val="0"/>
        <w:rPr>
          <w:color w:val="000000" w:themeColor="text1"/>
          <w:szCs w:val="22"/>
          <w:lang w:val="fr-CA"/>
        </w:rPr>
      </w:pPr>
      <w:r w:rsidRPr="00720E01">
        <w:rPr>
          <w:i/>
          <w:snapToGrid w:val="0"/>
          <w:kern w:val="22"/>
          <w:szCs w:val="22"/>
          <w:lang w:val="fr-CA"/>
        </w:rPr>
        <w:t xml:space="preserve">Rappelant </w:t>
      </w:r>
      <w:r w:rsidRPr="00720E01">
        <w:rPr>
          <w:snapToGrid w:val="0"/>
          <w:kern w:val="22"/>
          <w:szCs w:val="22"/>
          <w:lang w:val="fr-CA"/>
        </w:rPr>
        <w:t>l’article 20 de la Convention comme base de la mobilisation des ressources de toutes les sources afin de mettre en œuvre le cadre mondial de la biodiversité pour l</w:t>
      </w:r>
      <w:r w:rsidR="004C3F94">
        <w:rPr>
          <w:snapToGrid w:val="0"/>
          <w:kern w:val="22"/>
          <w:szCs w:val="22"/>
          <w:lang w:val="fr-CA"/>
        </w:rPr>
        <w:t>’</w:t>
      </w:r>
      <w:r w:rsidRPr="00720E01">
        <w:rPr>
          <w:snapToGrid w:val="0"/>
          <w:kern w:val="22"/>
          <w:szCs w:val="22"/>
          <w:lang w:val="fr-CA"/>
        </w:rPr>
        <w:t xml:space="preserve">après-2020 de manière efficace et </w:t>
      </w:r>
      <w:r w:rsidRPr="00720E01">
        <w:rPr>
          <w:i/>
          <w:snapToGrid w:val="0"/>
          <w:kern w:val="22"/>
          <w:szCs w:val="22"/>
          <w:lang w:val="fr-CA"/>
        </w:rPr>
        <w:t>reconnaissant</w:t>
      </w:r>
      <w:r w:rsidRPr="00720E01">
        <w:rPr>
          <w:snapToGrid w:val="0"/>
          <w:kern w:val="22"/>
          <w:szCs w:val="22"/>
          <w:lang w:val="fr-CA"/>
        </w:rPr>
        <w:t xml:space="preserve"> le besoin de mesures </w:t>
      </w:r>
      <w:r w:rsidR="00EA7E09">
        <w:rPr>
          <w:snapToGrid w:val="0"/>
          <w:kern w:val="22"/>
          <w:szCs w:val="22"/>
          <w:lang w:val="fr-CA"/>
        </w:rPr>
        <w:t>de changement profond</w:t>
      </w:r>
      <w:r w:rsidRPr="00720E01">
        <w:rPr>
          <w:snapToGrid w:val="0"/>
          <w:kern w:val="22"/>
          <w:szCs w:val="22"/>
          <w:lang w:val="fr-CA"/>
        </w:rPr>
        <w:t>, inclusives et équitables dans toutes les économies et les sociétés à cet égard</w:t>
      </w:r>
      <w:r w:rsidR="00C725EF" w:rsidRPr="00720E01">
        <w:rPr>
          <w:color w:val="000000" w:themeColor="text1"/>
          <w:szCs w:val="22"/>
          <w:lang w:val="fr-CA"/>
        </w:rPr>
        <w:t>,</w:t>
      </w:r>
    </w:p>
    <w:p w14:paraId="3BECEF90" w14:textId="364E8C7F" w:rsidR="006A7753" w:rsidRPr="00720E01" w:rsidRDefault="00F53F03" w:rsidP="00304215">
      <w:pPr>
        <w:pStyle w:val="Paragraphedeliste"/>
        <w:spacing w:after="120"/>
        <w:ind w:firstLine="720"/>
        <w:contextualSpacing w:val="0"/>
        <w:rPr>
          <w:snapToGrid w:val="0"/>
          <w:kern w:val="22"/>
          <w:szCs w:val="22"/>
          <w:lang w:val="fr-CA"/>
        </w:rPr>
      </w:pPr>
      <w:r w:rsidRPr="00720E01">
        <w:rPr>
          <w:i/>
          <w:iCs/>
          <w:snapToGrid w:val="0"/>
          <w:kern w:val="22"/>
          <w:szCs w:val="22"/>
          <w:lang w:val="fr-CA"/>
        </w:rPr>
        <w:t xml:space="preserve">Prenant note </w:t>
      </w:r>
      <w:r w:rsidRPr="00720E01">
        <w:rPr>
          <w:iCs/>
          <w:snapToGrid w:val="0"/>
          <w:kern w:val="22"/>
          <w:szCs w:val="22"/>
          <w:lang w:val="fr-CA"/>
        </w:rPr>
        <w:t>de l’importance d’intégrer la diversité biologique pour la mobilisation des ressources et l’utilisation efficace des ressources financières, car cela favorise une utilisation plus efficace des ressources existantes</w:t>
      </w:r>
      <w:r w:rsidR="00853906" w:rsidRPr="00720E01">
        <w:rPr>
          <w:snapToGrid w:val="0"/>
          <w:kern w:val="22"/>
          <w:szCs w:val="22"/>
          <w:lang w:val="fr-CA"/>
        </w:rPr>
        <w:t>,</w:t>
      </w:r>
    </w:p>
    <w:p w14:paraId="7A8123AF" w14:textId="19092540" w:rsidR="00F227D6" w:rsidRPr="00720E01" w:rsidRDefault="00F53F03" w:rsidP="00304215">
      <w:pPr>
        <w:pStyle w:val="Paragraphedeliste"/>
        <w:spacing w:after="120"/>
        <w:ind w:firstLine="720"/>
        <w:contextualSpacing w:val="0"/>
        <w:rPr>
          <w:i/>
          <w:iCs/>
          <w:snapToGrid w:val="0"/>
          <w:kern w:val="22"/>
          <w:szCs w:val="22"/>
          <w:lang w:val="fr-CA"/>
        </w:rPr>
      </w:pPr>
      <w:r w:rsidRPr="00720E01">
        <w:rPr>
          <w:i/>
          <w:iCs/>
          <w:snapToGrid w:val="0"/>
          <w:kern w:val="22"/>
          <w:szCs w:val="22"/>
          <w:lang w:val="fr-CA"/>
        </w:rPr>
        <w:lastRenderedPageBreak/>
        <w:t xml:space="preserve">Prenant note </w:t>
      </w:r>
      <w:r w:rsidRPr="00720E01">
        <w:rPr>
          <w:iCs/>
          <w:snapToGrid w:val="0"/>
          <w:kern w:val="22"/>
          <w:szCs w:val="22"/>
          <w:lang w:val="fr-CA"/>
        </w:rPr>
        <w:t xml:space="preserve">de l’importance </w:t>
      </w:r>
      <w:r w:rsidR="00263268">
        <w:rPr>
          <w:iCs/>
          <w:snapToGrid w:val="0"/>
          <w:kern w:val="22"/>
          <w:szCs w:val="22"/>
          <w:lang w:val="fr-CA"/>
        </w:rPr>
        <w:t>d’intégrer</w:t>
      </w:r>
      <w:r w:rsidRPr="00720E01">
        <w:rPr>
          <w:iCs/>
          <w:snapToGrid w:val="0"/>
          <w:kern w:val="22"/>
          <w:szCs w:val="22"/>
          <w:lang w:val="fr-CA"/>
        </w:rPr>
        <w:t xml:space="preserve"> la diversité biologique et de </w:t>
      </w:r>
      <w:r w:rsidR="00263268">
        <w:rPr>
          <w:iCs/>
          <w:snapToGrid w:val="0"/>
          <w:kern w:val="22"/>
          <w:szCs w:val="22"/>
          <w:lang w:val="fr-CA"/>
        </w:rPr>
        <w:t>mobiliser</w:t>
      </w:r>
      <w:r w:rsidRPr="00720E01">
        <w:rPr>
          <w:iCs/>
          <w:snapToGrid w:val="0"/>
          <w:kern w:val="22"/>
          <w:szCs w:val="22"/>
          <w:lang w:val="fr-CA"/>
        </w:rPr>
        <w:t xml:space="preserve"> des ressources afin </w:t>
      </w:r>
      <w:r w:rsidR="00D412B8" w:rsidRPr="00720E01">
        <w:rPr>
          <w:iCs/>
          <w:snapToGrid w:val="0"/>
          <w:kern w:val="22"/>
          <w:szCs w:val="22"/>
          <w:lang w:val="fr-CA"/>
        </w:rPr>
        <w:t xml:space="preserve">d’incorporer </w:t>
      </w:r>
      <w:r w:rsidRPr="00720E01">
        <w:rPr>
          <w:iCs/>
          <w:snapToGrid w:val="0"/>
          <w:kern w:val="22"/>
          <w:szCs w:val="22"/>
          <w:lang w:val="fr-CA"/>
        </w:rPr>
        <w:t xml:space="preserve">la résilience des écosystèmes </w:t>
      </w:r>
      <w:r w:rsidR="00D412B8" w:rsidRPr="00720E01">
        <w:rPr>
          <w:iCs/>
          <w:snapToGrid w:val="0"/>
          <w:kern w:val="22"/>
          <w:szCs w:val="22"/>
          <w:lang w:val="fr-CA"/>
        </w:rPr>
        <w:t>dans la reprise économique après la pandémie</w:t>
      </w:r>
      <w:r w:rsidR="00F227D6" w:rsidRPr="00720E01">
        <w:rPr>
          <w:snapToGrid w:val="0"/>
          <w:kern w:val="22"/>
          <w:szCs w:val="22"/>
          <w:lang w:val="fr-CA"/>
        </w:rPr>
        <w:t>,</w:t>
      </w:r>
    </w:p>
    <w:p w14:paraId="1D94C413" w14:textId="100E2A06" w:rsidR="00C725EF" w:rsidRPr="00720E01" w:rsidRDefault="00D412B8" w:rsidP="00304215">
      <w:pPr>
        <w:pStyle w:val="Paragraphedeliste"/>
        <w:spacing w:after="120"/>
        <w:ind w:firstLine="720"/>
        <w:contextualSpacing w:val="0"/>
        <w:rPr>
          <w:snapToGrid w:val="0"/>
          <w:kern w:val="22"/>
          <w:szCs w:val="22"/>
          <w:lang w:val="fr-CA"/>
        </w:rPr>
      </w:pPr>
      <w:r w:rsidRPr="00720E01">
        <w:rPr>
          <w:i/>
          <w:iCs/>
          <w:snapToGrid w:val="0"/>
          <w:kern w:val="22"/>
          <w:szCs w:val="22"/>
          <w:lang w:val="fr-CA"/>
        </w:rPr>
        <w:t xml:space="preserve">Soulignant </w:t>
      </w:r>
      <w:r w:rsidRPr="00720E01">
        <w:rPr>
          <w:iCs/>
          <w:snapToGrid w:val="0"/>
          <w:kern w:val="22"/>
          <w:szCs w:val="22"/>
          <w:lang w:val="fr-CA"/>
        </w:rPr>
        <w:t>la contribution possible de la mise en œuvre de l’article 11 de la Convention, sur les mesures d’encouragement, à la mobilisation des ressources financières</w:t>
      </w:r>
      <w:r w:rsidR="006A7753" w:rsidRPr="00720E01">
        <w:rPr>
          <w:snapToGrid w:val="0"/>
          <w:kern w:val="22"/>
          <w:szCs w:val="22"/>
          <w:lang w:val="fr-CA"/>
        </w:rPr>
        <w:t>,</w:t>
      </w:r>
    </w:p>
    <w:p w14:paraId="2E9F31DC" w14:textId="66BEC037" w:rsidR="00AF7CD7" w:rsidRPr="00720E01" w:rsidRDefault="00D412B8" w:rsidP="00304215">
      <w:pPr>
        <w:pStyle w:val="Paragraphedeliste"/>
        <w:spacing w:after="120"/>
        <w:ind w:firstLine="709"/>
        <w:contextualSpacing w:val="0"/>
        <w:rPr>
          <w:snapToGrid w:val="0"/>
          <w:kern w:val="22"/>
          <w:szCs w:val="22"/>
          <w:lang w:val="fr-CA"/>
        </w:rPr>
      </w:pPr>
      <w:r w:rsidRPr="00720E01">
        <w:rPr>
          <w:i/>
          <w:iCs/>
          <w:snapToGrid w:val="0"/>
          <w:kern w:val="22"/>
          <w:szCs w:val="22"/>
          <w:lang w:val="fr-CA"/>
        </w:rPr>
        <w:t xml:space="preserve">Réitérant </w:t>
      </w:r>
      <w:r w:rsidRPr="00720E01">
        <w:rPr>
          <w:iCs/>
          <w:snapToGrid w:val="0"/>
          <w:kern w:val="22"/>
          <w:szCs w:val="22"/>
          <w:lang w:val="fr-CA"/>
        </w:rPr>
        <w:t>le rôle important des stratégies et plans d’action nationaux pour la biodiversité comme base pour définir les besoins et priorités de financement des pays et pour la mobilisation efficace des ressources financières de toutes les sources</w:t>
      </w:r>
      <w:r w:rsidR="003C645E" w:rsidRPr="00720E01">
        <w:rPr>
          <w:iCs/>
          <w:snapToGrid w:val="0"/>
          <w:kern w:val="22"/>
          <w:szCs w:val="22"/>
          <w:lang w:val="fr-CA"/>
        </w:rPr>
        <w:t>,</w:t>
      </w:r>
      <w:r w:rsidRPr="00720E01">
        <w:rPr>
          <w:iCs/>
          <w:snapToGrid w:val="0"/>
          <w:kern w:val="22"/>
          <w:szCs w:val="22"/>
          <w:lang w:val="fr-CA"/>
        </w:rPr>
        <w:t xml:space="preserve"> selon les circonstances</w:t>
      </w:r>
      <w:r w:rsidR="003C645E" w:rsidRPr="00720E01">
        <w:rPr>
          <w:iCs/>
          <w:snapToGrid w:val="0"/>
          <w:kern w:val="22"/>
          <w:szCs w:val="22"/>
          <w:lang w:val="fr-CA"/>
        </w:rPr>
        <w:t xml:space="preserve"> et priorités des pays, notamment</w:t>
      </w:r>
      <w:r w:rsidRPr="00720E01">
        <w:rPr>
          <w:iCs/>
          <w:snapToGrid w:val="0"/>
          <w:kern w:val="22"/>
          <w:szCs w:val="22"/>
          <w:lang w:val="fr-CA"/>
        </w:rPr>
        <w:t xml:space="preserve">, s’il y a lieu, </w:t>
      </w:r>
      <w:r w:rsidR="003C645E" w:rsidRPr="00720E01">
        <w:rPr>
          <w:iCs/>
          <w:snapToGrid w:val="0"/>
          <w:kern w:val="22"/>
          <w:szCs w:val="22"/>
          <w:lang w:val="fr-CA"/>
        </w:rPr>
        <w:t>pour la mise en œuvre des protocoles de la Convention et pour l’application synergétique des autres conventions liées à la diversité biologique</w:t>
      </w:r>
      <w:r w:rsidR="00AF7CD7" w:rsidRPr="00720E01">
        <w:rPr>
          <w:snapToGrid w:val="0"/>
          <w:kern w:val="22"/>
          <w:szCs w:val="22"/>
          <w:lang w:val="fr-CA"/>
        </w:rPr>
        <w:t>,</w:t>
      </w:r>
    </w:p>
    <w:p w14:paraId="140D07C8" w14:textId="29C13053" w:rsidR="00A63223" w:rsidRPr="00720E01" w:rsidRDefault="003C645E" w:rsidP="00304215">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fr-CA"/>
        </w:rPr>
      </w:pPr>
      <w:r w:rsidRPr="00720E01">
        <w:rPr>
          <w:i/>
          <w:snapToGrid w:val="0"/>
          <w:kern w:val="22"/>
          <w:szCs w:val="22"/>
          <w:lang w:val="fr-CA"/>
        </w:rPr>
        <w:t xml:space="preserve">Prenant note </w:t>
      </w:r>
      <w:r w:rsidRPr="00720E01">
        <w:rPr>
          <w:snapToGrid w:val="0"/>
          <w:kern w:val="22"/>
          <w:szCs w:val="22"/>
          <w:lang w:val="fr-CA"/>
        </w:rPr>
        <w:t>de la nécessité de former des partenariats de collaboration efficaces avec tous les acteurs compétents et de renforcer les partenariats avec les secteurs des affaires et financier afin de faire avancer la mobilisation des ressources</w:t>
      </w:r>
      <w:r w:rsidR="001C3355" w:rsidRPr="00720E01">
        <w:rPr>
          <w:iCs/>
          <w:snapToGrid w:val="0"/>
          <w:kern w:val="22"/>
          <w:szCs w:val="22"/>
          <w:lang w:val="fr-CA"/>
        </w:rPr>
        <w:t>,</w:t>
      </w:r>
    </w:p>
    <w:p w14:paraId="55965F9B" w14:textId="5BDE58AB" w:rsidR="006E07A8" w:rsidRPr="00720E01" w:rsidRDefault="0061533B" w:rsidP="00304215">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fr-CA"/>
        </w:rPr>
      </w:pPr>
      <w:r w:rsidRPr="00720E01">
        <w:rPr>
          <w:i/>
          <w:snapToGrid w:val="0"/>
          <w:kern w:val="22"/>
          <w:szCs w:val="22"/>
          <w:lang w:val="fr-CA"/>
        </w:rPr>
        <w:t xml:space="preserve">Reconnaissant </w:t>
      </w:r>
      <w:r w:rsidRPr="00720E01">
        <w:rPr>
          <w:snapToGrid w:val="0"/>
          <w:kern w:val="22"/>
          <w:szCs w:val="22"/>
          <w:lang w:val="fr-CA"/>
        </w:rPr>
        <w:t>les occasions d’exploiter les synergies entre les conventions de Rio, dont les synergies liées à la mobilisation et l’utilisation des ressources pour la conservation et l’utilisation durable de la diversité biologique</w:t>
      </w:r>
      <w:r w:rsidR="006E07A8" w:rsidRPr="00720E01">
        <w:rPr>
          <w:iCs/>
          <w:snapToGrid w:val="0"/>
          <w:kern w:val="22"/>
          <w:szCs w:val="22"/>
          <w:lang w:val="fr-CA"/>
        </w:rPr>
        <w:t>,</w:t>
      </w:r>
    </w:p>
    <w:p w14:paraId="6B6479D2" w14:textId="656CF27C" w:rsidR="00CA6207" w:rsidRPr="00720E01" w:rsidRDefault="0008481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w:t>
      </w:r>
      <w:r w:rsidRPr="00720E01">
        <w:rPr>
          <w:snapToGrid w:val="0"/>
          <w:kern w:val="22"/>
          <w:szCs w:val="22"/>
          <w:lang w:val="fr-CA"/>
        </w:rPr>
        <w:tab/>
      </w:r>
      <w:r w:rsidR="0061533B" w:rsidRPr="00720E01">
        <w:rPr>
          <w:i/>
          <w:iCs/>
          <w:snapToGrid w:val="0"/>
          <w:kern w:val="22"/>
          <w:szCs w:val="22"/>
          <w:lang w:val="fr-CA"/>
        </w:rPr>
        <w:t xml:space="preserve">Exprime sa reconnaissance </w:t>
      </w:r>
      <w:r w:rsidR="0061533B" w:rsidRPr="00720E01">
        <w:rPr>
          <w:iCs/>
          <w:snapToGrid w:val="0"/>
          <w:kern w:val="22"/>
          <w:szCs w:val="22"/>
          <w:lang w:val="fr-CA"/>
        </w:rPr>
        <w:t>au gouvernement de l’Allemagne pour son soutien financier aux travaux du groupe d’experts sur la mobilisation des ressources et pour avoir accueilli l’Atelier thématique sur la mobilisation des ressources pour le cadre mondial de la biodiversité pour l</w:t>
      </w:r>
      <w:r w:rsidR="004C3F94">
        <w:rPr>
          <w:iCs/>
          <w:snapToGrid w:val="0"/>
          <w:kern w:val="22"/>
          <w:szCs w:val="22"/>
          <w:lang w:val="fr-CA"/>
        </w:rPr>
        <w:t>’</w:t>
      </w:r>
      <w:r w:rsidR="0061533B" w:rsidRPr="00720E01">
        <w:rPr>
          <w:iCs/>
          <w:snapToGrid w:val="0"/>
          <w:kern w:val="22"/>
          <w:szCs w:val="22"/>
          <w:lang w:val="fr-CA"/>
        </w:rPr>
        <w:t>après-2020, tenu à Berlin du 14 au 16 janvier 2020</w:t>
      </w:r>
      <w:r w:rsidR="004C3F94">
        <w:rPr>
          <w:iCs/>
          <w:snapToGrid w:val="0"/>
          <w:kern w:val="22"/>
          <w:szCs w:val="22"/>
          <w:lang w:val="fr-CA"/>
        </w:rPr>
        <w:t> </w:t>
      </w:r>
      <w:r w:rsidR="004E6F72" w:rsidRPr="00720E01">
        <w:rPr>
          <w:snapToGrid w:val="0"/>
          <w:kern w:val="22"/>
          <w:szCs w:val="22"/>
          <w:lang w:val="fr-CA"/>
        </w:rPr>
        <w:t>;</w:t>
      </w:r>
    </w:p>
    <w:p w14:paraId="219F6F05" w14:textId="06D5E96D" w:rsidR="00853906" w:rsidRPr="00720E01"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2.</w:t>
      </w:r>
      <w:r w:rsidRPr="00720E01">
        <w:rPr>
          <w:i/>
          <w:iCs/>
          <w:snapToGrid w:val="0"/>
          <w:kern w:val="22"/>
          <w:szCs w:val="22"/>
          <w:lang w:val="fr-CA"/>
        </w:rPr>
        <w:tab/>
      </w:r>
      <w:r w:rsidR="0061533B" w:rsidRPr="00720E01">
        <w:rPr>
          <w:i/>
          <w:iCs/>
          <w:snapToGrid w:val="0"/>
          <w:kern w:val="22"/>
          <w:szCs w:val="22"/>
          <w:lang w:val="fr-CA"/>
        </w:rPr>
        <w:t xml:space="preserve">Prend note avec satisfaction </w:t>
      </w:r>
      <w:r w:rsidR="0061533B" w:rsidRPr="00720E01">
        <w:rPr>
          <w:iCs/>
          <w:snapToGrid w:val="0"/>
          <w:kern w:val="22"/>
          <w:szCs w:val="22"/>
          <w:lang w:val="fr-CA"/>
        </w:rPr>
        <w:t>du rapport final du groupe d’experts offrant une évaluation des ressources nécessaires de toutes les sources afin de mettre en œuvre le cadre mondial de la biodiversité pour l</w:t>
      </w:r>
      <w:r w:rsidR="004C3F94">
        <w:rPr>
          <w:iCs/>
          <w:snapToGrid w:val="0"/>
          <w:kern w:val="22"/>
          <w:szCs w:val="22"/>
          <w:lang w:val="fr-CA"/>
        </w:rPr>
        <w:t>’</w:t>
      </w:r>
      <w:r w:rsidR="0061533B" w:rsidRPr="00720E01">
        <w:rPr>
          <w:iCs/>
          <w:snapToGrid w:val="0"/>
          <w:kern w:val="22"/>
          <w:szCs w:val="22"/>
          <w:lang w:val="fr-CA"/>
        </w:rPr>
        <w:t>après-2020, ainsi que des autres rapports du groupe d’experts examinés par l’Organe subsidiaire chargé de l’application à sa troisième réunion</w:t>
      </w:r>
      <w:r w:rsidR="004C3F94">
        <w:rPr>
          <w:iCs/>
          <w:snapToGrid w:val="0"/>
          <w:kern w:val="22"/>
          <w:szCs w:val="22"/>
          <w:lang w:val="fr-CA"/>
        </w:rPr>
        <w:t> </w:t>
      </w:r>
      <w:r w:rsidR="004E6F72" w:rsidRPr="00720E01">
        <w:rPr>
          <w:snapToGrid w:val="0"/>
          <w:kern w:val="22"/>
          <w:szCs w:val="22"/>
          <w:lang w:val="fr-CA"/>
        </w:rPr>
        <w:t>;</w:t>
      </w:r>
    </w:p>
    <w:p w14:paraId="6131FBA9" w14:textId="5768A78E" w:rsidR="00CA6207" w:rsidRPr="00720E01" w:rsidRDefault="00C850C5"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3</w:t>
      </w:r>
      <w:r w:rsidR="00CA6207" w:rsidRPr="00720E01">
        <w:rPr>
          <w:snapToGrid w:val="0"/>
          <w:kern w:val="22"/>
          <w:szCs w:val="22"/>
          <w:lang w:val="fr-CA"/>
        </w:rPr>
        <w:t xml:space="preserve">. </w:t>
      </w:r>
      <w:r w:rsidR="00CA6207" w:rsidRPr="00720E01">
        <w:rPr>
          <w:snapToGrid w:val="0"/>
          <w:kern w:val="22"/>
          <w:szCs w:val="22"/>
          <w:lang w:val="fr-CA"/>
        </w:rPr>
        <w:tab/>
      </w:r>
      <w:r w:rsidR="00CD6179" w:rsidRPr="00720E01">
        <w:rPr>
          <w:i/>
          <w:iCs/>
          <w:snapToGrid w:val="0"/>
          <w:kern w:val="22"/>
          <w:szCs w:val="22"/>
          <w:lang w:val="fr-CA"/>
        </w:rPr>
        <w:t xml:space="preserve">Prend note </w:t>
      </w:r>
      <w:r w:rsidR="00CD6179" w:rsidRPr="00720E01">
        <w:rPr>
          <w:iCs/>
          <w:snapToGrid w:val="0"/>
          <w:kern w:val="22"/>
          <w:szCs w:val="22"/>
          <w:lang w:val="fr-CA"/>
        </w:rPr>
        <w:t xml:space="preserve">de l’analyse finale des cadres de présentation </w:t>
      </w:r>
      <w:r w:rsidR="0010011C">
        <w:rPr>
          <w:iCs/>
          <w:snapToGrid w:val="0"/>
          <w:kern w:val="22"/>
          <w:szCs w:val="22"/>
          <w:lang w:val="fr-CA"/>
        </w:rPr>
        <w:t>des rapports financiers préparée</w:t>
      </w:r>
      <w:r w:rsidR="00CD6179" w:rsidRPr="00720E01">
        <w:rPr>
          <w:iCs/>
          <w:snapToGrid w:val="0"/>
          <w:kern w:val="22"/>
          <w:szCs w:val="22"/>
          <w:lang w:val="fr-CA"/>
        </w:rPr>
        <w:t xml:space="preserve"> par la Secrétaire exécutive et reçu</w:t>
      </w:r>
      <w:r w:rsidR="0010011C">
        <w:rPr>
          <w:iCs/>
          <w:snapToGrid w:val="0"/>
          <w:kern w:val="22"/>
          <w:szCs w:val="22"/>
          <w:lang w:val="fr-CA"/>
        </w:rPr>
        <w:t>e</w:t>
      </w:r>
      <w:r w:rsidR="00CD6179" w:rsidRPr="00720E01">
        <w:rPr>
          <w:iCs/>
          <w:snapToGrid w:val="0"/>
          <w:kern w:val="22"/>
          <w:szCs w:val="22"/>
          <w:lang w:val="fr-CA"/>
        </w:rPr>
        <w:t xml:space="preserve"> par les Parties</w:t>
      </w:r>
      <w:r w:rsidR="004C3F94">
        <w:rPr>
          <w:iCs/>
          <w:snapToGrid w:val="0"/>
          <w:kern w:val="22"/>
          <w:szCs w:val="22"/>
          <w:lang w:val="fr-CA"/>
        </w:rPr>
        <w:t> </w:t>
      </w:r>
      <w:r w:rsidR="004E6F72" w:rsidRPr="00720E01">
        <w:rPr>
          <w:snapToGrid w:val="0"/>
          <w:kern w:val="22"/>
          <w:szCs w:val="22"/>
          <w:lang w:val="fr-CA"/>
        </w:rPr>
        <w:t>;</w:t>
      </w:r>
    </w:p>
    <w:p w14:paraId="0EA95A2E" w14:textId="64F0CBD3" w:rsidR="00CA6207" w:rsidRPr="00720E01"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4.</w:t>
      </w:r>
      <w:r w:rsidRPr="00720E01">
        <w:rPr>
          <w:snapToGrid w:val="0"/>
          <w:kern w:val="22"/>
          <w:szCs w:val="22"/>
          <w:lang w:val="fr-CA"/>
        </w:rPr>
        <w:tab/>
      </w:r>
      <w:r w:rsidR="00CD6179" w:rsidRPr="00720E01">
        <w:rPr>
          <w:i/>
          <w:iCs/>
          <w:snapToGrid w:val="0"/>
          <w:kern w:val="22"/>
          <w:szCs w:val="22"/>
          <w:lang w:val="fr-CA"/>
        </w:rPr>
        <w:t>Prend note avec satisfaction</w:t>
      </w:r>
      <w:r w:rsidR="00CD6179" w:rsidRPr="00720E01">
        <w:rPr>
          <w:iCs/>
          <w:snapToGrid w:val="0"/>
          <w:kern w:val="22"/>
          <w:szCs w:val="22"/>
          <w:lang w:val="fr-CA"/>
        </w:rPr>
        <w:t xml:space="preserve"> des progrès accomplis par les pays </w:t>
      </w:r>
      <w:r w:rsidR="006A0A15" w:rsidRPr="00720E01">
        <w:rPr>
          <w:iCs/>
          <w:snapToGrid w:val="0"/>
          <w:kern w:val="22"/>
          <w:szCs w:val="22"/>
          <w:lang w:val="fr-CA"/>
        </w:rPr>
        <w:t>développés</w:t>
      </w:r>
      <w:r w:rsidR="00CD6179" w:rsidRPr="00720E01">
        <w:rPr>
          <w:iCs/>
          <w:snapToGrid w:val="0"/>
          <w:kern w:val="22"/>
          <w:szCs w:val="22"/>
          <w:lang w:val="fr-CA"/>
        </w:rPr>
        <w:t xml:space="preserve"> et les pays en développement Parties, ainsi que par les Parties à économie en transition, dans la mise en œuvre de la stratégie de mobilisation des ressources et les objectifs de mobilisation des ressources adoptés au titre de l’objectif 20 d’Aichi pour la biodiversité</w:t>
      </w:r>
      <w:r w:rsidR="004C3F94">
        <w:rPr>
          <w:iCs/>
          <w:snapToGrid w:val="0"/>
          <w:kern w:val="22"/>
          <w:szCs w:val="22"/>
          <w:lang w:val="fr-CA"/>
        </w:rPr>
        <w:t> </w:t>
      </w:r>
      <w:r w:rsidR="004E6F72" w:rsidRPr="00720E01">
        <w:rPr>
          <w:snapToGrid w:val="0"/>
          <w:kern w:val="22"/>
          <w:szCs w:val="22"/>
          <w:lang w:val="fr-CA"/>
        </w:rPr>
        <w:t>;</w:t>
      </w:r>
    </w:p>
    <w:p w14:paraId="40CEAA19" w14:textId="2E1CB677" w:rsidR="00853906"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5</w:t>
      </w:r>
      <w:r w:rsidR="00CA6207" w:rsidRPr="00720E01">
        <w:rPr>
          <w:snapToGrid w:val="0"/>
          <w:kern w:val="22"/>
          <w:szCs w:val="22"/>
          <w:lang w:val="fr-CA"/>
        </w:rPr>
        <w:t>.</w:t>
      </w:r>
      <w:r w:rsidR="00CA6207" w:rsidRPr="00720E01">
        <w:rPr>
          <w:snapToGrid w:val="0"/>
          <w:kern w:val="22"/>
          <w:szCs w:val="22"/>
          <w:lang w:val="fr-CA"/>
        </w:rPr>
        <w:tab/>
      </w:r>
      <w:r w:rsidR="00CD6179" w:rsidRPr="00720E01">
        <w:rPr>
          <w:i/>
          <w:iCs/>
          <w:snapToGrid w:val="0"/>
          <w:kern w:val="22"/>
          <w:szCs w:val="22"/>
          <w:lang w:val="fr-CA"/>
        </w:rPr>
        <w:t xml:space="preserve">Reconnaît </w:t>
      </w:r>
      <w:r w:rsidR="00CD6179" w:rsidRPr="00720E01">
        <w:rPr>
          <w:iCs/>
          <w:snapToGrid w:val="0"/>
          <w:kern w:val="22"/>
          <w:szCs w:val="22"/>
          <w:lang w:val="fr-CA"/>
        </w:rPr>
        <w:t>que malgré les progr</w:t>
      </w:r>
      <w:r w:rsidR="006A0A15" w:rsidRPr="00720E01">
        <w:rPr>
          <w:iCs/>
          <w:snapToGrid w:val="0"/>
          <w:kern w:val="22"/>
          <w:szCs w:val="22"/>
          <w:lang w:val="fr-CA"/>
        </w:rPr>
        <w:t>ès accompli</w:t>
      </w:r>
      <w:r w:rsidR="00CD6179" w:rsidRPr="00720E01">
        <w:rPr>
          <w:iCs/>
          <w:snapToGrid w:val="0"/>
          <w:kern w:val="22"/>
          <w:szCs w:val="22"/>
          <w:lang w:val="fr-CA"/>
        </w:rPr>
        <w:t xml:space="preserve">s, il </w:t>
      </w:r>
      <w:r w:rsidR="006A0A15" w:rsidRPr="00720E01">
        <w:rPr>
          <w:iCs/>
          <w:snapToGrid w:val="0"/>
          <w:kern w:val="22"/>
          <w:szCs w:val="22"/>
          <w:lang w:val="fr-CA"/>
        </w:rPr>
        <w:t>existe toujours un manque de financement important pour</w:t>
      </w:r>
      <w:r w:rsidR="0010011C">
        <w:rPr>
          <w:iCs/>
          <w:snapToGrid w:val="0"/>
          <w:kern w:val="22"/>
          <w:szCs w:val="22"/>
          <w:lang w:val="fr-CA"/>
        </w:rPr>
        <w:t xml:space="preserve"> la mise en œuvre efficace du cadre mondial de la biodiversité pour l</w:t>
      </w:r>
      <w:r w:rsidR="004C3F94">
        <w:rPr>
          <w:iCs/>
          <w:snapToGrid w:val="0"/>
          <w:kern w:val="22"/>
          <w:szCs w:val="22"/>
          <w:lang w:val="fr-CA"/>
        </w:rPr>
        <w:t>’</w:t>
      </w:r>
      <w:r w:rsidR="0010011C">
        <w:rPr>
          <w:iCs/>
          <w:snapToGrid w:val="0"/>
          <w:kern w:val="22"/>
          <w:szCs w:val="22"/>
          <w:lang w:val="fr-CA"/>
        </w:rPr>
        <w:t xml:space="preserve">après-2020 </w:t>
      </w:r>
      <w:r w:rsidR="006A0A15" w:rsidRPr="00720E01">
        <w:rPr>
          <w:iCs/>
          <w:snapToGrid w:val="0"/>
          <w:kern w:val="22"/>
          <w:szCs w:val="22"/>
          <w:lang w:val="fr-CA"/>
        </w:rPr>
        <w:t xml:space="preserve">et que de plus amples efforts sont nécessaires afin de mobiliser des ressources de toutes les sources </w:t>
      </w:r>
      <w:r w:rsidR="003E080E">
        <w:rPr>
          <w:iCs/>
          <w:snapToGrid w:val="0"/>
          <w:kern w:val="22"/>
          <w:szCs w:val="22"/>
          <w:lang w:val="fr-CA"/>
        </w:rPr>
        <w:t>correspondant</w:t>
      </w:r>
      <w:r w:rsidR="00C137EC">
        <w:rPr>
          <w:iCs/>
          <w:snapToGrid w:val="0"/>
          <w:kern w:val="22"/>
          <w:szCs w:val="22"/>
          <w:lang w:val="fr-CA"/>
        </w:rPr>
        <w:t xml:space="preserve"> au</w:t>
      </w:r>
      <w:r w:rsidR="000D0DFF">
        <w:rPr>
          <w:iCs/>
          <w:snapToGrid w:val="0"/>
          <w:kern w:val="22"/>
          <w:szCs w:val="22"/>
          <w:lang w:val="fr-CA"/>
        </w:rPr>
        <w:t xml:space="preserve"> niveau d’</w:t>
      </w:r>
      <w:r w:rsidR="00C137EC">
        <w:rPr>
          <w:iCs/>
          <w:snapToGrid w:val="0"/>
          <w:kern w:val="22"/>
          <w:szCs w:val="22"/>
          <w:lang w:val="fr-CA"/>
        </w:rPr>
        <w:t>ambition d</w:t>
      </w:r>
      <w:r w:rsidR="000D0DFF">
        <w:rPr>
          <w:iCs/>
          <w:snapToGrid w:val="0"/>
          <w:kern w:val="22"/>
          <w:szCs w:val="22"/>
          <w:lang w:val="fr-CA"/>
        </w:rPr>
        <w:t>u cadre</w:t>
      </w:r>
      <w:r w:rsidR="004C3F94">
        <w:rPr>
          <w:iCs/>
          <w:snapToGrid w:val="0"/>
          <w:kern w:val="22"/>
          <w:szCs w:val="22"/>
          <w:lang w:val="fr-CA"/>
        </w:rPr>
        <w:t> </w:t>
      </w:r>
      <w:r w:rsidR="004E6F72" w:rsidRPr="00720E01">
        <w:rPr>
          <w:snapToGrid w:val="0"/>
          <w:kern w:val="22"/>
          <w:szCs w:val="22"/>
          <w:lang w:val="fr-CA"/>
        </w:rPr>
        <w:t>;</w:t>
      </w:r>
    </w:p>
    <w:p w14:paraId="3323FFAB" w14:textId="656D6D86" w:rsidR="009C442C"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6</w:t>
      </w:r>
      <w:r w:rsidR="009C442C" w:rsidRPr="00720E01">
        <w:rPr>
          <w:snapToGrid w:val="0"/>
          <w:kern w:val="22"/>
          <w:szCs w:val="22"/>
          <w:lang w:val="fr-CA"/>
        </w:rPr>
        <w:t>.</w:t>
      </w:r>
      <w:r w:rsidR="009C442C" w:rsidRPr="00720E01">
        <w:rPr>
          <w:snapToGrid w:val="0"/>
          <w:kern w:val="22"/>
          <w:szCs w:val="22"/>
          <w:lang w:val="fr-CA"/>
        </w:rPr>
        <w:tab/>
      </w:r>
      <w:r w:rsidR="006A0A15" w:rsidRPr="00720E01">
        <w:rPr>
          <w:i/>
          <w:iCs/>
          <w:snapToGrid w:val="0"/>
          <w:kern w:val="22"/>
          <w:szCs w:val="22"/>
          <w:lang w:val="fr-CA"/>
        </w:rPr>
        <w:t xml:space="preserve">Reconnaît également </w:t>
      </w:r>
      <w:r w:rsidR="006A0A15" w:rsidRPr="00720E01">
        <w:rPr>
          <w:iCs/>
          <w:snapToGrid w:val="0"/>
          <w:kern w:val="22"/>
          <w:szCs w:val="22"/>
          <w:lang w:val="fr-CA"/>
        </w:rPr>
        <w:t>le besoin permanent de soutien technique et de renforcement des capacités des pays en développement et des pays à économie en transition afin qu’ils puissent prendre les mesures intérieures nécessaires</w:t>
      </w:r>
      <w:r w:rsidR="006E5539" w:rsidRPr="00720E01">
        <w:rPr>
          <w:iCs/>
          <w:snapToGrid w:val="0"/>
          <w:kern w:val="22"/>
          <w:szCs w:val="22"/>
          <w:lang w:val="fr-CA"/>
        </w:rPr>
        <w:t xml:space="preserve"> pour mobiliser des ressources et présenter des rapports à cet égard</w:t>
      </w:r>
      <w:r w:rsidR="004C3F94">
        <w:rPr>
          <w:iCs/>
          <w:snapToGrid w:val="0"/>
          <w:kern w:val="22"/>
          <w:szCs w:val="22"/>
          <w:lang w:val="fr-CA"/>
        </w:rPr>
        <w:t> </w:t>
      </w:r>
      <w:r w:rsidR="004E6F72" w:rsidRPr="00720E01">
        <w:rPr>
          <w:snapToGrid w:val="0"/>
          <w:kern w:val="22"/>
          <w:szCs w:val="22"/>
          <w:lang w:val="fr-CA"/>
        </w:rPr>
        <w:t>;</w:t>
      </w:r>
    </w:p>
    <w:p w14:paraId="04C7665B" w14:textId="3383151F" w:rsidR="003E67EE" w:rsidRPr="00720E01" w:rsidRDefault="00DB4BD9"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DB4BD9">
        <w:rPr>
          <w:b/>
          <w:kern w:val="22"/>
          <w:szCs w:val="22"/>
          <w:lang w:val="fr-CA"/>
        </w:rPr>
        <w:t>Démarche stratégique pour remplacer</w:t>
      </w:r>
      <w:r w:rsidR="006E5539" w:rsidRPr="00720E01">
        <w:rPr>
          <w:b/>
          <w:bCs/>
          <w:snapToGrid w:val="0"/>
          <w:kern w:val="22"/>
          <w:szCs w:val="22"/>
          <w:lang w:val="fr-CA"/>
        </w:rPr>
        <w:t xml:space="preserve"> la stratégie actuelle de mobilisation des ressources</w:t>
      </w:r>
    </w:p>
    <w:p w14:paraId="6C44C3BA" w14:textId="320F97DB" w:rsidR="0003588B"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7</w:t>
      </w:r>
      <w:r w:rsidR="00853906" w:rsidRPr="00720E01">
        <w:rPr>
          <w:snapToGrid w:val="0"/>
          <w:kern w:val="22"/>
          <w:szCs w:val="22"/>
          <w:lang w:val="fr-CA"/>
        </w:rPr>
        <w:t>.</w:t>
      </w:r>
      <w:r w:rsidR="00853906" w:rsidRPr="00720E01">
        <w:rPr>
          <w:i/>
          <w:iCs/>
          <w:snapToGrid w:val="0"/>
          <w:kern w:val="22"/>
          <w:szCs w:val="22"/>
          <w:lang w:val="fr-CA"/>
        </w:rPr>
        <w:tab/>
      </w:r>
      <w:r w:rsidR="006E5539" w:rsidRPr="00720E01">
        <w:rPr>
          <w:i/>
          <w:iCs/>
          <w:snapToGrid w:val="0"/>
          <w:kern w:val="22"/>
          <w:szCs w:val="22"/>
          <w:lang w:val="fr-CA"/>
        </w:rPr>
        <w:t xml:space="preserve">Adopte </w:t>
      </w:r>
      <w:r w:rsidR="00DB4BD9">
        <w:rPr>
          <w:iCs/>
          <w:snapToGrid w:val="0"/>
          <w:kern w:val="22"/>
          <w:szCs w:val="22"/>
          <w:lang w:val="fr-CA"/>
        </w:rPr>
        <w:t xml:space="preserve">la </w:t>
      </w:r>
      <w:r w:rsidR="00DB4BD9">
        <w:rPr>
          <w:kern w:val="22"/>
          <w:szCs w:val="22"/>
          <w:lang w:val="fr-CA"/>
        </w:rPr>
        <w:t>démarche stratégique pour remplacer</w:t>
      </w:r>
      <w:r w:rsidR="006E5539" w:rsidRPr="00720E01">
        <w:rPr>
          <w:iCs/>
          <w:snapToGrid w:val="0"/>
          <w:kern w:val="22"/>
          <w:szCs w:val="22"/>
          <w:lang w:val="fr-CA"/>
        </w:rPr>
        <w:t xml:space="preserve"> la stratégie actuelle de mobilisation des ressources présenté</w:t>
      </w:r>
      <w:r w:rsidR="00DB4BD9">
        <w:rPr>
          <w:iCs/>
          <w:snapToGrid w:val="0"/>
          <w:kern w:val="22"/>
          <w:szCs w:val="22"/>
          <w:lang w:val="fr-CA"/>
        </w:rPr>
        <w:t>e</w:t>
      </w:r>
      <w:r w:rsidR="006E5539" w:rsidRPr="00720E01">
        <w:rPr>
          <w:iCs/>
          <w:snapToGrid w:val="0"/>
          <w:kern w:val="22"/>
          <w:szCs w:val="22"/>
          <w:lang w:val="fr-CA"/>
        </w:rPr>
        <w:t xml:space="preserve"> à l’annexe II à la présente recommandation</w:t>
      </w:r>
      <w:r w:rsidR="004C3F94">
        <w:rPr>
          <w:iCs/>
          <w:snapToGrid w:val="0"/>
          <w:kern w:val="22"/>
          <w:szCs w:val="22"/>
          <w:lang w:val="fr-CA"/>
        </w:rPr>
        <w:t> </w:t>
      </w:r>
      <w:r w:rsidR="00CA6207" w:rsidRPr="00720E01">
        <w:rPr>
          <w:snapToGrid w:val="0"/>
          <w:kern w:val="22"/>
          <w:szCs w:val="22"/>
          <w:lang w:val="fr-CA"/>
        </w:rPr>
        <w:t>;</w:t>
      </w:r>
    </w:p>
    <w:p w14:paraId="5F4C94B3" w14:textId="032409F9" w:rsidR="00084813"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8</w:t>
      </w:r>
      <w:r w:rsidR="0003588B" w:rsidRPr="00720E01">
        <w:rPr>
          <w:snapToGrid w:val="0"/>
          <w:kern w:val="22"/>
          <w:szCs w:val="22"/>
          <w:lang w:val="fr-CA"/>
        </w:rPr>
        <w:t>.</w:t>
      </w:r>
      <w:r w:rsidR="0003588B" w:rsidRPr="00720E01">
        <w:rPr>
          <w:i/>
          <w:iCs/>
          <w:snapToGrid w:val="0"/>
          <w:kern w:val="22"/>
          <w:szCs w:val="22"/>
          <w:lang w:val="fr-CA"/>
        </w:rPr>
        <w:tab/>
      </w:r>
      <w:r w:rsidR="00971C88" w:rsidRPr="00720E01">
        <w:rPr>
          <w:i/>
          <w:iCs/>
          <w:snapToGrid w:val="0"/>
          <w:kern w:val="22"/>
          <w:szCs w:val="22"/>
          <w:lang w:val="fr-CA"/>
        </w:rPr>
        <w:t xml:space="preserve">Invite </w:t>
      </w:r>
      <w:r w:rsidR="00971C88" w:rsidRPr="00720E01">
        <w:rPr>
          <w:iCs/>
          <w:snapToGrid w:val="0"/>
          <w:kern w:val="22"/>
          <w:szCs w:val="22"/>
          <w:lang w:val="fr-CA"/>
        </w:rPr>
        <w:t xml:space="preserve">les Parties et les autres gouvernements à envisager d’utiliser </w:t>
      </w:r>
      <w:r w:rsidR="00DB4BD9">
        <w:rPr>
          <w:iCs/>
          <w:snapToGrid w:val="0"/>
          <w:kern w:val="22"/>
          <w:szCs w:val="22"/>
          <w:lang w:val="fr-CA"/>
        </w:rPr>
        <w:t xml:space="preserve">la </w:t>
      </w:r>
      <w:r w:rsidR="00DB4BD9">
        <w:rPr>
          <w:kern w:val="22"/>
          <w:szCs w:val="22"/>
          <w:lang w:val="fr-CA"/>
        </w:rPr>
        <w:t xml:space="preserve">démarche stratégique pour remplacer </w:t>
      </w:r>
      <w:r w:rsidR="00971C88" w:rsidRPr="00720E01">
        <w:rPr>
          <w:iCs/>
          <w:snapToGrid w:val="0"/>
          <w:kern w:val="22"/>
          <w:szCs w:val="22"/>
          <w:lang w:val="fr-CA"/>
        </w:rPr>
        <w:t>la stratégie actuelle de mobilisation des ressources en tant que cadre d’orientation souple pour la réalisation de l’objectif de mobilisation des ressources du cadre mondial de la biodiversité pour l</w:t>
      </w:r>
      <w:r w:rsidR="004C3F94">
        <w:rPr>
          <w:iCs/>
          <w:snapToGrid w:val="0"/>
          <w:kern w:val="22"/>
          <w:szCs w:val="22"/>
          <w:lang w:val="fr-CA"/>
        </w:rPr>
        <w:t>’</w:t>
      </w:r>
      <w:r w:rsidR="00971C88" w:rsidRPr="00720E01">
        <w:rPr>
          <w:iCs/>
          <w:snapToGrid w:val="0"/>
          <w:kern w:val="22"/>
          <w:szCs w:val="22"/>
          <w:lang w:val="fr-CA"/>
        </w:rPr>
        <w:t>après-2020</w:t>
      </w:r>
      <w:r w:rsidR="004C3F94">
        <w:rPr>
          <w:iCs/>
          <w:snapToGrid w:val="0"/>
          <w:kern w:val="22"/>
          <w:szCs w:val="22"/>
          <w:lang w:val="fr-CA"/>
        </w:rPr>
        <w:t> </w:t>
      </w:r>
      <w:r w:rsidR="006D36EA" w:rsidRPr="00720E01">
        <w:rPr>
          <w:snapToGrid w:val="0"/>
          <w:kern w:val="22"/>
          <w:szCs w:val="22"/>
          <w:lang w:val="fr-CA"/>
        </w:rPr>
        <w:t>;</w:t>
      </w:r>
    </w:p>
    <w:p w14:paraId="5209920F" w14:textId="189F5706" w:rsidR="000B33D2"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lastRenderedPageBreak/>
        <w:t>9</w:t>
      </w:r>
      <w:r w:rsidR="000B33D2" w:rsidRPr="00720E01">
        <w:rPr>
          <w:snapToGrid w:val="0"/>
          <w:kern w:val="22"/>
          <w:szCs w:val="22"/>
          <w:lang w:val="fr-CA"/>
        </w:rPr>
        <w:t>.</w:t>
      </w:r>
      <w:r w:rsidR="000B33D2" w:rsidRPr="00720E01">
        <w:rPr>
          <w:snapToGrid w:val="0"/>
          <w:kern w:val="22"/>
          <w:szCs w:val="22"/>
          <w:lang w:val="fr-CA"/>
        </w:rPr>
        <w:tab/>
      </w:r>
      <w:r w:rsidR="00C446A2" w:rsidRPr="00720E01">
        <w:rPr>
          <w:i/>
          <w:iCs/>
          <w:snapToGrid w:val="0"/>
          <w:kern w:val="22"/>
          <w:szCs w:val="22"/>
          <w:lang w:val="fr-CA"/>
        </w:rPr>
        <w:t xml:space="preserve">Invite </w:t>
      </w:r>
      <w:r w:rsidR="00C446A2" w:rsidRPr="00720E01">
        <w:rPr>
          <w:iCs/>
          <w:snapToGrid w:val="0"/>
          <w:kern w:val="22"/>
          <w:szCs w:val="22"/>
          <w:lang w:val="fr-CA"/>
        </w:rPr>
        <w:t xml:space="preserve">les organisations et initiatives internationales compétentes à soutenir l’application de tous les niveaux </w:t>
      </w:r>
      <w:r w:rsidR="00DB4BD9">
        <w:rPr>
          <w:iCs/>
          <w:snapToGrid w:val="0"/>
          <w:kern w:val="22"/>
          <w:szCs w:val="22"/>
          <w:lang w:val="fr-CA"/>
        </w:rPr>
        <w:t xml:space="preserve">de la </w:t>
      </w:r>
      <w:r w:rsidR="00DB4BD9">
        <w:rPr>
          <w:kern w:val="22"/>
          <w:szCs w:val="22"/>
          <w:lang w:val="fr-CA"/>
        </w:rPr>
        <w:t>démarche stratégique pour remplacer</w:t>
      </w:r>
      <w:r w:rsidR="00C446A2" w:rsidRPr="00720E01">
        <w:rPr>
          <w:iCs/>
          <w:snapToGrid w:val="0"/>
          <w:kern w:val="22"/>
          <w:szCs w:val="22"/>
          <w:lang w:val="fr-CA"/>
        </w:rPr>
        <w:t xml:space="preserve"> la stratégie actuelle de mobilisation des ressources</w:t>
      </w:r>
      <w:r w:rsidR="004C3F94">
        <w:rPr>
          <w:iCs/>
          <w:snapToGrid w:val="0"/>
          <w:kern w:val="22"/>
          <w:szCs w:val="22"/>
          <w:lang w:val="fr-CA"/>
        </w:rPr>
        <w:t> </w:t>
      </w:r>
      <w:r w:rsidR="000B33D2" w:rsidRPr="00720E01">
        <w:rPr>
          <w:snapToGrid w:val="0"/>
          <w:kern w:val="22"/>
          <w:szCs w:val="22"/>
          <w:lang w:val="fr-CA"/>
        </w:rPr>
        <w:t>;</w:t>
      </w:r>
    </w:p>
    <w:p w14:paraId="1AF9726B" w14:textId="33DA3230" w:rsidR="00163094"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10</w:t>
      </w:r>
      <w:r w:rsidR="00163094" w:rsidRPr="00720E01">
        <w:rPr>
          <w:snapToGrid w:val="0"/>
          <w:kern w:val="22"/>
          <w:szCs w:val="22"/>
          <w:lang w:val="fr-CA"/>
        </w:rPr>
        <w:t>.</w:t>
      </w:r>
      <w:r w:rsidR="00163094" w:rsidRPr="00720E01">
        <w:rPr>
          <w:snapToGrid w:val="0"/>
          <w:kern w:val="22"/>
          <w:szCs w:val="22"/>
          <w:lang w:val="fr-CA"/>
        </w:rPr>
        <w:tab/>
      </w:r>
      <w:r w:rsidR="00C446A2" w:rsidRPr="00720E01">
        <w:rPr>
          <w:i/>
          <w:iCs/>
          <w:snapToGrid w:val="0"/>
          <w:kern w:val="22"/>
          <w:szCs w:val="22"/>
          <w:lang w:val="fr-CA"/>
        </w:rPr>
        <w:t xml:space="preserve">Invite </w:t>
      </w:r>
      <w:r w:rsidR="00C446A2" w:rsidRPr="00720E01">
        <w:rPr>
          <w:iCs/>
          <w:snapToGrid w:val="0"/>
          <w:kern w:val="22"/>
          <w:szCs w:val="22"/>
          <w:lang w:val="fr-CA"/>
        </w:rPr>
        <w:t xml:space="preserve">les organismes bilatéraux et multilatéraux de financement ainsi que le Fonds pour l’environnement mondial à offrir un soutien technique et financier, ainsi qu’un renforcement des capacités, pour la mise en œuvre </w:t>
      </w:r>
      <w:r w:rsidR="00DB4BD9">
        <w:rPr>
          <w:iCs/>
          <w:snapToGrid w:val="0"/>
          <w:kern w:val="22"/>
          <w:szCs w:val="22"/>
          <w:lang w:val="fr-CA"/>
        </w:rPr>
        <w:t xml:space="preserve">de la </w:t>
      </w:r>
      <w:r w:rsidR="00DB4BD9">
        <w:rPr>
          <w:kern w:val="22"/>
          <w:szCs w:val="22"/>
          <w:lang w:val="fr-CA"/>
        </w:rPr>
        <w:t>démarche stratégique pour remplacer</w:t>
      </w:r>
      <w:r w:rsidR="00C446A2" w:rsidRPr="00720E01">
        <w:rPr>
          <w:iCs/>
          <w:snapToGrid w:val="0"/>
          <w:kern w:val="22"/>
          <w:szCs w:val="22"/>
          <w:lang w:val="fr-CA"/>
        </w:rPr>
        <w:t xml:space="preserve"> la stratégie </w:t>
      </w:r>
      <w:r w:rsidR="001B2A3E" w:rsidRPr="00720E01">
        <w:rPr>
          <w:iCs/>
          <w:snapToGrid w:val="0"/>
          <w:kern w:val="22"/>
          <w:szCs w:val="22"/>
          <w:lang w:val="fr-CA"/>
        </w:rPr>
        <w:t>actuelle de mobilisati</w:t>
      </w:r>
      <w:r w:rsidR="00C446A2" w:rsidRPr="00720E01">
        <w:rPr>
          <w:iCs/>
          <w:snapToGrid w:val="0"/>
          <w:kern w:val="22"/>
          <w:szCs w:val="22"/>
          <w:lang w:val="fr-CA"/>
        </w:rPr>
        <w:t xml:space="preserve">on des ressources dans les pays en développement et les pays à économie en transition, </w:t>
      </w:r>
      <w:r w:rsidR="00F94D16">
        <w:rPr>
          <w:iCs/>
          <w:snapToGrid w:val="0"/>
          <w:kern w:val="22"/>
          <w:szCs w:val="22"/>
          <w:lang w:val="fr-CA"/>
        </w:rPr>
        <w:t>selon les</w:t>
      </w:r>
      <w:r w:rsidR="00C446A2" w:rsidRPr="00720E01">
        <w:rPr>
          <w:iCs/>
          <w:snapToGrid w:val="0"/>
          <w:kern w:val="22"/>
          <w:szCs w:val="22"/>
          <w:lang w:val="fr-CA"/>
        </w:rPr>
        <w:t xml:space="preserve"> circonstances et </w:t>
      </w:r>
      <w:r w:rsidR="00F94D16">
        <w:rPr>
          <w:iCs/>
          <w:snapToGrid w:val="0"/>
          <w:kern w:val="22"/>
          <w:szCs w:val="22"/>
          <w:lang w:val="fr-CA"/>
        </w:rPr>
        <w:t>les</w:t>
      </w:r>
      <w:r w:rsidR="00C446A2" w:rsidRPr="00720E01">
        <w:rPr>
          <w:iCs/>
          <w:snapToGrid w:val="0"/>
          <w:kern w:val="22"/>
          <w:szCs w:val="22"/>
          <w:lang w:val="fr-CA"/>
        </w:rPr>
        <w:t xml:space="preserve"> priorités des pays</w:t>
      </w:r>
      <w:r w:rsidR="004C3F94">
        <w:rPr>
          <w:iCs/>
          <w:snapToGrid w:val="0"/>
          <w:kern w:val="22"/>
          <w:szCs w:val="22"/>
          <w:lang w:val="fr-CA"/>
        </w:rPr>
        <w:t> </w:t>
      </w:r>
      <w:r w:rsidR="00163094" w:rsidRPr="00720E01">
        <w:rPr>
          <w:snapToGrid w:val="0"/>
          <w:kern w:val="22"/>
          <w:szCs w:val="22"/>
          <w:lang w:val="fr-CA"/>
        </w:rPr>
        <w:t>;</w:t>
      </w:r>
    </w:p>
    <w:p w14:paraId="6DC76C2E" w14:textId="67EC7307" w:rsidR="000B33D2" w:rsidRPr="00720E01" w:rsidRDefault="001B2A3E"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720E01">
        <w:rPr>
          <w:b/>
          <w:bCs/>
          <w:snapToGrid w:val="0"/>
          <w:kern w:val="22"/>
          <w:szCs w:val="22"/>
          <w:lang w:val="fr-CA"/>
        </w:rPr>
        <w:t>Plans nationaux de financement</w:t>
      </w:r>
    </w:p>
    <w:p w14:paraId="51547C05" w14:textId="2CEDD1E9" w:rsidR="006A7753"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11</w:t>
      </w:r>
      <w:r w:rsidR="00614A0A" w:rsidRPr="00720E01">
        <w:rPr>
          <w:snapToGrid w:val="0"/>
          <w:kern w:val="22"/>
          <w:szCs w:val="22"/>
          <w:lang w:val="fr-CA"/>
        </w:rPr>
        <w:t>.</w:t>
      </w:r>
      <w:r w:rsidR="00614A0A" w:rsidRPr="00720E01">
        <w:rPr>
          <w:snapToGrid w:val="0"/>
          <w:kern w:val="22"/>
          <w:szCs w:val="22"/>
          <w:lang w:val="fr-CA"/>
        </w:rPr>
        <w:tab/>
      </w:r>
      <w:r w:rsidR="001B2A3E" w:rsidRPr="00720E01">
        <w:rPr>
          <w:i/>
          <w:iCs/>
          <w:snapToGrid w:val="0"/>
          <w:kern w:val="22"/>
          <w:szCs w:val="22"/>
          <w:lang w:val="fr-CA"/>
        </w:rPr>
        <w:t xml:space="preserve">Exhorte </w:t>
      </w:r>
      <w:r w:rsidR="001B2A3E" w:rsidRPr="00720E01">
        <w:rPr>
          <w:iCs/>
          <w:snapToGrid w:val="0"/>
          <w:kern w:val="22"/>
          <w:szCs w:val="22"/>
          <w:lang w:val="fr-CA"/>
        </w:rPr>
        <w:t xml:space="preserve">les Parties et invite les autres gouvernements à élaborer un plan </w:t>
      </w:r>
      <w:r w:rsidR="00FC6928" w:rsidRPr="00720E01">
        <w:rPr>
          <w:iCs/>
          <w:snapToGrid w:val="0"/>
          <w:kern w:val="22"/>
          <w:szCs w:val="22"/>
          <w:lang w:val="fr-CA"/>
        </w:rPr>
        <w:t xml:space="preserve">national de </w:t>
      </w:r>
      <w:r w:rsidR="001B2A3E" w:rsidRPr="00720E01">
        <w:rPr>
          <w:iCs/>
          <w:snapToGrid w:val="0"/>
          <w:kern w:val="22"/>
          <w:szCs w:val="22"/>
          <w:lang w:val="fr-CA"/>
        </w:rPr>
        <w:t xml:space="preserve">financement </w:t>
      </w:r>
      <w:r w:rsidR="00FC6928" w:rsidRPr="00720E01">
        <w:rPr>
          <w:iCs/>
          <w:snapToGrid w:val="0"/>
          <w:kern w:val="22"/>
          <w:szCs w:val="22"/>
          <w:lang w:val="fr-CA"/>
        </w:rPr>
        <w:t>de la biodiversité</w:t>
      </w:r>
      <w:r w:rsidR="001B2A3E" w:rsidRPr="00720E01">
        <w:rPr>
          <w:iCs/>
          <w:snapToGrid w:val="0"/>
          <w:kern w:val="22"/>
          <w:szCs w:val="22"/>
          <w:lang w:val="fr-CA"/>
        </w:rPr>
        <w:t xml:space="preserve"> </w:t>
      </w:r>
      <w:r w:rsidR="00FC6928" w:rsidRPr="00720E01">
        <w:rPr>
          <w:iCs/>
          <w:snapToGrid w:val="0"/>
          <w:kern w:val="22"/>
          <w:szCs w:val="22"/>
          <w:lang w:val="fr-CA"/>
        </w:rPr>
        <w:t>ou</w:t>
      </w:r>
      <w:r w:rsidR="001B2A3E" w:rsidRPr="00720E01">
        <w:rPr>
          <w:iCs/>
          <w:snapToGrid w:val="0"/>
          <w:kern w:val="22"/>
          <w:szCs w:val="22"/>
          <w:lang w:val="fr-CA"/>
        </w:rPr>
        <w:t xml:space="preserve"> à inclure le financement de la biodiversité </w:t>
      </w:r>
      <w:r w:rsidR="00FC6928" w:rsidRPr="00720E01">
        <w:rPr>
          <w:iCs/>
          <w:snapToGrid w:val="0"/>
          <w:kern w:val="22"/>
          <w:szCs w:val="22"/>
          <w:lang w:val="fr-CA"/>
        </w:rPr>
        <w:t>dans le plan national de financement du développement durable, selon qu’il convient,</w:t>
      </w:r>
      <w:r w:rsidR="001B2A3E" w:rsidRPr="00720E01">
        <w:rPr>
          <w:iCs/>
          <w:snapToGrid w:val="0"/>
          <w:kern w:val="22"/>
          <w:szCs w:val="22"/>
          <w:lang w:val="fr-CA"/>
        </w:rPr>
        <w:t xml:space="preserve"> en tenant compte des objectifs de mobilisation des ressources du cadre mondial de la biodiversité pour l</w:t>
      </w:r>
      <w:r w:rsidR="004C3F94">
        <w:rPr>
          <w:iCs/>
          <w:snapToGrid w:val="0"/>
          <w:kern w:val="22"/>
          <w:szCs w:val="22"/>
          <w:lang w:val="fr-CA"/>
        </w:rPr>
        <w:t>’</w:t>
      </w:r>
      <w:r w:rsidR="001B2A3E" w:rsidRPr="00720E01">
        <w:rPr>
          <w:iCs/>
          <w:snapToGrid w:val="0"/>
          <w:kern w:val="22"/>
          <w:szCs w:val="22"/>
          <w:lang w:val="fr-CA"/>
        </w:rPr>
        <w:t xml:space="preserve">après-2020 et </w:t>
      </w:r>
      <w:r w:rsidR="00DB4BD9">
        <w:rPr>
          <w:iCs/>
          <w:snapToGrid w:val="0"/>
          <w:kern w:val="22"/>
          <w:szCs w:val="22"/>
          <w:lang w:val="fr-CA"/>
        </w:rPr>
        <w:t xml:space="preserve">de la </w:t>
      </w:r>
      <w:r w:rsidR="00DB4BD9">
        <w:rPr>
          <w:kern w:val="22"/>
          <w:szCs w:val="22"/>
          <w:lang w:val="fr-CA"/>
        </w:rPr>
        <w:t xml:space="preserve">démarche stratégique pour remplacer </w:t>
      </w:r>
      <w:r w:rsidR="001B2A3E" w:rsidRPr="00720E01">
        <w:rPr>
          <w:iCs/>
          <w:snapToGrid w:val="0"/>
          <w:kern w:val="22"/>
          <w:szCs w:val="22"/>
          <w:lang w:val="fr-CA"/>
        </w:rPr>
        <w:t xml:space="preserve">la stratégie actuelle de mobilisation des ressources, </w:t>
      </w:r>
      <w:r w:rsidR="00FC6928" w:rsidRPr="00720E01">
        <w:rPr>
          <w:iCs/>
          <w:snapToGrid w:val="0"/>
          <w:kern w:val="22"/>
          <w:szCs w:val="22"/>
          <w:lang w:val="fr-CA"/>
        </w:rPr>
        <w:t>en vue de repérer tous les besoins de ressources et lacunes associées à la mise en œuvre du cadre mondial de la biodiversité pour l</w:t>
      </w:r>
      <w:r w:rsidR="004C3F94">
        <w:rPr>
          <w:iCs/>
          <w:snapToGrid w:val="0"/>
          <w:kern w:val="22"/>
          <w:szCs w:val="22"/>
          <w:lang w:val="fr-CA"/>
        </w:rPr>
        <w:t>’</w:t>
      </w:r>
      <w:r w:rsidR="00FC6928" w:rsidRPr="00720E01">
        <w:rPr>
          <w:iCs/>
          <w:snapToGrid w:val="0"/>
          <w:kern w:val="22"/>
          <w:szCs w:val="22"/>
          <w:lang w:val="fr-CA"/>
        </w:rPr>
        <w:t>après-2020 dans les pays et les mesures de politique entreprises afin de re</w:t>
      </w:r>
      <w:r w:rsidR="00A26C40" w:rsidRPr="00720E01">
        <w:rPr>
          <w:iCs/>
          <w:snapToGrid w:val="0"/>
          <w:kern w:val="22"/>
          <w:szCs w:val="22"/>
          <w:lang w:val="fr-CA"/>
        </w:rPr>
        <w:t>s</w:t>
      </w:r>
      <w:r w:rsidR="00FC6928" w:rsidRPr="00720E01">
        <w:rPr>
          <w:iCs/>
          <w:snapToGrid w:val="0"/>
          <w:kern w:val="22"/>
          <w:szCs w:val="22"/>
          <w:lang w:val="fr-CA"/>
        </w:rPr>
        <w:t xml:space="preserve">serrer ou </w:t>
      </w:r>
      <w:r w:rsidR="00A26C40" w:rsidRPr="00720E01">
        <w:rPr>
          <w:iCs/>
          <w:snapToGrid w:val="0"/>
          <w:kern w:val="22"/>
          <w:szCs w:val="22"/>
          <w:lang w:val="fr-CA"/>
        </w:rPr>
        <w:t>d’éliminer</w:t>
      </w:r>
      <w:r w:rsidR="00FC6928" w:rsidRPr="00720E01">
        <w:rPr>
          <w:iCs/>
          <w:snapToGrid w:val="0"/>
          <w:kern w:val="22"/>
          <w:szCs w:val="22"/>
          <w:lang w:val="fr-CA"/>
        </w:rPr>
        <w:t xml:space="preserve"> l’écart de financement, et de faire rapport à cet égard avant la seizième réunion de la Conférence des Parties</w:t>
      </w:r>
      <w:r w:rsidR="004C3F94">
        <w:rPr>
          <w:iCs/>
          <w:snapToGrid w:val="0"/>
          <w:kern w:val="22"/>
          <w:szCs w:val="22"/>
          <w:lang w:val="fr-CA"/>
        </w:rPr>
        <w:t> </w:t>
      </w:r>
      <w:r w:rsidR="006A7753" w:rsidRPr="00720E01">
        <w:rPr>
          <w:snapToGrid w:val="0"/>
          <w:kern w:val="22"/>
          <w:szCs w:val="22"/>
          <w:lang w:val="fr-CA"/>
        </w:rPr>
        <w:t>;</w:t>
      </w:r>
    </w:p>
    <w:p w14:paraId="45CD875D" w14:textId="3A9A9C21" w:rsidR="00C601EB"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12</w:t>
      </w:r>
      <w:r w:rsidR="00A1501F" w:rsidRPr="00720E01">
        <w:rPr>
          <w:snapToGrid w:val="0"/>
          <w:kern w:val="22"/>
          <w:szCs w:val="22"/>
          <w:lang w:val="fr-CA"/>
        </w:rPr>
        <w:t>.</w:t>
      </w:r>
      <w:r w:rsidR="00A1501F" w:rsidRPr="00720E01">
        <w:rPr>
          <w:snapToGrid w:val="0"/>
          <w:kern w:val="22"/>
          <w:szCs w:val="22"/>
          <w:lang w:val="fr-CA"/>
        </w:rPr>
        <w:tab/>
      </w:r>
      <w:bookmarkStart w:id="5" w:name="_Hlk37148406"/>
      <w:bookmarkStart w:id="6" w:name="_Hlk37148770"/>
      <w:r w:rsidR="00A26C40" w:rsidRPr="00720E01">
        <w:rPr>
          <w:i/>
          <w:iCs/>
          <w:snapToGrid w:val="0"/>
          <w:kern w:val="22"/>
          <w:szCs w:val="22"/>
          <w:lang w:val="fr-CA"/>
        </w:rPr>
        <w:t xml:space="preserve">Prend note avec satisfaction </w:t>
      </w:r>
      <w:r w:rsidR="00A26C40" w:rsidRPr="00720E01">
        <w:rPr>
          <w:iCs/>
          <w:snapToGrid w:val="0"/>
          <w:kern w:val="22"/>
          <w:szCs w:val="22"/>
          <w:lang w:val="fr-CA"/>
        </w:rPr>
        <w:t>des travaux des organisations et initiatives internationales compétentes intéressées, dont l’Initiative de financement de la biodiversité du Programme des Nations Unies pour le développement, visant à offrir un</w:t>
      </w:r>
      <w:r w:rsidR="00F94D16">
        <w:rPr>
          <w:iCs/>
          <w:snapToGrid w:val="0"/>
          <w:kern w:val="22"/>
          <w:szCs w:val="22"/>
          <w:lang w:val="fr-CA"/>
        </w:rPr>
        <w:t xml:space="preserve"> soutien financier et technique</w:t>
      </w:r>
      <w:r w:rsidR="00A26C40" w:rsidRPr="00720E01">
        <w:rPr>
          <w:iCs/>
          <w:snapToGrid w:val="0"/>
          <w:kern w:val="22"/>
          <w:szCs w:val="22"/>
          <w:lang w:val="fr-CA"/>
        </w:rPr>
        <w:t>, et un renforcement des capacités</w:t>
      </w:r>
      <w:r w:rsidR="00F94D16">
        <w:rPr>
          <w:iCs/>
          <w:snapToGrid w:val="0"/>
          <w:kern w:val="22"/>
          <w:szCs w:val="22"/>
          <w:lang w:val="fr-CA"/>
        </w:rPr>
        <w:t>,</w:t>
      </w:r>
      <w:r w:rsidR="00A26C40" w:rsidRPr="00720E01">
        <w:rPr>
          <w:iCs/>
          <w:snapToGrid w:val="0"/>
          <w:kern w:val="22"/>
          <w:szCs w:val="22"/>
          <w:lang w:val="fr-CA"/>
        </w:rPr>
        <w:t xml:space="preserve"> aux pays en développement intéressés à élaborer et à mettre en œuvre des plans nationaux de financement de la biodiversité et à </w:t>
      </w:r>
      <w:r w:rsidR="00F94D16">
        <w:rPr>
          <w:iCs/>
          <w:snapToGrid w:val="0"/>
          <w:kern w:val="22"/>
          <w:szCs w:val="22"/>
          <w:lang w:val="fr-CA"/>
        </w:rPr>
        <w:t>mettre au point</w:t>
      </w:r>
      <w:r w:rsidR="00A26C40" w:rsidRPr="00720E01">
        <w:rPr>
          <w:iCs/>
          <w:snapToGrid w:val="0"/>
          <w:kern w:val="22"/>
          <w:szCs w:val="22"/>
          <w:lang w:val="fr-CA"/>
        </w:rPr>
        <w:t xml:space="preserve"> la méthodologie de l’Initiative de financement de la biodiversité</w:t>
      </w:r>
      <w:r w:rsidR="004C3F94">
        <w:rPr>
          <w:iCs/>
          <w:snapToGrid w:val="0"/>
          <w:kern w:val="22"/>
          <w:szCs w:val="22"/>
          <w:lang w:val="fr-CA"/>
        </w:rPr>
        <w:t> </w:t>
      </w:r>
      <w:r w:rsidR="00EB6A7D" w:rsidRPr="00720E01">
        <w:rPr>
          <w:snapToGrid w:val="0"/>
          <w:kern w:val="22"/>
          <w:szCs w:val="22"/>
          <w:lang w:val="fr-CA"/>
        </w:rPr>
        <w:t>;</w:t>
      </w:r>
    </w:p>
    <w:p w14:paraId="4AF5268C" w14:textId="58647893" w:rsidR="00BC5EAC" w:rsidRPr="00720E01" w:rsidRDefault="00C601EB"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13.</w:t>
      </w:r>
      <w:r w:rsidRPr="00720E01">
        <w:rPr>
          <w:snapToGrid w:val="0"/>
          <w:kern w:val="22"/>
          <w:szCs w:val="22"/>
          <w:lang w:val="fr-CA"/>
        </w:rPr>
        <w:tab/>
      </w:r>
      <w:bookmarkEnd w:id="5"/>
      <w:r w:rsidR="00BF4975" w:rsidRPr="00720E01">
        <w:rPr>
          <w:i/>
          <w:iCs/>
          <w:snapToGrid w:val="0"/>
          <w:kern w:val="22"/>
          <w:szCs w:val="22"/>
          <w:lang w:val="fr-CA"/>
        </w:rPr>
        <w:t xml:space="preserve">Invite </w:t>
      </w:r>
      <w:r w:rsidR="00BF4975" w:rsidRPr="00720E01">
        <w:rPr>
          <w:iCs/>
          <w:snapToGrid w:val="0"/>
          <w:kern w:val="22"/>
          <w:szCs w:val="22"/>
          <w:lang w:val="fr-CA"/>
        </w:rPr>
        <w:t>l’Initiative de financement de la biodiversité</w:t>
      </w:r>
      <w:r w:rsidR="00BF4975" w:rsidRPr="00720E01">
        <w:rPr>
          <w:snapToGrid w:val="0"/>
          <w:kern w:val="22"/>
          <w:szCs w:val="22"/>
          <w:lang w:val="fr-CA"/>
        </w:rPr>
        <w:t xml:space="preserve"> du Programme des Nations Unies pour le développement et autres organisations et initiatives internationales compétentes intéressées à continuer à offrir un soutien à l’élaboration et à la mise en œuvre des plans de financement dont il est question dans les paragraphes précédents en offrant une orientation qui tient compte des circonstances nationales et des capacités des pays effectuant la mise en œuvre</w:t>
      </w:r>
      <w:r w:rsidR="004C3F94">
        <w:rPr>
          <w:snapToGrid w:val="0"/>
          <w:kern w:val="22"/>
          <w:szCs w:val="22"/>
          <w:lang w:val="fr-CA"/>
        </w:rPr>
        <w:t> </w:t>
      </w:r>
      <w:r w:rsidR="00BC5EAC" w:rsidRPr="00720E01">
        <w:rPr>
          <w:snapToGrid w:val="0"/>
          <w:kern w:val="22"/>
          <w:szCs w:val="22"/>
          <w:lang w:val="fr-CA"/>
        </w:rPr>
        <w:t>;</w:t>
      </w:r>
    </w:p>
    <w:bookmarkEnd w:id="6"/>
    <w:p w14:paraId="74EBE1D7" w14:textId="33540EEB" w:rsidR="000B33D2" w:rsidRPr="00720E01" w:rsidRDefault="00BF4975"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720E01">
        <w:rPr>
          <w:b/>
          <w:bCs/>
          <w:snapToGrid w:val="0"/>
          <w:kern w:val="22"/>
          <w:szCs w:val="22"/>
          <w:lang w:val="fr-CA"/>
        </w:rPr>
        <w:t>Synergies entre les conventions</w:t>
      </w:r>
    </w:p>
    <w:p w14:paraId="60AD73AA" w14:textId="65498E07" w:rsidR="00565E37"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w:t>
      </w:r>
      <w:r w:rsidR="00851AC9" w:rsidRPr="00720E01">
        <w:rPr>
          <w:snapToGrid w:val="0"/>
          <w:kern w:val="22"/>
          <w:szCs w:val="22"/>
          <w:lang w:val="fr-CA"/>
        </w:rPr>
        <w:t>4</w:t>
      </w:r>
      <w:r w:rsidR="000B33D2" w:rsidRPr="00720E01">
        <w:rPr>
          <w:snapToGrid w:val="0"/>
          <w:kern w:val="22"/>
          <w:szCs w:val="22"/>
          <w:lang w:val="fr-CA"/>
        </w:rPr>
        <w:t>.</w:t>
      </w:r>
      <w:r w:rsidR="000B33D2" w:rsidRPr="00720E01">
        <w:rPr>
          <w:snapToGrid w:val="0"/>
          <w:kern w:val="22"/>
          <w:szCs w:val="22"/>
          <w:lang w:val="fr-CA"/>
        </w:rPr>
        <w:tab/>
      </w:r>
      <w:r w:rsidR="00BF4975" w:rsidRPr="00720E01">
        <w:rPr>
          <w:i/>
          <w:iCs/>
          <w:snapToGrid w:val="0"/>
          <w:kern w:val="22"/>
          <w:szCs w:val="22"/>
          <w:lang w:val="fr-CA"/>
        </w:rPr>
        <w:t xml:space="preserve">Prend note avec satisfaction </w:t>
      </w:r>
      <w:r w:rsidR="00BF4975" w:rsidRPr="00720E01">
        <w:rPr>
          <w:iCs/>
          <w:snapToGrid w:val="0"/>
          <w:kern w:val="22"/>
          <w:szCs w:val="22"/>
          <w:lang w:val="fr-CA"/>
        </w:rPr>
        <w:t>des</w:t>
      </w:r>
      <w:r w:rsidR="00B66FAA" w:rsidRPr="00720E01">
        <w:rPr>
          <w:iCs/>
          <w:snapToGrid w:val="0"/>
          <w:kern w:val="22"/>
          <w:szCs w:val="22"/>
          <w:lang w:val="fr-CA"/>
        </w:rPr>
        <w:t xml:space="preserve"> récents fonds de programmes tels que le Fonds pour la neutralité en matière de dégradation des terres de la Convention des Nations Unies sur la lutte </w:t>
      </w:r>
      <w:r w:rsidR="005D16E5" w:rsidRPr="00720E01">
        <w:rPr>
          <w:iCs/>
          <w:snapToGrid w:val="0"/>
          <w:kern w:val="22"/>
          <w:szCs w:val="22"/>
          <w:lang w:val="fr-CA"/>
        </w:rPr>
        <w:t>contre</w:t>
      </w:r>
      <w:r w:rsidR="00B66FAA" w:rsidRPr="00720E01">
        <w:rPr>
          <w:iCs/>
          <w:snapToGrid w:val="0"/>
          <w:kern w:val="22"/>
          <w:szCs w:val="22"/>
          <w:lang w:val="fr-CA"/>
        </w:rPr>
        <w:t xml:space="preserve"> la désertification</w:t>
      </w:r>
      <w:r w:rsidR="005D16E5" w:rsidRPr="00720E01">
        <w:rPr>
          <w:iCs/>
          <w:snapToGrid w:val="0"/>
          <w:kern w:val="22"/>
          <w:szCs w:val="22"/>
          <w:lang w:val="fr-CA"/>
        </w:rPr>
        <w:t xml:space="preserve">, </w:t>
      </w:r>
      <w:r w:rsidR="000D0DFF">
        <w:rPr>
          <w:iCs/>
          <w:snapToGrid w:val="0"/>
          <w:kern w:val="22"/>
          <w:szCs w:val="22"/>
          <w:lang w:val="fr-CA"/>
        </w:rPr>
        <w:t>le Fonds vert pour le climat et</w:t>
      </w:r>
      <w:r w:rsidR="00B66FAA" w:rsidRPr="00720E01">
        <w:rPr>
          <w:iCs/>
          <w:snapToGrid w:val="0"/>
          <w:kern w:val="22"/>
          <w:szCs w:val="22"/>
          <w:lang w:val="fr-CA"/>
        </w:rPr>
        <w:t xml:space="preserve"> le Fonds pour l’environnement mondial</w:t>
      </w:r>
      <w:r w:rsidR="000D0DFF">
        <w:rPr>
          <w:iCs/>
          <w:snapToGrid w:val="0"/>
          <w:kern w:val="22"/>
          <w:szCs w:val="22"/>
          <w:lang w:val="fr-CA"/>
        </w:rPr>
        <w:t>, ainsi que d’autres</w:t>
      </w:r>
      <w:r w:rsidR="00B66FAA" w:rsidRPr="00720E01">
        <w:rPr>
          <w:iCs/>
          <w:snapToGrid w:val="0"/>
          <w:kern w:val="22"/>
          <w:szCs w:val="22"/>
          <w:lang w:val="fr-CA"/>
        </w:rPr>
        <w:t xml:space="preserve"> mécanismes de financem</w:t>
      </w:r>
      <w:r w:rsidR="008B2141">
        <w:rPr>
          <w:iCs/>
          <w:snapToGrid w:val="0"/>
          <w:kern w:val="22"/>
          <w:szCs w:val="22"/>
          <w:lang w:val="fr-CA"/>
        </w:rPr>
        <w:t>ent bilatéraux et multilatéraux</w:t>
      </w:r>
      <w:r w:rsidR="00B66FAA" w:rsidRPr="00720E01">
        <w:rPr>
          <w:iCs/>
          <w:snapToGrid w:val="0"/>
          <w:kern w:val="22"/>
          <w:szCs w:val="22"/>
          <w:lang w:val="fr-CA"/>
        </w:rPr>
        <w:t xml:space="preserve"> </w:t>
      </w:r>
      <w:r w:rsidR="005D16E5" w:rsidRPr="00720E01">
        <w:rPr>
          <w:iCs/>
          <w:snapToGrid w:val="0"/>
          <w:kern w:val="22"/>
          <w:szCs w:val="22"/>
          <w:lang w:val="fr-CA"/>
        </w:rPr>
        <w:t xml:space="preserve">pour exploiter les synergies dans le développement et le financement des objectifs des conventions de Rio et les </w:t>
      </w:r>
      <w:r w:rsidR="005D16E5" w:rsidRPr="00720E01">
        <w:rPr>
          <w:i/>
          <w:iCs/>
          <w:snapToGrid w:val="0"/>
          <w:kern w:val="22"/>
          <w:szCs w:val="22"/>
          <w:lang w:val="fr-CA"/>
        </w:rPr>
        <w:t>encourage</w:t>
      </w:r>
      <w:r w:rsidR="005D16E5" w:rsidRPr="00720E01">
        <w:rPr>
          <w:iCs/>
          <w:snapToGrid w:val="0"/>
          <w:kern w:val="22"/>
          <w:szCs w:val="22"/>
          <w:lang w:val="fr-CA"/>
        </w:rPr>
        <w:t xml:space="preserve"> à poursuivre et intensifier ces travaux afin de créer et d’accroître les retombées pour la biodiversité</w:t>
      </w:r>
      <w:r w:rsidR="004C3F94">
        <w:rPr>
          <w:iCs/>
          <w:snapToGrid w:val="0"/>
          <w:kern w:val="22"/>
          <w:szCs w:val="22"/>
          <w:lang w:val="fr-CA"/>
        </w:rPr>
        <w:t> </w:t>
      </w:r>
      <w:r w:rsidR="00F23836" w:rsidRPr="00720E01">
        <w:rPr>
          <w:snapToGrid w:val="0"/>
          <w:kern w:val="22"/>
          <w:szCs w:val="22"/>
          <w:lang w:val="fr-CA"/>
        </w:rPr>
        <w:t>;</w:t>
      </w:r>
    </w:p>
    <w:p w14:paraId="18A1C05D" w14:textId="627854C4" w:rsidR="006B1912" w:rsidRPr="00720E01" w:rsidRDefault="005D16E5" w:rsidP="00304215">
      <w:pPr>
        <w:keepNext/>
        <w:suppressLineNumbers/>
        <w:suppressAutoHyphens/>
        <w:kinsoku w:val="0"/>
        <w:overflowPunct w:val="0"/>
        <w:autoSpaceDE w:val="0"/>
        <w:autoSpaceDN w:val="0"/>
        <w:adjustRightInd w:val="0"/>
        <w:snapToGrid w:val="0"/>
        <w:spacing w:before="120" w:after="120" w:line="235" w:lineRule="auto"/>
        <w:ind w:left="1440"/>
        <w:rPr>
          <w:b/>
          <w:bCs/>
          <w:snapToGrid w:val="0"/>
          <w:kern w:val="22"/>
          <w:szCs w:val="22"/>
          <w:lang w:val="fr-CA"/>
        </w:rPr>
      </w:pPr>
      <w:bookmarkStart w:id="7" w:name="_Hlk37348486"/>
      <w:r w:rsidRPr="00720E01">
        <w:rPr>
          <w:b/>
          <w:bCs/>
          <w:snapToGrid w:val="0"/>
          <w:kern w:val="22"/>
          <w:szCs w:val="22"/>
          <w:lang w:val="fr-CA"/>
        </w:rPr>
        <w:t xml:space="preserve">Mesures de soutien à </w:t>
      </w:r>
      <w:r w:rsidR="009A2512">
        <w:rPr>
          <w:b/>
          <w:bCs/>
          <w:snapToGrid w:val="0"/>
          <w:kern w:val="22"/>
          <w:szCs w:val="22"/>
          <w:lang w:val="fr-CA"/>
        </w:rPr>
        <w:t>l’intensification</w:t>
      </w:r>
      <w:r w:rsidRPr="00720E01">
        <w:rPr>
          <w:b/>
          <w:bCs/>
          <w:snapToGrid w:val="0"/>
          <w:kern w:val="22"/>
          <w:szCs w:val="22"/>
          <w:lang w:val="fr-CA"/>
        </w:rPr>
        <w:t xml:space="preserve"> et l’harmonisation des mesures d’encouragement au titre de l’article 11 de la Convention</w:t>
      </w:r>
    </w:p>
    <w:bookmarkEnd w:id="7"/>
    <w:p w14:paraId="55304F64" w14:textId="20FB36FE" w:rsidR="006B1912" w:rsidRPr="00720E01" w:rsidRDefault="006B1912"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w:t>
      </w:r>
      <w:r w:rsidR="00851AC9" w:rsidRPr="00720E01">
        <w:rPr>
          <w:snapToGrid w:val="0"/>
          <w:kern w:val="22"/>
          <w:szCs w:val="22"/>
          <w:lang w:val="fr-CA"/>
        </w:rPr>
        <w:t>5</w:t>
      </w:r>
      <w:r w:rsidRPr="00720E01">
        <w:rPr>
          <w:snapToGrid w:val="0"/>
          <w:kern w:val="22"/>
          <w:szCs w:val="22"/>
          <w:lang w:val="fr-CA"/>
        </w:rPr>
        <w:t>.</w:t>
      </w:r>
      <w:r w:rsidRPr="00720E01">
        <w:rPr>
          <w:snapToGrid w:val="0"/>
          <w:kern w:val="22"/>
          <w:szCs w:val="22"/>
          <w:lang w:val="fr-CA"/>
        </w:rPr>
        <w:tab/>
      </w:r>
      <w:r w:rsidR="005D16E5" w:rsidRPr="00720E01">
        <w:rPr>
          <w:i/>
          <w:iCs/>
          <w:snapToGrid w:val="0"/>
          <w:kern w:val="22"/>
          <w:szCs w:val="22"/>
          <w:lang w:val="fr-CA"/>
        </w:rPr>
        <w:t xml:space="preserve">Prend note avec satisfaction </w:t>
      </w:r>
      <w:r w:rsidR="005D16E5" w:rsidRPr="00720E01">
        <w:rPr>
          <w:iCs/>
          <w:snapToGrid w:val="0"/>
          <w:kern w:val="22"/>
          <w:szCs w:val="22"/>
          <w:lang w:val="fr-CA"/>
        </w:rPr>
        <w:t xml:space="preserve">des travaux du comité des politiques environnementales de l’Organisation de coopération et de développement économiques pour soutenir les pays dans </w:t>
      </w:r>
      <w:r w:rsidR="009A2512">
        <w:rPr>
          <w:iCs/>
          <w:snapToGrid w:val="0"/>
          <w:kern w:val="22"/>
          <w:szCs w:val="22"/>
          <w:lang w:val="fr-CA"/>
        </w:rPr>
        <w:t>l’intensification</w:t>
      </w:r>
      <w:r w:rsidR="005D16E5" w:rsidRPr="00720E01">
        <w:rPr>
          <w:iCs/>
          <w:snapToGrid w:val="0"/>
          <w:kern w:val="22"/>
          <w:szCs w:val="22"/>
          <w:lang w:val="fr-CA"/>
        </w:rPr>
        <w:t xml:space="preserve"> et l’</w:t>
      </w:r>
      <w:r w:rsidR="00D41EE3" w:rsidRPr="00720E01">
        <w:rPr>
          <w:iCs/>
          <w:snapToGrid w:val="0"/>
          <w:kern w:val="22"/>
          <w:szCs w:val="22"/>
          <w:lang w:val="fr-CA"/>
        </w:rPr>
        <w:t>ha</w:t>
      </w:r>
      <w:r w:rsidR="005D16E5" w:rsidRPr="00720E01">
        <w:rPr>
          <w:iCs/>
          <w:snapToGrid w:val="0"/>
          <w:kern w:val="22"/>
          <w:szCs w:val="22"/>
          <w:lang w:val="fr-CA"/>
        </w:rPr>
        <w:t>rmonisation des programmes, notamment</w:t>
      </w:r>
      <w:r w:rsidR="00D41EE3" w:rsidRPr="00720E01">
        <w:rPr>
          <w:iCs/>
          <w:snapToGrid w:val="0"/>
          <w:kern w:val="22"/>
          <w:szCs w:val="22"/>
          <w:lang w:val="fr-CA"/>
        </w:rPr>
        <w:t xml:space="preserve"> </w:t>
      </w:r>
      <w:r w:rsidR="006B4377">
        <w:rPr>
          <w:iCs/>
          <w:snapToGrid w:val="0"/>
          <w:kern w:val="22"/>
          <w:szCs w:val="22"/>
          <w:lang w:val="fr-CA"/>
        </w:rPr>
        <w:t>en ce qui concerne l’</w:t>
      </w:r>
      <w:r w:rsidR="00D41EE3" w:rsidRPr="00720E01">
        <w:rPr>
          <w:iCs/>
          <w:snapToGrid w:val="0"/>
          <w:kern w:val="22"/>
          <w:szCs w:val="22"/>
          <w:lang w:val="fr-CA"/>
        </w:rPr>
        <w:t xml:space="preserve">orientation pour </w:t>
      </w:r>
      <w:r w:rsidR="009A2512">
        <w:rPr>
          <w:iCs/>
          <w:snapToGrid w:val="0"/>
          <w:kern w:val="22"/>
          <w:szCs w:val="22"/>
          <w:lang w:val="fr-CA"/>
        </w:rPr>
        <w:t>reconnaître</w:t>
      </w:r>
      <w:r w:rsidR="00D41EE3" w:rsidRPr="00720E01">
        <w:rPr>
          <w:iCs/>
          <w:snapToGrid w:val="0"/>
          <w:kern w:val="22"/>
          <w:szCs w:val="22"/>
          <w:lang w:val="fr-CA"/>
        </w:rPr>
        <w:t xml:space="preserve"> et évaluer les subventions nuisibles à la biodiversité, le suivi des instruments économiques et financiers pour la biodiversité et l’harmonisation des budgets nationaux aux objectifs pour l</w:t>
      </w:r>
      <w:r w:rsidR="004C3F94">
        <w:rPr>
          <w:iCs/>
          <w:snapToGrid w:val="0"/>
          <w:kern w:val="22"/>
          <w:szCs w:val="22"/>
          <w:lang w:val="fr-CA"/>
        </w:rPr>
        <w:t>e</w:t>
      </w:r>
      <w:r w:rsidR="00D41EE3" w:rsidRPr="00720E01">
        <w:rPr>
          <w:iCs/>
          <w:snapToGrid w:val="0"/>
          <w:kern w:val="22"/>
          <w:szCs w:val="22"/>
          <w:lang w:val="fr-CA"/>
        </w:rPr>
        <w:t xml:space="preserve"> climat, la diversité biologique et autres objectifs environnementaux, ainsi que </w:t>
      </w:r>
      <w:r w:rsidR="000D0DFF">
        <w:rPr>
          <w:iCs/>
          <w:snapToGrid w:val="0"/>
          <w:kern w:val="22"/>
          <w:szCs w:val="22"/>
          <w:lang w:val="fr-CA"/>
        </w:rPr>
        <w:t xml:space="preserve">des travaux </w:t>
      </w:r>
      <w:r w:rsidR="002830A1" w:rsidRPr="00720E01">
        <w:rPr>
          <w:iCs/>
          <w:snapToGrid w:val="0"/>
          <w:kern w:val="22"/>
          <w:szCs w:val="22"/>
          <w:lang w:val="fr-CA"/>
        </w:rPr>
        <w:t>du</w:t>
      </w:r>
      <w:r w:rsidR="00D41EE3" w:rsidRPr="00720E01">
        <w:rPr>
          <w:iCs/>
          <w:snapToGrid w:val="0"/>
          <w:kern w:val="22"/>
          <w:szCs w:val="22"/>
          <w:lang w:val="fr-CA"/>
        </w:rPr>
        <w:t xml:space="preserve"> Pro</w:t>
      </w:r>
      <w:r w:rsidR="002830A1" w:rsidRPr="00720E01">
        <w:rPr>
          <w:iCs/>
          <w:snapToGrid w:val="0"/>
          <w:kern w:val="22"/>
          <w:szCs w:val="22"/>
          <w:lang w:val="fr-CA"/>
        </w:rPr>
        <w:t>gramme des Nations U</w:t>
      </w:r>
      <w:r w:rsidR="00D41EE3" w:rsidRPr="00720E01">
        <w:rPr>
          <w:iCs/>
          <w:snapToGrid w:val="0"/>
          <w:kern w:val="22"/>
          <w:szCs w:val="22"/>
          <w:lang w:val="fr-CA"/>
        </w:rPr>
        <w:t xml:space="preserve">nies pour l’environnement sur la réforme fiscale pour l’agriculture durable, et </w:t>
      </w:r>
      <w:r w:rsidR="00D41EE3" w:rsidRPr="00720E01">
        <w:rPr>
          <w:i/>
          <w:iCs/>
          <w:snapToGrid w:val="0"/>
          <w:kern w:val="22"/>
          <w:szCs w:val="22"/>
          <w:lang w:val="fr-CA"/>
        </w:rPr>
        <w:t xml:space="preserve">encourage </w:t>
      </w:r>
      <w:r w:rsidR="00D41EE3" w:rsidRPr="00720E01">
        <w:rPr>
          <w:iCs/>
          <w:snapToGrid w:val="0"/>
          <w:kern w:val="22"/>
          <w:szCs w:val="22"/>
          <w:lang w:val="fr-CA"/>
        </w:rPr>
        <w:t>les organisations à poursuivre et à intensifier leurs travaux</w:t>
      </w:r>
      <w:r w:rsidR="00457617">
        <w:rPr>
          <w:iCs/>
          <w:snapToGrid w:val="0"/>
          <w:kern w:val="22"/>
          <w:szCs w:val="22"/>
          <w:lang w:val="fr-CA"/>
        </w:rPr>
        <w:t> ;</w:t>
      </w:r>
    </w:p>
    <w:p w14:paraId="15BF6AF6" w14:textId="4CFB1E98" w:rsidR="005E5B1A" w:rsidRPr="00720E01" w:rsidRDefault="002830A1"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720E01">
        <w:rPr>
          <w:b/>
          <w:bCs/>
          <w:snapToGrid w:val="0"/>
          <w:kern w:val="22"/>
          <w:szCs w:val="22"/>
          <w:lang w:val="fr-CA"/>
        </w:rPr>
        <w:lastRenderedPageBreak/>
        <w:t>Cadre de présentation des rapports financiers</w:t>
      </w:r>
    </w:p>
    <w:p w14:paraId="50839E80" w14:textId="14753156" w:rsidR="0095497E" w:rsidRPr="00720E01" w:rsidRDefault="0095497E" w:rsidP="00304215">
      <w:pPr>
        <w:suppressLineNumbers/>
        <w:suppressAutoHyphens/>
        <w:kinsoku w:val="0"/>
        <w:overflowPunct w:val="0"/>
        <w:autoSpaceDE w:val="0"/>
        <w:autoSpaceDN w:val="0"/>
        <w:adjustRightInd w:val="0"/>
        <w:snapToGrid w:val="0"/>
        <w:spacing w:before="120" w:after="120" w:line="235" w:lineRule="auto"/>
        <w:ind w:left="720"/>
        <w:rPr>
          <w:snapToGrid w:val="0"/>
          <w:kern w:val="22"/>
          <w:szCs w:val="22"/>
          <w:lang w:val="fr-CA"/>
        </w:rPr>
      </w:pPr>
      <w:bookmarkStart w:id="8" w:name="_Hlk37247789"/>
      <w:r w:rsidRPr="00720E01">
        <w:rPr>
          <w:snapToGrid w:val="0"/>
          <w:kern w:val="22"/>
          <w:szCs w:val="22"/>
          <w:lang w:val="fr-CA"/>
        </w:rPr>
        <w:tab/>
      </w:r>
      <w:r w:rsidR="008308A4" w:rsidRPr="00720E01">
        <w:rPr>
          <w:snapToGrid w:val="0"/>
          <w:kern w:val="22"/>
          <w:szCs w:val="22"/>
          <w:lang w:val="fr-CA"/>
        </w:rPr>
        <w:t>1</w:t>
      </w:r>
      <w:r w:rsidR="005B3609" w:rsidRPr="00720E01">
        <w:rPr>
          <w:snapToGrid w:val="0"/>
          <w:kern w:val="22"/>
          <w:szCs w:val="22"/>
          <w:lang w:val="fr-CA"/>
        </w:rPr>
        <w:t>6</w:t>
      </w:r>
      <w:r w:rsidR="008308A4" w:rsidRPr="00720E01">
        <w:rPr>
          <w:snapToGrid w:val="0"/>
          <w:kern w:val="22"/>
          <w:szCs w:val="22"/>
          <w:lang w:val="fr-CA"/>
        </w:rPr>
        <w:t>.</w:t>
      </w:r>
      <w:r w:rsidR="008308A4" w:rsidRPr="00720E01">
        <w:rPr>
          <w:snapToGrid w:val="0"/>
          <w:kern w:val="22"/>
          <w:szCs w:val="22"/>
          <w:lang w:val="fr-CA"/>
        </w:rPr>
        <w:tab/>
      </w:r>
      <w:r w:rsidR="002830A1" w:rsidRPr="00720E01">
        <w:rPr>
          <w:i/>
          <w:iCs/>
          <w:snapToGrid w:val="0"/>
          <w:kern w:val="22"/>
          <w:szCs w:val="22"/>
          <w:lang w:val="fr-CA"/>
        </w:rPr>
        <w:t xml:space="preserve">Décide </w:t>
      </w:r>
      <w:r w:rsidR="002830A1" w:rsidRPr="00720E01">
        <w:rPr>
          <w:iCs/>
          <w:snapToGrid w:val="0"/>
          <w:kern w:val="22"/>
          <w:szCs w:val="22"/>
          <w:lang w:val="fr-CA"/>
        </w:rPr>
        <w:t>d’élaborer et d’adopter un cadre de présentation des rapports financiers actualisé et simplifié à sa seizième réunion, en tenant compte et en utilisant, selon qu’il convient, les cadres de statistiq</w:t>
      </w:r>
      <w:r w:rsidR="002B6129" w:rsidRPr="00720E01">
        <w:rPr>
          <w:iCs/>
          <w:snapToGrid w:val="0"/>
          <w:kern w:val="22"/>
          <w:szCs w:val="22"/>
          <w:lang w:val="fr-CA"/>
        </w:rPr>
        <w:t>ue</w:t>
      </w:r>
      <w:r w:rsidR="006B4377">
        <w:rPr>
          <w:iCs/>
          <w:snapToGrid w:val="0"/>
          <w:kern w:val="22"/>
          <w:szCs w:val="22"/>
          <w:lang w:val="fr-CA"/>
        </w:rPr>
        <w:t>s</w:t>
      </w:r>
      <w:r w:rsidR="002B6129" w:rsidRPr="00720E01">
        <w:rPr>
          <w:iCs/>
          <w:snapToGrid w:val="0"/>
          <w:kern w:val="22"/>
          <w:szCs w:val="22"/>
          <w:lang w:val="fr-CA"/>
        </w:rPr>
        <w:t xml:space="preserve"> et de présentation des rappor</w:t>
      </w:r>
      <w:r w:rsidR="002830A1" w:rsidRPr="00720E01">
        <w:rPr>
          <w:iCs/>
          <w:snapToGrid w:val="0"/>
          <w:kern w:val="22"/>
          <w:szCs w:val="22"/>
          <w:lang w:val="fr-CA"/>
        </w:rPr>
        <w:t>ts financiers internationaux existants, dont ceux dont il es</w:t>
      </w:r>
      <w:r w:rsidR="002B6129" w:rsidRPr="00720E01">
        <w:rPr>
          <w:iCs/>
          <w:snapToGrid w:val="0"/>
          <w:kern w:val="22"/>
          <w:szCs w:val="22"/>
          <w:lang w:val="fr-CA"/>
        </w:rPr>
        <w:t>t question dans le</w:t>
      </w:r>
      <w:r w:rsidR="002830A1" w:rsidRPr="00720E01">
        <w:rPr>
          <w:iCs/>
          <w:snapToGrid w:val="0"/>
          <w:kern w:val="22"/>
          <w:szCs w:val="22"/>
          <w:lang w:val="fr-CA"/>
        </w:rPr>
        <w:t>s</w:t>
      </w:r>
      <w:r w:rsidR="002B6129" w:rsidRPr="00720E01">
        <w:rPr>
          <w:iCs/>
          <w:snapToGrid w:val="0"/>
          <w:kern w:val="22"/>
          <w:szCs w:val="22"/>
          <w:lang w:val="fr-CA"/>
        </w:rPr>
        <w:t xml:space="preserve"> </w:t>
      </w:r>
      <w:r w:rsidR="002830A1" w:rsidRPr="00720E01">
        <w:rPr>
          <w:iCs/>
          <w:snapToGrid w:val="0"/>
          <w:kern w:val="22"/>
          <w:szCs w:val="22"/>
          <w:lang w:val="fr-CA"/>
        </w:rPr>
        <w:t>paragr</w:t>
      </w:r>
      <w:r w:rsidR="002B6129" w:rsidRPr="00720E01">
        <w:rPr>
          <w:iCs/>
          <w:snapToGrid w:val="0"/>
          <w:kern w:val="22"/>
          <w:szCs w:val="22"/>
          <w:lang w:val="fr-CA"/>
        </w:rPr>
        <w:t>ap</w:t>
      </w:r>
      <w:r w:rsidR="002830A1" w:rsidRPr="00720E01">
        <w:rPr>
          <w:iCs/>
          <w:snapToGrid w:val="0"/>
          <w:kern w:val="22"/>
          <w:szCs w:val="22"/>
          <w:lang w:val="fr-CA"/>
        </w:rPr>
        <w:t>hes 1</w:t>
      </w:r>
      <w:r w:rsidR="002B6129" w:rsidRPr="00720E01">
        <w:rPr>
          <w:iCs/>
          <w:snapToGrid w:val="0"/>
          <w:kern w:val="22"/>
          <w:szCs w:val="22"/>
          <w:lang w:val="fr-CA"/>
        </w:rPr>
        <w:t>7 et 18 ci-d</w:t>
      </w:r>
      <w:r w:rsidR="002830A1" w:rsidRPr="00720E01">
        <w:rPr>
          <w:iCs/>
          <w:snapToGrid w:val="0"/>
          <w:kern w:val="22"/>
          <w:szCs w:val="22"/>
          <w:lang w:val="fr-CA"/>
        </w:rPr>
        <w:t>essous, et demande à l’</w:t>
      </w:r>
      <w:r w:rsidR="002B6129" w:rsidRPr="00720E01">
        <w:rPr>
          <w:iCs/>
          <w:snapToGrid w:val="0"/>
          <w:kern w:val="22"/>
          <w:szCs w:val="22"/>
          <w:lang w:val="fr-CA"/>
        </w:rPr>
        <w:t>Organe subsidiaire cha</w:t>
      </w:r>
      <w:r w:rsidR="002830A1" w:rsidRPr="00720E01">
        <w:rPr>
          <w:iCs/>
          <w:snapToGrid w:val="0"/>
          <w:kern w:val="22"/>
          <w:szCs w:val="22"/>
          <w:lang w:val="fr-CA"/>
        </w:rPr>
        <w:t>rgé de l’application d’élaborer un projet de cadre de présentation à sa quatrième réunion</w:t>
      </w:r>
      <w:r w:rsidR="004C3F94">
        <w:rPr>
          <w:iCs/>
          <w:snapToGrid w:val="0"/>
          <w:kern w:val="22"/>
          <w:szCs w:val="22"/>
          <w:lang w:val="fr-CA"/>
        </w:rPr>
        <w:t> </w:t>
      </w:r>
      <w:r w:rsidR="00EB6A7D" w:rsidRPr="00720E01">
        <w:rPr>
          <w:snapToGrid w:val="0"/>
          <w:kern w:val="22"/>
          <w:szCs w:val="22"/>
          <w:lang w:val="fr-CA"/>
        </w:rPr>
        <w:t>;</w:t>
      </w:r>
    </w:p>
    <w:p w14:paraId="650D7909" w14:textId="7ACCB09B" w:rsidR="000F0B30"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w:t>
      </w:r>
      <w:r w:rsidR="005B3609" w:rsidRPr="00720E01">
        <w:rPr>
          <w:snapToGrid w:val="0"/>
          <w:kern w:val="22"/>
          <w:szCs w:val="22"/>
          <w:lang w:val="fr-CA"/>
        </w:rPr>
        <w:t>7</w:t>
      </w:r>
      <w:r w:rsidR="0055410A" w:rsidRPr="00720E01">
        <w:rPr>
          <w:snapToGrid w:val="0"/>
          <w:kern w:val="22"/>
          <w:szCs w:val="22"/>
          <w:lang w:val="fr-CA"/>
        </w:rPr>
        <w:t>.</w:t>
      </w:r>
      <w:r w:rsidR="0055410A" w:rsidRPr="00720E01">
        <w:rPr>
          <w:snapToGrid w:val="0"/>
          <w:kern w:val="22"/>
          <w:szCs w:val="22"/>
          <w:lang w:val="fr-CA"/>
        </w:rPr>
        <w:tab/>
      </w:r>
      <w:r w:rsidR="002B6129" w:rsidRPr="00720E01">
        <w:rPr>
          <w:i/>
          <w:iCs/>
          <w:snapToGrid w:val="0"/>
          <w:kern w:val="22"/>
          <w:szCs w:val="22"/>
          <w:lang w:val="fr-CA"/>
        </w:rPr>
        <w:t xml:space="preserve">Invite </w:t>
      </w:r>
      <w:r w:rsidR="002B6129" w:rsidRPr="00720E01">
        <w:rPr>
          <w:iCs/>
          <w:snapToGrid w:val="0"/>
          <w:kern w:val="22"/>
          <w:szCs w:val="22"/>
          <w:lang w:val="fr-CA"/>
        </w:rPr>
        <w:t xml:space="preserve">les Parties à envisager de soumettre des rapports ou d’améliorer la remise de rapports, selon qu’il convient, sur leurs dépenses liées à la diversité biologique faites au titre </w:t>
      </w:r>
      <w:r w:rsidR="00457617">
        <w:rPr>
          <w:iCs/>
          <w:snapToGrid w:val="0"/>
          <w:kern w:val="22"/>
          <w:szCs w:val="22"/>
          <w:lang w:val="fr-CA"/>
        </w:rPr>
        <w:t>a) </w:t>
      </w:r>
      <w:r w:rsidR="002B6129" w:rsidRPr="00720E01">
        <w:rPr>
          <w:iCs/>
          <w:snapToGrid w:val="0"/>
          <w:kern w:val="22"/>
          <w:szCs w:val="22"/>
          <w:lang w:val="fr-CA"/>
        </w:rPr>
        <w:t>des cadres de statistiques internationaux, telles qu’</w:t>
      </w:r>
      <w:r w:rsidR="00E571D3" w:rsidRPr="00720E01">
        <w:rPr>
          <w:iCs/>
          <w:snapToGrid w:val="0"/>
          <w:kern w:val="22"/>
          <w:szCs w:val="22"/>
          <w:lang w:val="fr-CA"/>
        </w:rPr>
        <w:t>au ti</w:t>
      </w:r>
      <w:r w:rsidR="002B6129" w:rsidRPr="00720E01">
        <w:rPr>
          <w:iCs/>
          <w:snapToGrid w:val="0"/>
          <w:kern w:val="22"/>
          <w:szCs w:val="22"/>
          <w:lang w:val="fr-CA"/>
        </w:rPr>
        <w:t xml:space="preserve">tre des </w:t>
      </w:r>
      <w:r w:rsidR="00E571D3" w:rsidRPr="00720E01">
        <w:rPr>
          <w:iCs/>
          <w:snapToGrid w:val="0"/>
          <w:kern w:val="22"/>
          <w:szCs w:val="22"/>
          <w:lang w:val="fr-CA"/>
        </w:rPr>
        <w:t>statistiques</w:t>
      </w:r>
      <w:r w:rsidR="002B6129" w:rsidRPr="00720E01">
        <w:rPr>
          <w:iCs/>
          <w:snapToGrid w:val="0"/>
          <w:kern w:val="22"/>
          <w:szCs w:val="22"/>
          <w:lang w:val="fr-CA"/>
        </w:rPr>
        <w:t xml:space="preserve"> financi</w:t>
      </w:r>
      <w:r w:rsidR="00E571D3" w:rsidRPr="00720E01">
        <w:rPr>
          <w:iCs/>
          <w:snapToGrid w:val="0"/>
          <w:kern w:val="22"/>
          <w:szCs w:val="22"/>
          <w:lang w:val="fr-CA"/>
        </w:rPr>
        <w:t>ères gouvernementa</w:t>
      </w:r>
      <w:r w:rsidR="002B6129" w:rsidRPr="00720E01">
        <w:rPr>
          <w:iCs/>
          <w:snapToGrid w:val="0"/>
          <w:kern w:val="22"/>
          <w:szCs w:val="22"/>
          <w:lang w:val="fr-CA"/>
        </w:rPr>
        <w:t>les (dépenses par postes du gouvernement) maintenu</w:t>
      </w:r>
      <w:r w:rsidR="00D86B28">
        <w:rPr>
          <w:iCs/>
          <w:snapToGrid w:val="0"/>
          <w:kern w:val="22"/>
          <w:szCs w:val="22"/>
          <w:lang w:val="fr-CA"/>
        </w:rPr>
        <w:t>e</w:t>
      </w:r>
      <w:r w:rsidR="002B6129" w:rsidRPr="00720E01">
        <w:rPr>
          <w:iCs/>
          <w:snapToGrid w:val="0"/>
          <w:kern w:val="22"/>
          <w:szCs w:val="22"/>
          <w:lang w:val="fr-CA"/>
        </w:rPr>
        <w:t>s par le Fonds monétaire international</w:t>
      </w:r>
      <w:r w:rsidR="004C3F94">
        <w:rPr>
          <w:iCs/>
          <w:snapToGrid w:val="0"/>
          <w:kern w:val="22"/>
          <w:szCs w:val="22"/>
          <w:lang w:val="fr-CA"/>
        </w:rPr>
        <w:t> </w:t>
      </w:r>
      <w:r w:rsidR="00D86B28">
        <w:rPr>
          <w:iCs/>
          <w:snapToGrid w:val="0"/>
          <w:kern w:val="22"/>
          <w:szCs w:val="22"/>
          <w:lang w:val="fr-CA"/>
        </w:rPr>
        <w:t>;</w:t>
      </w:r>
      <w:r w:rsidR="002B6129" w:rsidRPr="00720E01">
        <w:rPr>
          <w:iCs/>
          <w:snapToGrid w:val="0"/>
          <w:kern w:val="22"/>
          <w:szCs w:val="22"/>
          <w:lang w:val="fr-CA"/>
        </w:rPr>
        <w:t xml:space="preserve"> </w:t>
      </w:r>
      <w:r w:rsidR="00457617">
        <w:rPr>
          <w:iCs/>
          <w:snapToGrid w:val="0"/>
          <w:kern w:val="22"/>
          <w:szCs w:val="22"/>
          <w:lang w:val="fr-CA"/>
        </w:rPr>
        <w:t>b) </w:t>
      </w:r>
      <w:r w:rsidR="00D86B28">
        <w:rPr>
          <w:iCs/>
          <w:snapToGrid w:val="0"/>
          <w:kern w:val="22"/>
          <w:szCs w:val="22"/>
          <w:lang w:val="fr-CA"/>
        </w:rPr>
        <w:t xml:space="preserve">de </w:t>
      </w:r>
      <w:r w:rsidR="002B6129" w:rsidRPr="00720E01">
        <w:rPr>
          <w:iCs/>
          <w:snapToGrid w:val="0"/>
          <w:kern w:val="22"/>
          <w:szCs w:val="22"/>
          <w:lang w:val="fr-CA"/>
        </w:rPr>
        <w:t xml:space="preserve">l’Organisation de coopération et de développement économiques et </w:t>
      </w:r>
      <w:r w:rsidR="00457617">
        <w:rPr>
          <w:iCs/>
          <w:snapToGrid w:val="0"/>
          <w:kern w:val="22"/>
          <w:szCs w:val="22"/>
          <w:lang w:val="fr-CA"/>
        </w:rPr>
        <w:t>c) </w:t>
      </w:r>
      <w:r w:rsidR="00D86B28">
        <w:rPr>
          <w:iCs/>
          <w:snapToGrid w:val="0"/>
          <w:kern w:val="22"/>
          <w:szCs w:val="22"/>
          <w:lang w:val="fr-CA"/>
        </w:rPr>
        <w:t>du</w:t>
      </w:r>
      <w:r w:rsidR="002B6129" w:rsidRPr="00720E01">
        <w:rPr>
          <w:iCs/>
          <w:snapToGrid w:val="0"/>
          <w:kern w:val="22"/>
          <w:szCs w:val="22"/>
          <w:lang w:val="fr-CA"/>
        </w:rPr>
        <w:t xml:space="preserve"> cadre de comptes de </w:t>
      </w:r>
      <w:r w:rsidR="00E571D3" w:rsidRPr="00720E01">
        <w:rPr>
          <w:iCs/>
          <w:snapToGrid w:val="0"/>
          <w:kern w:val="22"/>
          <w:szCs w:val="22"/>
          <w:lang w:val="fr-CA"/>
        </w:rPr>
        <w:t>dépenses</w:t>
      </w:r>
      <w:r w:rsidR="002B6129" w:rsidRPr="00720E01">
        <w:rPr>
          <w:iCs/>
          <w:snapToGrid w:val="0"/>
          <w:kern w:val="22"/>
          <w:szCs w:val="22"/>
          <w:lang w:val="fr-CA"/>
        </w:rPr>
        <w:t xml:space="preserve"> environnementa</w:t>
      </w:r>
      <w:r w:rsidR="00E571D3" w:rsidRPr="00720E01">
        <w:rPr>
          <w:iCs/>
          <w:snapToGrid w:val="0"/>
          <w:kern w:val="22"/>
          <w:szCs w:val="22"/>
          <w:lang w:val="fr-CA"/>
        </w:rPr>
        <w:t xml:space="preserve">les </w:t>
      </w:r>
      <w:r w:rsidR="002B6129" w:rsidRPr="00720E01">
        <w:rPr>
          <w:iCs/>
          <w:snapToGrid w:val="0"/>
          <w:kern w:val="22"/>
          <w:szCs w:val="22"/>
          <w:lang w:val="fr-CA"/>
        </w:rPr>
        <w:t xml:space="preserve">du </w:t>
      </w:r>
      <w:r w:rsidR="00E571D3" w:rsidRPr="00720E01">
        <w:rPr>
          <w:iCs/>
          <w:snapToGrid w:val="0"/>
          <w:kern w:val="22"/>
          <w:szCs w:val="22"/>
          <w:lang w:val="fr-CA"/>
        </w:rPr>
        <w:t>Système de comptabilité économique et environnementale des Nations Unies (</w:t>
      </w:r>
      <w:proofErr w:type="spellStart"/>
      <w:r w:rsidR="00E571D3" w:rsidRPr="00720E01">
        <w:rPr>
          <w:iCs/>
          <w:snapToGrid w:val="0"/>
          <w:kern w:val="22"/>
          <w:szCs w:val="22"/>
          <w:lang w:val="fr-CA"/>
        </w:rPr>
        <w:t>SCEE</w:t>
      </w:r>
      <w:proofErr w:type="spellEnd"/>
      <w:r w:rsidR="00E571D3" w:rsidRPr="00720E01">
        <w:rPr>
          <w:iCs/>
          <w:snapToGrid w:val="0"/>
          <w:kern w:val="22"/>
          <w:szCs w:val="22"/>
          <w:lang w:val="fr-CA"/>
        </w:rPr>
        <w:t xml:space="preserve">) exploité par Eurostat et l’Organisation de coopération et de développement économiques, et </w:t>
      </w:r>
      <w:r w:rsidR="00D86B28">
        <w:rPr>
          <w:iCs/>
          <w:snapToGrid w:val="0"/>
          <w:kern w:val="22"/>
          <w:szCs w:val="22"/>
          <w:lang w:val="fr-CA"/>
        </w:rPr>
        <w:t>à</w:t>
      </w:r>
      <w:r w:rsidR="00E571D3" w:rsidRPr="00720E01">
        <w:rPr>
          <w:iCs/>
          <w:snapToGrid w:val="0"/>
          <w:kern w:val="22"/>
          <w:szCs w:val="22"/>
          <w:lang w:val="fr-CA"/>
        </w:rPr>
        <w:t xml:space="preserve"> transmettre les informations sur ces </w:t>
      </w:r>
      <w:r w:rsidR="00C414BF" w:rsidRPr="00720E01">
        <w:rPr>
          <w:iCs/>
          <w:snapToGrid w:val="0"/>
          <w:kern w:val="22"/>
          <w:szCs w:val="22"/>
          <w:lang w:val="fr-CA"/>
        </w:rPr>
        <w:t xml:space="preserve">activités de remise de </w:t>
      </w:r>
      <w:r w:rsidR="00E571D3" w:rsidRPr="00720E01">
        <w:rPr>
          <w:iCs/>
          <w:snapToGrid w:val="0"/>
          <w:kern w:val="22"/>
          <w:szCs w:val="22"/>
          <w:lang w:val="fr-CA"/>
        </w:rPr>
        <w:t>rapports à la Secrétaire exécutive</w:t>
      </w:r>
      <w:r w:rsidR="004C3F94">
        <w:rPr>
          <w:iCs/>
          <w:snapToGrid w:val="0"/>
          <w:kern w:val="22"/>
          <w:szCs w:val="22"/>
          <w:lang w:val="fr-CA"/>
        </w:rPr>
        <w:t> </w:t>
      </w:r>
      <w:r w:rsidR="000F0B30" w:rsidRPr="00720E01">
        <w:rPr>
          <w:snapToGrid w:val="0"/>
          <w:kern w:val="22"/>
          <w:szCs w:val="22"/>
          <w:lang w:val="fr-CA"/>
        </w:rPr>
        <w:t>;</w:t>
      </w:r>
    </w:p>
    <w:bookmarkEnd w:id="8"/>
    <w:p w14:paraId="42155559" w14:textId="04FD89DE" w:rsidR="00EF41CF"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1</w:t>
      </w:r>
      <w:r w:rsidR="005B3609" w:rsidRPr="00720E01">
        <w:rPr>
          <w:snapToGrid w:val="0"/>
          <w:kern w:val="22"/>
          <w:szCs w:val="22"/>
          <w:lang w:val="fr-CA"/>
        </w:rPr>
        <w:t>8</w:t>
      </w:r>
      <w:r w:rsidRPr="00720E01">
        <w:rPr>
          <w:snapToGrid w:val="0"/>
          <w:kern w:val="22"/>
          <w:szCs w:val="22"/>
          <w:lang w:val="fr-CA"/>
        </w:rPr>
        <w:t>.</w:t>
      </w:r>
      <w:r w:rsidRPr="00720E01">
        <w:rPr>
          <w:snapToGrid w:val="0"/>
          <w:kern w:val="22"/>
          <w:szCs w:val="22"/>
          <w:lang w:val="fr-CA"/>
        </w:rPr>
        <w:tab/>
      </w:r>
      <w:r w:rsidR="009E3CEB" w:rsidRPr="00720E01">
        <w:rPr>
          <w:i/>
          <w:iCs/>
          <w:snapToGrid w:val="0"/>
          <w:kern w:val="22"/>
          <w:szCs w:val="22"/>
          <w:lang w:val="fr-CA"/>
        </w:rPr>
        <w:t xml:space="preserve">Invite </w:t>
      </w:r>
      <w:r w:rsidR="009E3CEB" w:rsidRPr="00720E01">
        <w:rPr>
          <w:iCs/>
          <w:snapToGrid w:val="0"/>
          <w:kern w:val="22"/>
          <w:szCs w:val="22"/>
          <w:lang w:val="fr-CA"/>
        </w:rPr>
        <w:t>les Parties et a</w:t>
      </w:r>
      <w:r w:rsidR="00C414BF" w:rsidRPr="00720E01">
        <w:rPr>
          <w:iCs/>
          <w:snapToGrid w:val="0"/>
          <w:kern w:val="22"/>
          <w:szCs w:val="22"/>
          <w:lang w:val="fr-CA"/>
        </w:rPr>
        <w:t>utres gouvernements membres du C</w:t>
      </w:r>
      <w:r w:rsidR="009E3CEB" w:rsidRPr="00720E01">
        <w:rPr>
          <w:iCs/>
          <w:snapToGrid w:val="0"/>
          <w:kern w:val="22"/>
          <w:szCs w:val="22"/>
          <w:lang w:val="fr-CA"/>
        </w:rPr>
        <w:t>omité d’aide au développement de l’Organisation de coopération et de développement économiques à renforcer, selon qu’il convient, les rapports sur leur</w:t>
      </w:r>
      <w:r w:rsidR="00A864E0" w:rsidRPr="00720E01">
        <w:rPr>
          <w:iCs/>
          <w:snapToGrid w:val="0"/>
          <w:kern w:val="22"/>
          <w:szCs w:val="22"/>
          <w:lang w:val="fr-CA"/>
        </w:rPr>
        <w:t>s</w:t>
      </w:r>
      <w:r w:rsidR="009E3CEB" w:rsidRPr="00720E01">
        <w:rPr>
          <w:iCs/>
          <w:snapToGrid w:val="0"/>
          <w:kern w:val="22"/>
          <w:szCs w:val="22"/>
          <w:lang w:val="fr-CA"/>
        </w:rPr>
        <w:t xml:space="preserve"> flux financiers internationaux liés à la diversité biologique </w:t>
      </w:r>
      <w:r w:rsidR="00D86B28">
        <w:rPr>
          <w:iCs/>
          <w:snapToGrid w:val="0"/>
          <w:kern w:val="22"/>
          <w:szCs w:val="22"/>
          <w:lang w:val="fr-CA"/>
        </w:rPr>
        <w:t>destinés</w:t>
      </w:r>
      <w:r w:rsidR="009E3CEB" w:rsidRPr="00720E01">
        <w:rPr>
          <w:iCs/>
          <w:snapToGrid w:val="0"/>
          <w:kern w:val="22"/>
          <w:szCs w:val="22"/>
          <w:lang w:val="fr-CA"/>
        </w:rPr>
        <w:t xml:space="preserve"> aux pays en développement et aux pays à économie en transition au Système de notification des pays créanciers de l’Organisation de coopération et de développement économiques, </w:t>
      </w:r>
      <w:r w:rsidR="00C414BF" w:rsidRPr="00720E01">
        <w:rPr>
          <w:iCs/>
          <w:snapToGrid w:val="0"/>
          <w:kern w:val="22"/>
          <w:szCs w:val="22"/>
          <w:lang w:val="fr-CA"/>
        </w:rPr>
        <w:t>en tenant compte de la méthodolo</w:t>
      </w:r>
      <w:r w:rsidR="009E3CEB" w:rsidRPr="00720E01">
        <w:rPr>
          <w:iCs/>
          <w:snapToGrid w:val="0"/>
          <w:kern w:val="22"/>
          <w:szCs w:val="22"/>
          <w:lang w:val="fr-CA"/>
        </w:rPr>
        <w:t xml:space="preserve">gie des marqueurs de Rio et ses mises au point subséquentes, ainsi que des informations </w:t>
      </w:r>
      <w:r w:rsidR="00C414BF" w:rsidRPr="00720E01">
        <w:rPr>
          <w:iCs/>
          <w:snapToGrid w:val="0"/>
          <w:kern w:val="22"/>
          <w:szCs w:val="22"/>
          <w:lang w:val="fr-CA"/>
        </w:rPr>
        <w:t>pertinentes</w:t>
      </w:r>
      <w:r w:rsidR="009E3CEB" w:rsidRPr="00720E01">
        <w:rPr>
          <w:iCs/>
          <w:snapToGrid w:val="0"/>
          <w:kern w:val="22"/>
          <w:szCs w:val="22"/>
          <w:lang w:val="fr-CA"/>
        </w:rPr>
        <w:t xml:space="preserve"> des banques de déve</w:t>
      </w:r>
      <w:r w:rsidR="00C414BF" w:rsidRPr="00720E01">
        <w:rPr>
          <w:iCs/>
          <w:snapToGrid w:val="0"/>
          <w:kern w:val="22"/>
          <w:szCs w:val="22"/>
          <w:lang w:val="fr-CA"/>
        </w:rPr>
        <w:t xml:space="preserve">loppement multilatérales, et </w:t>
      </w:r>
      <w:r w:rsidR="003B2172">
        <w:rPr>
          <w:iCs/>
          <w:snapToGrid w:val="0"/>
          <w:kern w:val="22"/>
          <w:szCs w:val="22"/>
          <w:lang w:val="fr-CA"/>
        </w:rPr>
        <w:t>à</w:t>
      </w:r>
      <w:r w:rsidR="00C414BF" w:rsidRPr="00720E01">
        <w:rPr>
          <w:iCs/>
          <w:snapToGrid w:val="0"/>
          <w:kern w:val="22"/>
          <w:szCs w:val="22"/>
          <w:lang w:val="fr-CA"/>
        </w:rPr>
        <w:t xml:space="preserve"> communiquer les informations sur ces activités de remise de rapports à la Secrétaire exécutive</w:t>
      </w:r>
      <w:r w:rsidR="004C3F94">
        <w:rPr>
          <w:iCs/>
          <w:snapToGrid w:val="0"/>
          <w:kern w:val="22"/>
          <w:szCs w:val="22"/>
          <w:lang w:val="fr-CA"/>
        </w:rPr>
        <w:t> </w:t>
      </w:r>
      <w:r w:rsidRPr="00720E01">
        <w:rPr>
          <w:snapToGrid w:val="0"/>
          <w:kern w:val="22"/>
          <w:szCs w:val="22"/>
          <w:lang w:val="fr-CA"/>
        </w:rPr>
        <w:t>;</w:t>
      </w:r>
    </w:p>
    <w:p w14:paraId="34105662" w14:textId="423E3505" w:rsidR="0076349C" w:rsidRPr="003B2172" w:rsidRDefault="005B3609" w:rsidP="003B2172">
      <w:pPr>
        <w:suppressLineNumbers/>
        <w:suppressAutoHyphens/>
        <w:kinsoku w:val="0"/>
        <w:overflowPunct w:val="0"/>
        <w:autoSpaceDE w:val="0"/>
        <w:autoSpaceDN w:val="0"/>
        <w:adjustRightInd w:val="0"/>
        <w:snapToGrid w:val="0"/>
        <w:spacing w:before="120" w:after="120" w:line="235" w:lineRule="auto"/>
        <w:ind w:left="720" w:firstLine="720"/>
        <w:rPr>
          <w:iCs/>
          <w:snapToGrid w:val="0"/>
          <w:kern w:val="22"/>
          <w:szCs w:val="22"/>
          <w:lang w:val="fr-CA"/>
        </w:rPr>
      </w:pPr>
      <w:r w:rsidRPr="00720E01">
        <w:rPr>
          <w:snapToGrid w:val="0"/>
          <w:kern w:val="22"/>
          <w:szCs w:val="22"/>
          <w:lang w:val="fr-CA"/>
        </w:rPr>
        <w:t>19</w:t>
      </w:r>
      <w:r w:rsidR="00EF41CF" w:rsidRPr="00720E01">
        <w:rPr>
          <w:snapToGrid w:val="0"/>
          <w:kern w:val="22"/>
          <w:szCs w:val="22"/>
          <w:lang w:val="fr-CA"/>
        </w:rPr>
        <w:t>.</w:t>
      </w:r>
      <w:r w:rsidR="00EF41CF" w:rsidRPr="00720E01">
        <w:rPr>
          <w:snapToGrid w:val="0"/>
          <w:kern w:val="22"/>
          <w:szCs w:val="22"/>
          <w:lang w:val="fr-CA"/>
        </w:rPr>
        <w:tab/>
      </w:r>
      <w:r w:rsidR="00C414BF" w:rsidRPr="00720E01">
        <w:rPr>
          <w:i/>
          <w:iCs/>
          <w:snapToGrid w:val="0"/>
          <w:kern w:val="22"/>
          <w:szCs w:val="22"/>
          <w:lang w:val="fr-CA"/>
        </w:rPr>
        <w:t xml:space="preserve">Invite </w:t>
      </w:r>
      <w:r w:rsidR="00C414BF" w:rsidRPr="00720E01">
        <w:rPr>
          <w:iCs/>
          <w:snapToGrid w:val="0"/>
          <w:kern w:val="22"/>
          <w:szCs w:val="22"/>
          <w:lang w:val="fr-CA"/>
        </w:rPr>
        <w:t>les Parties compétente</w:t>
      </w:r>
      <w:r w:rsidR="008B2141">
        <w:rPr>
          <w:iCs/>
          <w:snapToGrid w:val="0"/>
          <w:kern w:val="22"/>
          <w:szCs w:val="22"/>
          <w:lang w:val="fr-CA"/>
        </w:rPr>
        <w:t>s non membres du Comité d’aide a</w:t>
      </w:r>
      <w:r w:rsidR="00C414BF" w:rsidRPr="00720E01">
        <w:rPr>
          <w:iCs/>
          <w:snapToGrid w:val="0"/>
          <w:kern w:val="22"/>
          <w:szCs w:val="22"/>
          <w:lang w:val="fr-CA"/>
        </w:rPr>
        <w:t xml:space="preserve">u développement de l’Organisation de coopération et de développement économiques </w:t>
      </w:r>
      <w:r w:rsidR="00A864E0" w:rsidRPr="00720E01">
        <w:rPr>
          <w:iCs/>
          <w:snapToGrid w:val="0"/>
          <w:kern w:val="22"/>
          <w:szCs w:val="22"/>
          <w:lang w:val="fr-CA"/>
        </w:rPr>
        <w:t xml:space="preserve">d’envisager de soumettre des rapports, volontairement et selon qu’il convient, sur leurs flux financiers internationaux liés à la diversité biologique </w:t>
      </w:r>
      <w:r w:rsidR="003B2172">
        <w:rPr>
          <w:iCs/>
          <w:snapToGrid w:val="0"/>
          <w:kern w:val="22"/>
          <w:szCs w:val="22"/>
          <w:lang w:val="fr-CA"/>
        </w:rPr>
        <w:t>destinés</w:t>
      </w:r>
      <w:r w:rsidR="00A864E0" w:rsidRPr="00720E01">
        <w:rPr>
          <w:iCs/>
          <w:snapToGrid w:val="0"/>
          <w:kern w:val="22"/>
          <w:szCs w:val="22"/>
          <w:lang w:val="fr-CA"/>
        </w:rPr>
        <w:t xml:space="preserve"> aux pays en développement et aux pays à économie en transition au Système de notification des pays créanciers de l’Organisation de coopération et de développement économiques, en tenant compte de la méthodologie des marqueurs de Rio et ses mises au point subséquentes, ainsi que des informations pertinentes des banques de développement multilatérales</w:t>
      </w:r>
      <w:r w:rsidR="004C3F94">
        <w:rPr>
          <w:iCs/>
          <w:snapToGrid w:val="0"/>
          <w:kern w:val="22"/>
          <w:szCs w:val="22"/>
          <w:lang w:val="fr-CA"/>
        </w:rPr>
        <w:t> </w:t>
      </w:r>
      <w:r w:rsidR="00EF41CF" w:rsidRPr="00720E01">
        <w:rPr>
          <w:snapToGrid w:val="0"/>
          <w:kern w:val="22"/>
          <w:szCs w:val="22"/>
          <w:lang w:val="fr-CA"/>
        </w:rPr>
        <w:t>;</w:t>
      </w:r>
    </w:p>
    <w:p w14:paraId="663A0C79" w14:textId="1204FAA3" w:rsidR="00EF41CF" w:rsidRPr="00720E01"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2</w:t>
      </w:r>
      <w:r w:rsidR="005B3609" w:rsidRPr="00720E01">
        <w:rPr>
          <w:snapToGrid w:val="0"/>
          <w:kern w:val="22"/>
          <w:szCs w:val="22"/>
          <w:lang w:val="fr-CA"/>
        </w:rPr>
        <w:t>0</w:t>
      </w:r>
      <w:r w:rsidR="00EF41CF" w:rsidRPr="00720E01">
        <w:rPr>
          <w:snapToGrid w:val="0"/>
          <w:kern w:val="22"/>
          <w:szCs w:val="22"/>
          <w:lang w:val="fr-CA"/>
        </w:rPr>
        <w:t>.</w:t>
      </w:r>
      <w:r w:rsidR="00EF41CF" w:rsidRPr="00720E01">
        <w:rPr>
          <w:snapToGrid w:val="0"/>
          <w:kern w:val="22"/>
          <w:szCs w:val="22"/>
          <w:lang w:val="fr-CA"/>
        </w:rPr>
        <w:tab/>
      </w:r>
      <w:r w:rsidR="00A864E0" w:rsidRPr="00720E01">
        <w:rPr>
          <w:i/>
          <w:iCs/>
          <w:snapToGrid w:val="0"/>
          <w:kern w:val="22"/>
          <w:szCs w:val="22"/>
          <w:lang w:val="fr-CA"/>
        </w:rPr>
        <w:t xml:space="preserve">Invite </w:t>
      </w:r>
      <w:r w:rsidR="00A864E0" w:rsidRPr="00720E01">
        <w:rPr>
          <w:iCs/>
          <w:snapToGrid w:val="0"/>
          <w:kern w:val="22"/>
          <w:szCs w:val="22"/>
          <w:lang w:val="fr-CA"/>
        </w:rPr>
        <w:t>le Comité d’experts de la comptabilité environ</w:t>
      </w:r>
      <w:r w:rsidR="008737C2" w:rsidRPr="00720E01">
        <w:rPr>
          <w:iCs/>
          <w:snapToGrid w:val="0"/>
          <w:kern w:val="22"/>
          <w:szCs w:val="22"/>
          <w:lang w:val="fr-CA"/>
        </w:rPr>
        <w:t>nementale et économique des Nati</w:t>
      </w:r>
      <w:r w:rsidR="00A864E0" w:rsidRPr="00720E01">
        <w:rPr>
          <w:iCs/>
          <w:snapToGrid w:val="0"/>
          <w:kern w:val="22"/>
          <w:szCs w:val="22"/>
          <w:lang w:val="fr-CA"/>
        </w:rPr>
        <w:t>ons Un</w:t>
      </w:r>
      <w:r w:rsidR="008737C2" w:rsidRPr="00720E01">
        <w:rPr>
          <w:iCs/>
          <w:snapToGrid w:val="0"/>
          <w:kern w:val="22"/>
          <w:szCs w:val="22"/>
          <w:lang w:val="fr-CA"/>
        </w:rPr>
        <w:t>i</w:t>
      </w:r>
      <w:r w:rsidR="00A864E0" w:rsidRPr="00720E01">
        <w:rPr>
          <w:iCs/>
          <w:snapToGrid w:val="0"/>
          <w:kern w:val="22"/>
          <w:szCs w:val="22"/>
          <w:lang w:val="fr-CA"/>
        </w:rPr>
        <w:t xml:space="preserve">es, la Division de la statistique des Nations Unies, le Fonds monétaire </w:t>
      </w:r>
      <w:r w:rsidR="008737C2" w:rsidRPr="00720E01">
        <w:rPr>
          <w:iCs/>
          <w:snapToGrid w:val="0"/>
          <w:kern w:val="22"/>
          <w:szCs w:val="22"/>
          <w:lang w:val="fr-CA"/>
        </w:rPr>
        <w:t>international</w:t>
      </w:r>
      <w:r w:rsidR="00A864E0" w:rsidRPr="00720E01">
        <w:rPr>
          <w:iCs/>
          <w:snapToGrid w:val="0"/>
          <w:kern w:val="22"/>
          <w:szCs w:val="22"/>
          <w:lang w:val="fr-CA"/>
        </w:rPr>
        <w:t>, l’Organisation de coopération et de développement économiques et autres institutions compétentes intéressées, à élaborer</w:t>
      </w:r>
      <w:r w:rsidR="008737C2" w:rsidRPr="00720E01">
        <w:rPr>
          <w:iCs/>
          <w:snapToGrid w:val="0"/>
          <w:kern w:val="22"/>
          <w:szCs w:val="22"/>
          <w:lang w:val="fr-CA"/>
        </w:rPr>
        <w:t>, en se basant sur les cadres et classifications statistiques existants, des méthodes pour les dépenses liées à la biodiversité et le système de remise de rapports connexe, en collaboration avec la Secrétaire exécutive</w:t>
      </w:r>
      <w:r w:rsidR="004C3F94">
        <w:rPr>
          <w:iCs/>
          <w:snapToGrid w:val="0"/>
          <w:kern w:val="22"/>
          <w:szCs w:val="22"/>
          <w:lang w:val="fr-CA"/>
        </w:rPr>
        <w:t> </w:t>
      </w:r>
      <w:r w:rsidR="00EF41CF" w:rsidRPr="00720E01">
        <w:rPr>
          <w:snapToGrid w:val="0"/>
          <w:kern w:val="22"/>
          <w:szCs w:val="22"/>
          <w:lang w:val="fr-CA"/>
        </w:rPr>
        <w:t>;</w:t>
      </w:r>
    </w:p>
    <w:p w14:paraId="25F3BD1E" w14:textId="0DB8E624" w:rsidR="00EF41CF" w:rsidRPr="00720E01"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bookmarkStart w:id="9" w:name="_Hlk37235642"/>
      <w:r w:rsidRPr="00720E01">
        <w:rPr>
          <w:snapToGrid w:val="0"/>
          <w:kern w:val="22"/>
          <w:szCs w:val="22"/>
          <w:lang w:val="fr-CA"/>
        </w:rPr>
        <w:t>2</w:t>
      </w:r>
      <w:r w:rsidR="00C44B54" w:rsidRPr="00720E01">
        <w:rPr>
          <w:snapToGrid w:val="0"/>
          <w:kern w:val="22"/>
          <w:szCs w:val="22"/>
          <w:lang w:val="fr-CA"/>
        </w:rPr>
        <w:t>1</w:t>
      </w:r>
      <w:r w:rsidR="00EF41CF" w:rsidRPr="00720E01">
        <w:rPr>
          <w:snapToGrid w:val="0"/>
          <w:kern w:val="22"/>
          <w:szCs w:val="22"/>
          <w:lang w:val="fr-CA"/>
        </w:rPr>
        <w:t>.</w:t>
      </w:r>
      <w:r w:rsidR="00EF41CF" w:rsidRPr="00720E01">
        <w:rPr>
          <w:snapToGrid w:val="0"/>
          <w:kern w:val="22"/>
          <w:szCs w:val="22"/>
          <w:lang w:val="fr-CA"/>
        </w:rPr>
        <w:tab/>
      </w:r>
      <w:r w:rsidR="008737C2" w:rsidRPr="00720E01">
        <w:rPr>
          <w:i/>
          <w:iCs/>
          <w:snapToGrid w:val="0"/>
          <w:kern w:val="22"/>
          <w:szCs w:val="22"/>
          <w:lang w:val="fr-CA"/>
        </w:rPr>
        <w:t xml:space="preserve">Invite </w:t>
      </w:r>
      <w:r w:rsidR="008737C2" w:rsidRPr="00720E01">
        <w:rPr>
          <w:iCs/>
          <w:snapToGrid w:val="0"/>
          <w:kern w:val="22"/>
          <w:szCs w:val="22"/>
          <w:lang w:val="fr-CA"/>
        </w:rPr>
        <w:t xml:space="preserve">les banques multilatérales de développement et autres institutions de financement intéressées à élaborer et à appliquer une méthodologie commune conforme aux critères des marqueurs de Rio de </w:t>
      </w:r>
      <w:r w:rsidR="00D13150" w:rsidRPr="00720E01">
        <w:rPr>
          <w:iCs/>
          <w:snapToGrid w:val="0"/>
          <w:kern w:val="22"/>
          <w:szCs w:val="22"/>
          <w:lang w:val="fr-CA"/>
        </w:rPr>
        <w:t>l’Organisation</w:t>
      </w:r>
      <w:r w:rsidR="008737C2" w:rsidRPr="00720E01">
        <w:rPr>
          <w:iCs/>
          <w:snapToGrid w:val="0"/>
          <w:kern w:val="22"/>
          <w:szCs w:val="22"/>
          <w:lang w:val="fr-CA"/>
        </w:rPr>
        <w:t xml:space="preserve"> de coopération et de développement économiques, afin de</w:t>
      </w:r>
      <w:r w:rsidR="00D13150" w:rsidRPr="00720E01">
        <w:rPr>
          <w:iCs/>
          <w:snapToGrid w:val="0"/>
          <w:kern w:val="22"/>
          <w:szCs w:val="22"/>
          <w:lang w:val="fr-CA"/>
        </w:rPr>
        <w:t xml:space="preserve"> </w:t>
      </w:r>
      <w:r w:rsidR="003B2172">
        <w:rPr>
          <w:iCs/>
          <w:snapToGrid w:val="0"/>
          <w:kern w:val="22"/>
          <w:szCs w:val="22"/>
          <w:lang w:val="fr-CA"/>
        </w:rPr>
        <w:t>reconnaître</w:t>
      </w:r>
      <w:r w:rsidR="00D13150" w:rsidRPr="00720E01">
        <w:rPr>
          <w:iCs/>
          <w:snapToGrid w:val="0"/>
          <w:kern w:val="22"/>
          <w:szCs w:val="22"/>
          <w:lang w:val="fr-CA"/>
        </w:rPr>
        <w:t xml:space="preserve"> et de faire rapport su</w:t>
      </w:r>
      <w:r w:rsidR="008737C2" w:rsidRPr="00720E01">
        <w:rPr>
          <w:iCs/>
          <w:snapToGrid w:val="0"/>
          <w:kern w:val="22"/>
          <w:szCs w:val="22"/>
          <w:lang w:val="fr-CA"/>
        </w:rPr>
        <w:t>r les investissements de leur</w:t>
      </w:r>
      <w:r w:rsidR="00C70EF6">
        <w:rPr>
          <w:iCs/>
          <w:snapToGrid w:val="0"/>
          <w:kern w:val="22"/>
          <w:szCs w:val="22"/>
          <w:lang w:val="fr-CA"/>
        </w:rPr>
        <w:t>s</w:t>
      </w:r>
      <w:r w:rsidR="008737C2" w:rsidRPr="00720E01">
        <w:rPr>
          <w:iCs/>
          <w:snapToGrid w:val="0"/>
          <w:kern w:val="22"/>
          <w:szCs w:val="22"/>
          <w:lang w:val="fr-CA"/>
        </w:rPr>
        <w:t xml:space="preserve"> portefeuille</w:t>
      </w:r>
      <w:r w:rsidR="00C70EF6">
        <w:rPr>
          <w:iCs/>
          <w:snapToGrid w:val="0"/>
          <w:kern w:val="22"/>
          <w:szCs w:val="22"/>
          <w:lang w:val="fr-CA"/>
        </w:rPr>
        <w:t>s</w:t>
      </w:r>
      <w:r w:rsidR="008737C2" w:rsidRPr="00720E01">
        <w:rPr>
          <w:iCs/>
          <w:snapToGrid w:val="0"/>
          <w:kern w:val="22"/>
          <w:szCs w:val="22"/>
          <w:lang w:val="fr-CA"/>
        </w:rPr>
        <w:t xml:space="preserve"> qui contribuent de manière durable à protéger et à res</w:t>
      </w:r>
      <w:r w:rsidR="00D13150" w:rsidRPr="00720E01">
        <w:rPr>
          <w:iCs/>
          <w:snapToGrid w:val="0"/>
          <w:kern w:val="22"/>
          <w:szCs w:val="22"/>
          <w:lang w:val="fr-CA"/>
        </w:rPr>
        <w:t>t</w:t>
      </w:r>
      <w:r w:rsidR="008737C2" w:rsidRPr="00720E01">
        <w:rPr>
          <w:iCs/>
          <w:snapToGrid w:val="0"/>
          <w:kern w:val="22"/>
          <w:szCs w:val="22"/>
          <w:lang w:val="fr-CA"/>
        </w:rPr>
        <w:t>aurer la biodiversité et les écosystèmes</w:t>
      </w:r>
      <w:r w:rsidR="00D13150" w:rsidRPr="00720E01">
        <w:rPr>
          <w:iCs/>
          <w:snapToGrid w:val="0"/>
          <w:kern w:val="22"/>
          <w:szCs w:val="22"/>
          <w:lang w:val="fr-CA"/>
        </w:rPr>
        <w:t>, en tenant compte des orientati</w:t>
      </w:r>
      <w:r w:rsidR="008737C2" w:rsidRPr="00720E01">
        <w:rPr>
          <w:iCs/>
          <w:snapToGrid w:val="0"/>
          <w:kern w:val="22"/>
          <w:szCs w:val="22"/>
          <w:lang w:val="fr-CA"/>
        </w:rPr>
        <w:t>ons internationales pertinentes et des bonnes pratiques internationales</w:t>
      </w:r>
      <w:r w:rsidR="004C3F94">
        <w:rPr>
          <w:iCs/>
          <w:snapToGrid w:val="0"/>
          <w:kern w:val="22"/>
          <w:szCs w:val="22"/>
          <w:lang w:val="fr-CA"/>
        </w:rPr>
        <w:t> </w:t>
      </w:r>
      <w:r w:rsidR="008D6F40" w:rsidRPr="00720E01">
        <w:rPr>
          <w:snapToGrid w:val="0"/>
          <w:kern w:val="22"/>
          <w:szCs w:val="22"/>
          <w:lang w:val="fr-CA"/>
        </w:rPr>
        <w:t>;</w:t>
      </w:r>
    </w:p>
    <w:bookmarkEnd w:id="9"/>
    <w:p w14:paraId="066A921F" w14:textId="52402916" w:rsidR="0095497E" w:rsidRPr="00720E0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2</w:t>
      </w:r>
      <w:r w:rsidR="00C44B54" w:rsidRPr="00720E01">
        <w:rPr>
          <w:snapToGrid w:val="0"/>
          <w:kern w:val="22"/>
          <w:szCs w:val="22"/>
          <w:lang w:val="fr-CA"/>
        </w:rPr>
        <w:t>2</w:t>
      </w:r>
      <w:r w:rsidRPr="00720E01">
        <w:rPr>
          <w:snapToGrid w:val="0"/>
          <w:kern w:val="22"/>
          <w:szCs w:val="22"/>
          <w:lang w:val="fr-CA"/>
        </w:rPr>
        <w:t>.</w:t>
      </w:r>
      <w:r w:rsidRPr="00720E01">
        <w:rPr>
          <w:snapToGrid w:val="0"/>
          <w:kern w:val="22"/>
          <w:szCs w:val="22"/>
          <w:lang w:val="fr-CA"/>
        </w:rPr>
        <w:tab/>
      </w:r>
      <w:r w:rsidR="00D13150" w:rsidRPr="00720E01">
        <w:rPr>
          <w:i/>
          <w:iCs/>
          <w:snapToGrid w:val="0"/>
          <w:kern w:val="22"/>
          <w:szCs w:val="22"/>
          <w:lang w:val="fr-CA"/>
        </w:rPr>
        <w:t>Invite</w:t>
      </w:r>
      <w:r w:rsidR="00D13150" w:rsidRPr="00720E01">
        <w:rPr>
          <w:iCs/>
          <w:snapToGrid w:val="0"/>
          <w:kern w:val="22"/>
          <w:szCs w:val="22"/>
          <w:lang w:val="fr-CA"/>
        </w:rPr>
        <w:t xml:space="preserve"> le Comité d’aide au développement de l’Organisation de coopération et de développement économiques </w:t>
      </w:r>
      <w:r w:rsidR="00566CDB" w:rsidRPr="00720E01">
        <w:rPr>
          <w:iCs/>
          <w:snapToGrid w:val="0"/>
          <w:kern w:val="22"/>
          <w:szCs w:val="22"/>
          <w:lang w:val="fr-CA"/>
        </w:rPr>
        <w:t>à continuer à</w:t>
      </w:r>
      <w:r w:rsidR="00D13150" w:rsidRPr="00720E01">
        <w:rPr>
          <w:iCs/>
          <w:snapToGrid w:val="0"/>
          <w:kern w:val="22"/>
          <w:szCs w:val="22"/>
          <w:lang w:val="fr-CA"/>
        </w:rPr>
        <w:t xml:space="preserve"> améliorer, s’</w:t>
      </w:r>
      <w:r w:rsidR="00566CDB" w:rsidRPr="00720E01">
        <w:rPr>
          <w:iCs/>
          <w:snapToGrid w:val="0"/>
          <w:kern w:val="22"/>
          <w:szCs w:val="22"/>
          <w:lang w:val="fr-CA"/>
        </w:rPr>
        <w:t>il y a lieu, la méthodolo</w:t>
      </w:r>
      <w:r w:rsidR="00D13150" w:rsidRPr="00720E01">
        <w:rPr>
          <w:iCs/>
          <w:snapToGrid w:val="0"/>
          <w:kern w:val="22"/>
          <w:szCs w:val="22"/>
          <w:lang w:val="fr-CA"/>
        </w:rPr>
        <w:t>gie des marqueurs de Rio et les système</w:t>
      </w:r>
      <w:r w:rsidR="00566CDB" w:rsidRPr="00720E01">
        <w:rPr>
          <w:iCs/>
          <w:snapToGrid w:val="0"/>
          <w:kern w:val="22"/>
          <w:szCs w:val="22"/>
          <w:lang w:val="fr-CA"/>
        </w:rPr>
        <w:t>s</w:t>
      </w:r>
      <w:r w:rsidR="00D13150" w:rsidRPr="00720E01">
        <w:rPr>
          <w:iCs/>
          <w:snapToGrid w:val="0"/>
          <w:kern w:val="22"/>
          <w:szCs w:val="22"/>
          <w:lang w:val="fr-CA"/>
        </w:rPr>
        <w:t xml:space="preserve"> de remise des rap</w:t>
      </w:r>
      <w:r w:rsidR="00566CDB" w:rsidRPr="00720E01">
        <w:rPr>
          <w:iCs/>
          <w:snapToGrid w:val="0"/>
          <w:kern w:val="22"/>
          <w:szCs w:val="22"/>
          <w:lang w:val="fr-CA"/>
        </w:rPr>
        <w:t>p</w:t>
      </w:r>
      <w:r w:rsidR="00D13150" w:rsidRPr="00720E01">
        <w:rPr>
          <w:iCs/>
          <w:snapToGrid w:val="0"/>
          <w:kern w:val="22"/>
          <w:szCs w:val="22"/>
          <w:lang w:val="fr-CA"/>
        </w:rPr>
        <w:t xml:space="preserve">orts des pays par rapport aux marqueurs de la biodiversité, </w:t>
      </w:r>
      <w:r w:rsidR="00566CDB" w:rsidRPr="00720E01">
        <w:rPr>
          <w:iCs/>
          <w:snapToGrid w:val="0"/>
          <w:kern w:val="22"/>
          <w:szCs w:val="22"/>
          <w:lang w:val="fr-CA"/>
        </w:rPr>
        <w:t>notamment</w:t>
      </w:r>
      <w:r w:rsidR="00D13150" w:rsidRPr="00720E01">
        <w:rPr>
          <w:iCs/>
          <w:snapToGrid w:val="0"/>
          <w:kern w:val="22"/>
          <w:szCs w:val="22"/>
          <w:lang w:val="fr-CA"/>
        </w:rPr>
        <w:t xml:space="preserve"> en les aidant à co</w:t>
      </w:r>
      <w:r w:rsidR="00566CDB" w:rsidRPr="00720E01">
        <w:rPr>
          <w:iCs/>
          <w:snapToGrid w:val="0"/>
          <w:kern w:val="22"/>
          <w:szCs w:val="22"/>
          <w:lang w:val="fr-CA"/>
        </w:rPr>
        <w:t>m</w:t>
      </w:r>
      <w:r w:rsidR="00D13150" w:rsidRPr="00720E01">
        <w:rPr>
          <w:iCs/>
          <w:snapToGrid w:val="0"/>
          <w:kern w:val="22"/>
          <w:szCs w:val="22"/>
          <w:lang w:val="fr-CA"/>
        </w:rPr>
        <w:t xml:space="preserve">bler les lacunes de </w:t>
      </w:r>
      <w:r w:rsidR="00566CDB" w:rsidRPr="00720E01">
        <w:rPr>
          <w:iCs/>
          <w:snapToGrid w:val="0"/>
          <w:kern w:val="22"/>
          <w:szCs w:val="22"/>
          <w:lang w:val="fr-CA"/>
        </w:rPr>
        <w:t>couverture</w:t>
      </w:r>
      <w:r w:rsidR="00D13150" w:rsidRPr="00720E01">
        <w:rPr>
          <w:iCs/>
          <w:snapToGrid w:val="0"/>
          <w:kern w:val="22"/>
          <w:szCs w:val="22"/>
          <w:lang w:val="fr-CA"/>
        </w:rPr>
        <w:t xml:space="preserve"> actuelles telles que celles </w:t>
      </w:r>
      <w:r w:rsidR="00566CDB" w:rsidRPr="00720E01">
        <w:rPr>
          <w:iCs/>
          <w:snapToGrid w:val="0"/>
          <w:kern w:val="22"/>
          <w:szCs w:val="22"/>
          <w:lang w:val="fr-CA"/>
        </w:rPr>
        <w:t>liées au flux</w:t>
      </w:r>
      <w:r w:rsidR="00D13150" w:rsidRPr="00720E01">
        <w:rPr>
          <w:iCs/>
          <w:snapToGrid w:val="0"/>
          <w:kern w:val="22"/>
          <w:szCs w:val="22"/>
          <w:lang w:val="fr-CA"/>
        </w:rPr>
        <w:t xml:space="preserve"> de financement multilatéral international pour la biodiversité</w:t>
      </w:r>
      <w:r w:rsidR="004C3F94">
        <w:rPr>
          <w:iCs/>
          <w:snapToGrid w:val="0"/>
          <w:kern w:val="22"/>
          <w:szCs w:val="22"/>
          <w:lang w:val="fr-CA"/>
        </w:rPr>
        <w:t> </w:t>
      </w:r>
      <w:r w:rsidRPr="00720E01">
        <w:rPr>
          <w:snapToGrid w:val="0"/>
          <w:kern w:val="22"/>
          <w:szCs w:val="22"/>
          <w:lang w:val="fr-CA"/>
        </w:rPr>
        <w:t>;</w:t>
      </w:r>
    </w:p>
    <w:p w14:paraId="3825E82F" w14:textId="5AB77575" w:rsidR="002B4427" w:rsidRPr="00720E01" w:rsidRDefault="00DB3F5E"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720E01">
        <w:rPr>
          <w:b/>
          <w:bCs/>
          <w:snapToGrid w:val="0"/>
          <w:kern w:val="22"/>
          <w:szCs w:val="22"/>
          <w:lang w:val="fr-CA"/>
        </w:rPr>
        <w:t>Renforcement des partenariats</w:t>
      </w:r>
    </w:p>
    <w:p w14:paraId="21492785" w14:textId="6A2FCAC5" w:rsidR="002B4427" w:rsidRPr="00720E01" w:rsidRDefault="00110A19"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2</w:t>
      </w:r>
      <w:r w:rsidR="00C44B54" w:rsidRPr="00720E01">
        <w:rPr>
          <w:snapToGrid w:val="0"/>
          <w:kern w:val="22"/>
          <w:szCs w:val="22"/>
          <w:lang w:val="fr-CA"/>
        </w:rPr>
        <w:t>3</w:t>
      </w:r>
      <w:r w:rsidR="002B4427" w:rsidRPr="00720E01">
        <w:rPr>
          <w:snapToGrid w:val="0"/>
          <w:kern w:val="22"/>
          <w:szCs w:val="22"/>
          <w:lang w:val="fr-CA"/>
        </w:rPr>
        <w:t>.</w:t>
      </w:r>
      <w:r w:rsidR="002B4427" w:rsidRPr="00720E01">
        <w:rPr>
          <w:snapToGrid w:val="0"/>
          <w:kern w:val="22"/>
          <w:szCs w:val="22"/>
          <w:lang w:val="fr-CA"/>
        </w:rPr>
        <w:tab/>
      </w:r>
      <w:r w:rsidR="00DB3F5E" w:rsidRPr="00720E01">
        <w:rPr>
          <w:i/>
          <w:iCs/>
          <w:snapToGrid w:val="0"/>
          <w:kern w:val="22"/>
          <w:szCs w:val="22"/>
          <w:lang w:val="fr-CA"/>
        </w:rPr>
        <w:t xml:space="preserve">Encourage </w:t>
      </w:r>
      <w:r w:rsidR="00DB3F5E" w:rsidRPr="00720E01">
        <w:rPr>
          <w:iCs/>
          <w:snapToGrid w:val="0"/>
          <w:kern w:val="22"/>
          <w:szCs w:val="22"/>
          <w:lang w:val="fr-CA"/>
        </w:rPr>
        <w:t xml:space="preserve">les institutions du secteur financier, dont les entreprises, </w:t>
      </w:r>
      <w:r w:rsidR="00B40A9C">
        <w:rPr>
          <w:iCs/>
          <w:snapToGrid w:val="0"/>
          <w:kern w:val="22"/>
          <w:szCs w:val="22"/>
          <w:lang w:val="fr-CA"/>
        </w:rPr>
        <w:t>a) </w:t>
      </w:r>
      <w:r w:rsidR="00DB3F5E" w:rsidRPr="00720E01">
        <w:rPr>
          <w:iCs/>
          <w:snapToGrid w:val="0"/>
          <w:kern w:val="22"/>
          <w:szCs w:val="22"/>
          <w:lang w:val="fr-CA"/>
        </w:rPr>
        <w:t xml:space="preserve">à évaluer et à divulguer leurs impacts, dépendances et risques pour la biodiversité conformément aux </w:t>
      </w:r>
      <w:r w:rsidR="008C040D" w:rsidRPr="00720E01">
        <w:rPr>
          <w:iCs/>
          <w:snapToGrid w:val="0"/>
          <w:kern w:val="22"/>
          <w:szCs w:val="22"/>
          <w:lang w:val="fr-CA"/>
        </w:rPr>
        <w:t>récents</w:t>
      </w:r>
      <w:r w:rsidR="00DB3F5E" w:rsidRPr="00720E01">
        <w:rPr>
          <w:iCs/>
          <w:snapToGrid w:val="0"/>
          <w:kern w:val="22"/>
          <w:szCs w:val="22"/>
          <w:lang w:val="fr-CA"/>
        </w:rPr>
        <w:t xml:space="preserve"> </w:t>
      </w:r>
      <w:r w:rsidR="00DB3F5E" w:rsidRPr="00720E01">
        <w:rPr>
          <w:iCs/>
          <w:snapToGrid w:val="0"/>
          <w:kern w:val="22"/>
          <w:szCs w:val="22"/>
          <w:lang w:val="fr-CA"/>
        </w:rPr>
        <w:lastRenderedPageBreak/>
        <w:t xml:space="preserve">travaux sur les divulgations financières liées à la nature, </w:t>
      </w:r>
      <w:r w:rsidR="00B40A9C">
        <w:rPr>
          <w:iCs/>
          <w:snapToGrid w:val="0"/>
          <w:kern w:val="22"/>
          <w:szCs w:val="22"/>
          <w:lang w:val="fr-CA"/>
        </w:rPr>
        <w:t>b) </w:t>
      </w:r>
      <w:r w:rsidR="008C040D" w:rsidRPr="00720E01">
        <w:rPr>
          <w:iCs/>
          <w:snapToGrid w:val="0"/>
          <w:kern w:val="22"/>
          <w:szCs w:val="22"/>
          <w:lang w:val="fr-CA"/>
        </w:rPr>
        <w:t>à p</w:t>
      </w:r>
      <w:r w:rsidR="00DB3F5E" w:rsidRPr="00720E01">
        <w:rPr>
          <w:iCs/>
          <w:snapToGrid w:val="0"/>
          <w:kern w:val="22"/>
          <w:szCs w:val="22"/>
          <w:lang w:val="fr-CA"/>
        </w:rPr>
        <w:t>rendre d</w:t>
      </w:r>
      <w:r w:rsidR="008C040D" w:rsidRPr="00720E01">
        <w:rPr>
          <w:iCs/>
          <w:snapToGrid w:val="0"/>
          <w:kern w:val="22"/>
          <w:szCs w:val="22"/>
          <w:lang w:val="fr-CA"/>
        </w:rPr>
        <w:t>e</w:t>
      </w:r>
      <w:r w:rsidR="00DB3F5E" w:rsidRPr="00720E01">
        <w:rPr>
          <w:iCs/>
          <w:snapToGrid w:val="0"/>
          <w:kern w:val="22"/>
          <w:szCs w:val="22"/>
          <w:lang w:val="fr-CA"/>
        </w:rPr>
        <w:t>s</w:t>
      </w:r>
      <w:r w:rsidR="008C040D" w:rsidRPr="00720E01">
        <w:rPr>
          <w:iCs/>
          <w:snapToGrid w:val="0"/>
          <w:kern w:val="22"/>
          <w:szCs w:val="22"/>
          <w:lang w:val="fr-CA"/>
        </w:rPr>
        <w:t xml:space="preserve"> </w:t>
      </w:r>
      <w:r w:rsidR="00DB3F5E" w:rsidRPr="00720E01">
        <w:rPr>
          <w:iCs/>
          <w:snapToGrid w:val="0"/>
          <w:kern w:val="22"/>
          <w:szCs w:val="22"/>
          <w:lang w:val="fr-CA"/>
        </w:rPr>
        <w:t xml:space="preserve">mesures pour au moins réduire les </w:t>
      </w:r>
      <w:r w:rsidR="008C040D" w:rsidRPr="00720E01">
        <w:rPr>
          <w:iCs/>
          <w:snapToGrid w:val="0"/>
          <w:kern w:val="22"/>
          <w:szCs w:val="22"/>
          <w:lang w:val="fr-CA"/>
        </w:rPr>
        <w:t xml:space="preserve">impacts négatifs </w:t>
      </w:r>
      <w:r w:rsidR="00DB3F5E" w:rsidRPr="00720E01">
        <w:rPr>
          <w:iCs/>
          <w:snapToGrid w:val="0"/>
          <w:kern w:val="22"/>
          <w:szCs w:val="22"/>
          <w:lang w:val="fr-CA"/>
        </w:rPr>
        <w:t>des investissements de leur</w:t>
      </w:r>
      <w:r w:rsidR="00DC3424">
        <w:rPr>
          <w:iCs/>
          <w:snapToGrid w:val="0"/>
          <w:kern w:val="22"/>
          <w:szCs w:val="22"/>
          <w:lang w:val="fr-CA"/>
        </w:rPr>
        <w:t>s</w:t>
      </w:r>
      <w:r w:rsidR="00DB3F5E" w:rsidRPr="00720E01">
        <w:rPr>
          <w:iCs/>
          <w:snapToGrid w:val="0"/>
          <w:kern w:val="22"/>
          <w:szCs w:val="22"/>
          <w:lang w:val="fr-CA"/>
        </w:rPr>
        <w:t xml:space="preserve"> portefeuille</w:t>
      </w:r>
      <w:r w:rsidR="00DC3424">
        <w:rPr>
          <w:iCs/>
          <w:snapToGrid w:val="0"/>
          <w:kern w:val="22"/>
          <w:szCs w:val="22"/>
          <w:lang w:val="fr-CA"/>
        </w:rPr>
        <w:t>s</w:t>
      </w:r>
      <w:r w:rsidR="00DB3F5E" w:rsidRPr="00720E01">
        <w:rPr>
          <w:iCs/>
          <w:snapToGrid w:val="0"/>
          <w:kern w:val="22"/>
          <w:szCs w:val="22"/>
          <w:lang w:val="fr-CA"/>
        </w:rPr>
        <w:t xml:space="preserve"> sur les écosy</w:t>
      </w:r>
      <w:r w:rsidR="00DC3424">
        <w:rPr>
          <w:iCs/>
          <w:snapToGrid w:val="0"/>
          <w:kern w:val="22"/>
          <w:szCs w:val="22"/>
          <w:lang w:val="fr-CA"/>
        </w:rPr>
        <w:t xml:space="preserve">stèmes et la biodiversité et </w:t>
      </w:r>
      <w:r w:rsidR="00B40A9C">
        <w:rPr>
          <w:iCs/>
          <w:snapToGrid w:val="0"/>
          <w:kern w:val="22"/>
          <w:szCs w:val="22"/>
          <w:lang w:val="fr-CA"/>
        </w:rPr>
        <w:t>c) </w:t>
      </w:r>
      <w:r w:rsidR="00DC3424">
        <w:rPr>
          <w:iCs/>
          <w:snapToGrid w:val="0"/>
          <w:kern w:val="22"/>
          <w:szCs w:val="22"/>
          <w:lang w:val="fr-CA"/>
        </w:rPr>
        <w:t xml:space="preserve">à </w:t>
      </w:r>
      <w:r w:rsidR="00DB3F5E" w:rsidRPr="00720E01">
        <w:rPr>
          <w:iCs/>
          <w:snapToGrid w:val="0"/>
          <w:kern w:val="22"/>
          <w:szCs w:val="22"/>
          <w:lang w:val="fr-CA"/>
        </w:rPr>
        <w:t>élaborer et appliquer les outils de financement de la biodiversité de manière à accroître le financement dédié à la diversité biologique</w:t>
      </w:r>
      <w:r w:rsidR="008C040D" w:rsidRPr="00720E01">
        <w:rPr>
          <w:iCs/>
          <w:snapToGrid w:val="0"/>
          <w:kern w:val="22"/>
          <w:szCs w:val="22"/>
          <w:lang w:val="fr-CA"/>
        </w:rPr>
        <w:t>, avec le soutien des organisations et initiatives internationales compétentes telles que le Programme des Nations Unies pour le développement et l’Initiative de financement du Programme des Nations Unies pour l’environnement</w:t>
      </w:r>
      <w:r w:rsidR="004C3F94">
        <w:rPr>
          <w:iCs/>
          <w:snapToGrid w:val="0"/>
          <w:kern w:val="22"/>
          <w:szCs w:val="22"/>
          <w:lang w:val="fr-CA"/>
        </w:rPr>
        <w:t> </w:t>
      </w:r>
      <w:r w:rsidR="002B4427" w:rsidRPr="00720E01">
        <w:rPr>
          <w:snapToGrid w:val="0"/>
          <w:kern w:val="22"/>
          <w:szCs w:val="22"/>
          <w:lang w:val="fr-CA"/>
        </w:rPr>
        <w:t>;</w:t>
      </w:r>
    </w:p>
    <w:p w14:paraId="0BD79EFC" w14:textId="71ABBC9D" w:rsidR="001B2A53" w:rsidRPr="00720E01" w:rsidRDefault="008C040D" w:rsidP="00304215">
      <w:pPr>
        <w:keepNext/>
        <w:suppressLineNumbers/>
        <w:suppressAutoHyphens/>
        <w:kinsoku w:val="0"/>
        <w:overflowPunct w:val="0"/>
        <w:autoSpaceDE w:val="0"/>
        <w:autoSpaceDN w:val="0"/>
        <w:adjustRightInd w:val="0"/>
        <w:snapToGrid w:val="0"/>
        <w:spacing w:before="120" w:after="120" w:line="235" w:lineRule="auto"/>
        <w:ind w:left="720" w:firstLine="720"/>
        <w:jc w:val="center"/>
        <w:rPr>
          <w:b/>
          <w:bCs/>
          <w:snapToGrid w:val="0"/>
          <w:kern w:val="22"/>
          <w:szCs w:val="22"/>
          <w:lang w:val="fr-CA"/>
        </w:rPr>
      </w:pPr>
      <w:r w:rsidRPr="00720E01">
        <w:rPr>
          <w:b/>
          <w:bCs/>
          <w:snapToGrid w:val="0"/>
          <w:kern w:val="22"/>
          <w:szCs w:val="22"/>
          <w:lang w:val="fr-CA"/>
        </w:rPr>
        <w:t>Activités de soutien de la Secrétaire exécutive</w:t>
      </w:r>
    </w:p>
    <w:p w14:paraId="7B09D4C1" w14:textId="161062EA" w:rsidR="000F0B30" w:rsidRPr="00720E01" w:rsidRDefault="001B2A5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fr-CA"/>
        </w:rPr>
      </w:pPr>
      <w:r w:rsidRPr="00720E01">
        <w:rPr>
          <w:snapToGrid w:val="0"/>
          <w:kern w:val="22"/>
          <w:szCs w:val="22"/>
          <w:lang w:val="fr-CA"/>
        </w:rPr>
        <w:t>2</w:t>
      </w:r>
      <w:r w:rsidR="00C44B54" w:rsidRPr="00720E01">
        <w:rPr>
          <w:snapToGrid w:val="0"/>
          <w:kern w:val="22"/>
          <w:szCs w:val="22"/>
          <w:lang w:val="fr-CA"/>
        </w:rPr>
        <w:t>4</w:t>
      </w:r>
      <w:r w:rsidRPr="00720E01">
        <w:rPr>
          <w:snapToGrid w:val="0"/>
          <w:kern w:val="22"/>
          <w:szCs w:val="22"/>
          <w:lang w:val="fr-CA"/>
        </w:rPr>
        <w:t>.</w:t>
      </w:r>
      <w:r w:rsidRPr="00720E01">
        <w:rPr>
          <w:snapToGrid w:val="0"/>
          <w:kern w:val="22"/>
          <w:szCs w:val="22"/>
          <w:lang w:val="fr-CA"/>
        </w:rPr>
        <w:tab/>
      </w:r>
      <w:r w:rsidR="008C040D" w:rsidRPr="00720E01">
        <w:rPr>
          <w:i/>
          <w:iCs/>
          <w:snapToGrid w:val="0"/>
          <w:kern w:val="22"/>
          <w:szCs w:val="22"/>
          <w:lang w:val="fr-CA"/>
        </w:rPr>
        <w:t xml:space="preserve">Prie </w:t>
      </w:r>
      <w:r w:rsidR="008C040D" w:rsidRPr="00720E01">
        <w:rPr>
          <w:iCs/>
          <w:snapToGrid w:val="0"/>
          <w:kern w:val="22"/>
          <w:szCs w:val="22"/>
          <w:lang w:val="fr-CA"/>
        </w:rPr>
        <w:t xml:space="preserve">la Secrétaire exécutive de collaborer avec les organisations et initiatives </w:t>
      </w:r>
      <w:r w:rsidR="00DC3424">
        <w:rPr>
          <w:iCs/>
          <w:snapToGrid w:val="0"/>
          <w:kern w:val="22"/>
          <w:szCs w:val="22"/>
          <w:lang w:val="fr-CA"/>
        </w:rPr>
        <w:t>compétentes</w:t>
      </w:r>
      <w:r w:rsidR="008C040D" w:rsidRPr="00720E01">
        <w:rPr>
          <w:iCs/>
          <w:snapToGrid w:val="0"/>
          <w:kern w:val="22"/>
          <w:szCs w:val="22"/>
          <w:lang w:val="fr-CA"/>
        </w:rPr>
        <w:t>, selon la disponibilité des ressources, afin de faciliter et de soutenir les travaux dont il est question dans les paragraphes précédents, not</w:t>
      </w:r>
      <w:r w:rsidR="00DF4604" w:rsidRPr="00720E01">
        <w:rPr>
          <w:iCs/>
          <w:snapToGrid w:val="0"/>
          <w:kern w:val="22"/>
          <w:szCs w:val="22"/>
          <w:lang w:val="fr-CA"/>
        </w:rPr>
        <w:t>amment</w:t>
      </w:r>
      <w:r w:rsidR="008C040D" w:rsidRPr="00720E01">
        <w:rPr>
          <w:iCs/>
          <w:snapToGrid w:val="0"/>
          <w:kern w:val="22"/>
          <w:szCs w:val="22"/>
          <w:lang w:val="fr-CA"/>
        </w:rPr>
        <w:t xml:space="preserve"> de</w:t>
      </w:r>
      <w:r w:rsidR="004C3F94">
        <w:rPr>
          <w:iCs/>
          <w:snapToGrid w:val="0"/>
          <w:kern w:val="22"/>
          <w:szCs w:val="22"/>
          <w:lang w:val="fr-CA"/>
        </w:rPr>
        <w:t> </w:t>
      </w:r>
      <w:r w:rsidRPr="00720E01">
        <w:rPr>
          <w:snapToGrid w:val="0"/>
          <w:kern w:val="22"/>
          <w:szCs w:val="22"/>
          <w:lang w:val="fr-CA"/>
        </w:rPr>
        <w:t>:</w:t>
      </w:r>
    </w:p>
    <w:p w14:paraId="15B4D92B" w14:textId="3298AD1C" w:rsidR="00D30443" w:rsidRPr="00720E01" w:rsidRDefault="00DF4604" w:rsidP="008C040D">
      <w:pPr>
        <w:pStyle w:val="Paragraphedeliste"/>
        <w:numPr>
          <w:ilvl w:val="0"/>
          <w:numId w:val="11"/>
        </w:numPr>
        <w:spacing w:after="120"/>
        <w:ind w:firstLine="720"/>
        <w:contextualSpacing w:val="0"/>
        <w:rPr>
          <w:szCs w:val="22"/>
          <w:lang w:val="fr-CA"/>
        </w:rPr>
      </w:pPr>
      <w:r w:rsidRPr="00720E01">
        <w:rPr>
          <w:szCs w:val="22"/>
          <w:lang w:val="fr-CA"/>
        </w:rPr>
        <w:t xml:space="preserve">Collaborer davantage avec l’Initiative de financement de la biodiversité du Programme des Nations Unies pour le développement et autres organisations et initiatives compétentes intéressées, afin de faciliter et de soutenir les travaux </w:t>
      </w:r>
      <w:r w:rsidR="00B40A9C">
        <w:rPr>
          <w:szCs w:val="22"/>
          <w:lang w:val="fr-CA"/>
        </w:rPr>
        <w:t>dont il est question</w:t>
      </w:r>
      <w:r w:rsidRPr="00720E01">
        <w:rPr>
          <w:szCs w:val="22"/>
          <w:lang w:val="fr-CA"/>
        </w:rPr>
        <w:t xml:space="preserve"> dans les paragraphes 11 à 13 ci-dessus</w:t>
      </w:r>
      <w:r w:rsidR="004C3F94">
        <w:rPr>
          <w:szCs w:val="22"/>
          <w:lang w:val="fr-CA"/>
        </w:rPr>
        <w:t> </w:t>
      </w:r>
      <w:r w:rsidR="002D23A9" w:rsidRPr="00720E01">
        <w:rPr>
          <w:lang w:val="fr-CA"/>
        </w:rPr>
        <w:t>;</w:t>
      </w:r>
    </w:p>
    <w:p w14:paraId="54DE55CB" w14:textId="1A83BB56" w:rsidR="009A14C9" w:rsidRPr="00720E01" w:rsidRDefault="00DF4604" w:rsidP="00304215">
      <w:pPr>
        <w:pStyle w:val="Paragraphedeliste"/>
        <w:numPr>
          <w:ilvl w:val="0"/>
          <w:numId w:val="11"/>
        </w:numPr>
        <w:spacing w:after="120"/>
        <w:ind w:firstLine="720"/>
        <w:contextualSpacing w:val="0"/>
        <w:rPr>
          <w:szCs w:val="22"/>
          <w:lang w:val="fr-CA"/>
        </w:rPr>
      </w:pPr>
      <w:r w:rsidRPr="00720E01">
        <w:rPr>
          <w:lang w:val="fr-CA"/>
        </w:rPr>
        <w:t xml:space="preserve">Collaborer avec les organisations et initiatives compétentes afin d’améliorer le processus de remise de rapports sur le financement de la biodiversité des cadres </w:t>
      </w:r>
      <w:r w:rsidR="00B56286">
        <w:rPr>
          <w:lang w:val="fr-CA"/>
        </w:rPr>
        <w:t xml:space="preserve">internationaux </w:t>
      </w:r>
      <w:r w:rsidRPr="00720E01">
        <w:rPr>
          <w:lang w:val="fr-CA"/>
        </w:rPr>
        <w:t>de présentations</w:t>
      </w:r>
      <w:r w:rsidR="00744C37" w:rsidRPr="00720E01">
        <w:rPr>
          <w:lang w:val="fr-CA"/>
        </w:rPr>
        <w:t xml:space="preserve"> de rapports et de classification de statistiques existants, conformément aux paragraphes 20 à 22 ci-dessus, afin d’élaborer des scénarios de cadres de présentation des rapports financiers simplifiés et plus efficaces</w:t>
      </w:r>
      <w:r w:rsidR="004C3F94">
        <w:rPr>
          <w:lang w:val="fr-CA"/>
        </w:rPr>
        <w:t> </w:t>
      </w:r>
      <w:r w:rsidR="005C192F" w:rsidRPr="00720E01">
        <w:rPr>
          <w:lang w:val="fr-CA"/>
        </w:rPr>
        <w:t>;</w:t>
      </w:r>
    </w:p>
    <w:p w14:paraId="769E719F" w14:textId="4AB68A97" w:rsidR="005C192F" w:rsidRPr="00720E01" w:rsidRDefault="00744C37" w:rsidP="00304215">
      <w:pPr>
        <w:pStyle w:val="Paragraphedeliste"/>
        <w:numPr>
          <w:ilvl w:val="0"/>
          <w:numId w:val="11"/>
        </w:numPr>
        <w:spacing w:after="120"/>
        <w:ind w:firstLine="720"/>
        <w:contextualSpacing w:val="0"/>
        <w:rPr>
          <w:szCs w:val="22"/>
          <w:lang w:val="fr-CA"/>
        </w:rPr>
      </w:pPr>
      <w:r w:rsidRPr="00720E01">
        <w:rPr>
          <w:lang w:val="fr-CA"/>
        </w:rPr>
        <w:t>Collaborer</w:t>
      </w:r>
      <w:r w:rsidR="00037223" w:rsidRPr="00720E01">
        <w:rPr>
          <w:lang w:val="fr-CA"/>
        </w:rPr>
        <w:t xml:space="preserve"> avec un plus large éventail d’institutions financières, dont les banques de développement et les entreprises du secteur financier, afin de soutenir l’application </w:t>
      </w:r>
      <w:r w:rsidR="00DB4BD9">
        <w:rPr>
          <w:lang w:val="fr-CA"/>
        </w:rPr>
        <w:t xml:space="preserve">de la </w:t>
      </w:r>
      <w:r w:rsidR="00DB4BD9">
        <w:rPr>
          <w:kern w:val="22"/>
          <w:szCs w:val="22"/>
          <w:lang w:val="fr-CA"/>
        </w:rPr>
        <w:t>démarche stratégique pour remplacer</w:t>
      </w:r>
      <w:r w:rsidR="00037223" w:rsidRPr="00720E01">
        <w:rPr>
          <w:lang w:val="fr-CA"/>
        </w:rPr>
        <w:t xml:space="preserve"> la stratégie actuelle de mobilisation des ressources dans ses propres activités, conformément au paragraphe 23, ci-dessus</w:t>
      </w:r>
      <w:r w:rsidR="004C3F94">
        <w:rPr>
          <w:lang w:val="fr-CA"/>
        </w:rPr>
        <w:t> </w:t>
      </w:r>
      <w:r w:rsidR="00874D53" w:rsidRPr="00720E01">
        <w:rPr>
          <w:lang w:val="fr-CA"/>
        </w:rPr>
        <w:t>;</w:t>
      </w:r>
    </w:p>
    <w:p w14:paraId="4F1D063E" w14:textId="1D20ADEE" w:rsidR="007D5077" w:rsidRPr="00720E01" w:rsidRDefault="00037223" w:rsidP="00304215">
      <w:pPr>
        <w:pStyle w:val="Paragraphedeliste"/>
        <w:numPr>
          <w:ilvl w:val="0"/>
          <w:numId w:val="11"/>
        </w:numPr>
        <w:spacing w:after="120"/>
        <w:ind w:firstLine="720"/>
        <w:contextualSpacing w:val="0"/>
        <w:rPr>
          <w:szCs w:val="22"/>
          <w:lang w:val="fr-CA"/>
        </w:rPr>
      </w:pPr>
      <w:r w:rsidRPr="00720E01">
        <w:rPr>
          <w:lang w:val="fr-CA"/>
        </w:rPr>
        <w:t xml:space="preserve">Poursuivre et intensifier la collaboration avec les organisations et initiatives compétentes afin de promouvoir davantage les mesures de soutien à </w:t>
      </w:r>
      <w:r w:rsidR="00B56286">
        <w:rPr>
          <w:lang w:val="fr-CA"/>
        </w:rPr>
        <w:t>l’intensification</w:t>
      </w:r>
      <w:r w:rsidRPr="00720E01">
        <w:rPr>
          <w:lang w:val="fr-CA"/>
        </w:rPr>
        <w:t xml:space="preserve"> et l’harmonisation des mesures d’encouragement, conformément à l’article 11 de la Convention, selon le paragraphe 15, ci-dessus</w:t>
      </w:r>
      <w:r w:rsidR="004C3F94">
        <w:rPr>
          <w:lang w:val="fr-CA"/>
        </w:rPr>
        <w:t> </w:t>
      </w:r>
      <w:r w:rsidR="007D5077" w:rsidRPr="00720E01">
        <w:rPr>
          <w:lang w:val="fr-CA"/>
        </w:rPr>
        <w:t>;</w:t>
      </w:r>
    </w:p>
    <w:p w14:paraId="7661A286" w14:textId="1C05453D" w:rsidR="006B1912" w:rsidRPr="00720E01" w:rsidRDefault="00037223" w:rsidP="00304215">
      <w:pPr>
        <w:pStyle w:val="Paragraphedeliste"/>
        <w:numPr>
          <w:ilvl w:val="0"/>
          <w:numId w:val="11"/>
        </w:numPr>
        <w:spacing w:after="120"/>
        <w:ind w:firstLine="720"/>
        <w:contextualSpacing w:val="0"/>
        <w:rPr>
          <w:szCs w:val="22"/>
          <w:lang w:val="fr-CA"/>
        </w:rPr>
      </w:pPr>
      <w:r w:rsidRPr="00720E01">
        <w:rPr>
          <w:lang w:val="fr-CA"/>
        </w:rPr>
        <w:t>Poursuivre et intensifier la collaboration avec les mécanismes multilatéraux et bilatéraux de financement afin de catalyser davantage les synergies</w:t>
      </w:r>
      <w:r w:rsidR="00702666" w:rsidRPr="00720E01">
        <w:rPr>
          <w:lang w:val="fr-CA"/>
        </w:rPr>
        <w:t xml:space="preserve"> lors de l’élaboration et </w:t>
      </w:r>
      <w:r w:rsidR="00B56286">
        <w:rPr>
          <w:lang w:val="fr-CA"/>
        </w:rPr>
        <w:t>du</w:t>
      </w:r>
      <w:r w:rsidR="00702666" w:rsidRPr="00720E01">
        <w:rPr>
          <w:lang w:val="fr-CA"/>
        </w:rPr>
        <w:t xml:space="preserve"> financement de projets pour atteindre les objectifs des conventions de Rio</w:t>
      </w:r>
      <w:r w:rsidR="004C3F94">
        <w:rPr>
          <w:lang w:val="fr-CA"/>
        </w:rPr>
        <w:t> </w:t>
      </w:r>
      <w:r w:rsidR="006B1912" w:rsidRPr="00720E01">
        <w:rPr>
          <w:lang w:val="fr-CA"/>
        </w:rPr>
        <w:t>;</w:t>
      </w:r>
    </w:p>
    <w:p w14:paraId="6494BCE0" w14:textId="1629044F" w:rsidR="00CD414E" w:rsidRPr="00720E01" w:rsidRDefault="00702666" w:rsidP="00304215">
      <w:pPr>
        <w:pStyle w:val="Paragraphedeliste"/>
        <w:numPr>
          <w:ilvl w:val="0"/>
          <w:numId w:val="11"/>
        </w:numPr>
        <w:spacing w:after="120"/>
        <w:ind w:firstLine="720"/>
        <w:contextualSpacing w:val="0"/>
        <w:rPr>
          <w:lang w:val="fr-CA"/>
        </w:rPr>
        <w:sectPr w:rsidR="00CD414E" w:rsidRPr="00720E01" w:rsidSect="001C6487">
          <w:headerReference w:type="even" r:id="rId17"/>
          <w:headerReference w:type="default" r:id="rId18"/>
          <w:footerReference w:type="even" r:id="rId19"/>
          <w:footerReference w:type="default" r:id="rId20"/>
          <w:footerReference w:type="first" r:id="rId21"/>
          <w:pgSz w:w="12240" w:h="15840"/>
          <w:pgMar w:top="567" w:right="1389" w:bottom="1134" w:left="1389" w:header="461" w:footer="720" w:gutter="0"/>
          <w:cols w:space="708"/>
          <w:titlePg/>
          <w:docGrid w:linePitch="360"/>
        </w:sectPr>
      </w:pPr>
      <w:r w:rsidRPr="00720E01">
        <w:rPr>
          <w:lang w:val="fr-CA"/>
        </w:rPr>
        <w:t>Préparer un rapport d’avancement comprenant des recommandations sur les activités mentionnées ci-dessus pour examen par l’Organe subsidiaire chargé de l’application à sa quatrième réunion</w:t>
      </w:r>
      <w:r w:rsidR="006B1912" w:rsidRPr="00720E01">
        <w:rPr>
          <w:lang w:val="fr-CA"/>
        </w:rPr>
        <w:t>.</w:t>
      </w:r>
    </w:p>
    <w:p w14:paraId="70BB8969" w14:textId="77777777" w:rsidR="005051BB" w:rsidRPr="00720E01" w:rsidRDefault="005051BB">
      <w:pPr>
        <w:jc w:val="left"/>
        <w:rPr>
          <w:b/>
          <w:caps/>
          <w:snapToGrid w:val="0"/>
          <w:lang w:val="fr-CA"/>
        </w:rPr>
      </w:pPr>
      <w:r w:rsidRPr="00720E01">
        <w:rPr>
          <w:snapToGrid w:val="0"/>
          <w:lang w:val="fr-CA"/>
        </w:rPr>
        <w:br w:type="page"/>
      </w:r>
    </w:p>
    <w:p w14:paraId="3B342F1B" w14:textId="3491F771" w:rsidR="0072144E" w:rsidRPr="00720E01" w:rsidRDefault="003D1694" w:rsidP="0072144E">
      <w:pPr>
        <w:pStyle w:val="Titre1"/>
        <w:rPr>
          <w:b w:val="0"/>
          <w:bCs/>
          <w:i/>
          <w:iCs/>
          <w:snapToGrid w:val="0"/>
          <w:lang w:val="fr-CA"/>
        </w:rPr>
      </w:pPr>
      <w:r w:rsidRPr="00720E01">
        <w:rPr>
          <w:b w:val="0"/>
          <w:bCs/>
          <w:i/>
          <w:iCs/>
          <w:caps w:val="0"/>
          <w:snapToGrid w:val="0"/>
          <w:lang w:val="fr-CA"/>
        </w:rPr>
        <w:lastRenderedPageBreak/>
        <w:t>Annex</w:t>
      </w:r>
      <w:r w:rsidR="00DF2815" w:rsidRPr="00720E01">
        <w:rPr>
          <w:b w:val="0"/>
          <w:bCs/>
          <w:i/>
          <w:iCs/>
          <w:caps w:val="0"/>
          <w:snapToGrid w:val="0"/>
          <w:lang w:val="fr-CA"/>
        </w:rPr>
        <w:t>e</w:t>
      </w:r>
      <w:r w:rsidR="0072144E" w:rsidRPr="00720E01">
        <w:rPr>
          <w:b w:val="0"/>
          <w:bCs/>
          <w:i/>
          <w:iCs/>
          <w:snapToGrid w:val="0"/>
          <w:lang w:val="fr-CA"/>
        </w:rPr>
        <w:t xml:space="preserve"> I</w:t>
      </w:r>
    </w:p>
    <w:p w14:paraId="5563A6F0" w14:textId="1D286142" w:rsidR="0072144E" w:rsidRPr="00720E01" w:rsidRDefault="00DF2815" w:rsidP="0072144E">
      <w:pPr>
        <w:pStyle w:val="Titre2"/>
        <w:rPr>
          <w:caps/>
          <w:snapToGrid w:val="0"/>
          <w:lang w:val="fr-CA"/>
        </w:rPr>
      </w:pPr>
      <w:r w:rsidRPr="00720E01">
        <w:rPr>
          <w:caps/>
          <w:snapToGrid w:val="0"/>
          <w:lang w:val="fr-CA"/>
        </w:rPr>
        <w:t>projet de volet de mobilisation des ressources du cadre mondial de la biodiversité pour l</w:t>
      </w:r>
      <w:r w:rsidR="004C3F94">
        <w:rPr>
          <w:caps/>
          <w:snapToGrid w:val="0"/>
          <w:lang w:val="fr-CA"/>
        </w:rPr>
        <w:t>’</w:t>
      </w:r>
      <w:r w:rsidRPr="00720E01">
        <w:rPr>
          <w:caps/>
          <w:snapToGrid w:val="0"/>
          <w:lang w:val="fr-CA"/>
        </w:rPr>
        <w:t>après-2020</w:t>
      </w:r>
      <w:r w:rsidR="004C3F94">
        <w:rPr>
          <w:caps/>
          <w:snapToGrid w:val="0"/>
          <w:lang w:val="fr-CA"/>
        </w:rPr>
        <w:t> </w:t>
      </w:r>
      <w:r w:rsidR="00E237E7" w:rsidRPr="00720E01">
        <w:rPr>
          <w:caps/>
          <w:snapToGrid w:val="0"/>
          <w:lang w:val="fr-CA"/>
        </w:rPr>
        <w:t>:</w:t>
      </w:r>
    </w:p>
    <w:p w14:paraId="5BFFFC05" w14:textId="2459CA6C" w:rsidR="0072144E" w:rsidRPr="00720E01" w:rsidRDefault="00DF2815" w:rsidP="0072144E">
      <w:pPr>
        <w:pStyle w:val="Titre2"/>
        <w:rPr>
          <w:caps/>
          <w:snapToGrid w:val="0"/>
          <w:lang w:val="fr-CA"/>
        </w:rPr>
      </w:pPr>
      <w:bookmarkStart w:id="10" w:name="_Hlk37343827"/>
      <w:r w:rsidRPr="00720E01">
        <w:rPr>
          <w:caps/>
          <w:snapToGrid w:val="0"/>
          <w:lang w:val="fr-CA"/>
        </w:rPr>
        <w:t xml:space="preserve">projets d’éléments sur la mobilisation des ressources pouvant </w:t>
      </w:r>
      <w:r w:rsidR="009C0C1A">
        <w:rPr>
          <w:caps/>
          <w:snapToGrid w:val="0"/>
          <w:lang w:val="fr-CA"/>
        </w:rPr>
        <w:t xml:space="preserve">potentiellement </w:t>
      </w:r>
      <w:r w:rsidRPr="00720E01">
        <w:rPr>
          <w:caps/>
          <w:snapToGrid w:val="0"/>
          <w:lang w:val="fr-CA"/>
        </w:rPr>
        <w:t>être intégrés au cadre mondial de la biodiversité pour l</w:t>
      </w:r>
      <w:r w:rsidR="004C3F94">
        <w:rPr>
          <w:caps/>
          <w:snapToGrid w:val="0"/>
          <w:lang w:val="fr-CA"/>
        </w:rPr>
        <w:t>’</w:t>
      </w:r>
      <w:r w:rsidRPr="00720E01">
        <w:rPr>
          <w:caps/>
          <w:snapToGrid w:val="0"/>
          <w:lang w:val="fr-CA"/>
        </w:rPr>
        <w:t>après-2020</w:t>
      </w:r>
    </w:p>
    <w:bookmarkEnd w:id="10"/>
    <w:p w14:paraId="309BF24A" w14:textId="3F194B8B" w:rsidR="0072144E" w:rsidRPr="00720E01" w:rsidRDefault="0072144E" w:rsidP="0072144E">
      <w:pPr>
        <w:spacing w:after="120"/>
        <w:rPr>
          <w:lang w:val="fr-CA"/>
        </w:rPr>
      </w:pPr>
      <w:r w:rsidRPr="00720E01">
        <w:rPr>
          <w:szCs w:val="22"/>
          <w:lang w:val="fr-CA"/>
        </w:rPr>
        <w:t>1.</w:t>
      </w:r>
      <w:r w:rsidRPr="00720E01">
        <w:rPr>
          <w:szCs w:val="22"/>
          <w:lang w:val="fr-CA"/>
        </w:rPr>
        <w:tab/>
      </w:r>
      <w:r w:rsidR="003200AA" w:rsidRPr="00720E01">
        <w:rPr>
          <w:szCs w:val="22"/>
          <w:lang w:val="fr-CA"/>
        </w:rPr>
        <w:t xml:space="preserve">Plusieurs objectifs précis de mobilisation des ressources seront vraisemblablement nécessaires pour soutenir les objectifs </w:t>
      </w:r>
      <w:r w:rsidR="009C0C1A">
        <w:rPr>
          <w:szCs w:val="22"/>
          <w:lang w:val="fr-CA"/>
        </w:rPr>
        <w:t>globaux</w:t>
      </w:r>
      <w:r w:rsidR="003200AA" w:rsidRPr="00720E01">
        <w:rPr>
          <w:szCs w:val="22"/>
          <w:lang w:val="fr-CA"/>
        </w:rPr>
        <w:t xml:space="preserve"> du cadre mondial de la biodiversité pour l</w:t>
      </w:r>
      <w:r w:rsidR="004C3F94">
        <w:rPr>
          <w:szCs w:val="22"/>
          <w:lang w:val="fr-CA"/>
        </w:rPr>
        <w:t>’</w:t>
      </w:r>
      <w:r w:rsidR="003200AA" w:rsidRPr="00720E01">
        <w:rPr>
          <w:szCs w:val="22"/>
          <w:lang w:val="fr-CA"/>
        </w:rPr>
        <w:t>après-2020, selon la recommandation du groupe d’experts sur la mobilisation des ressource</w:t>
      </w:r>
      <w:r w:rsidR="004B0114">
        <w:rPr>
          <w:szCs w:val="22"/>
          <w:lang w:val="fr-CA"/>
        </w:rPr>
        <w:t>.</w:t>
      </w:r>
      <w:r w:rsidR="00CB1385" w:rsidRPr="00A70D05">
        <w:rPr>
          <w:rStyle w:val="Appelnotedebasdep"/>
          <w:szCs w:val="22"/>
        </w:rPr>
        <w:footnoteReference w:id="17"/>
      </w:r>
      <w:r w:rsidR="003200AA" w:rsidRPr="00720E01">
        <w:rPr>
          <w:lang w:val="fr-CA"/>
        </w:rPr>
        <w:t xml:space="preserve"> Ces objectifs tiendraient compte des trois volets interdépendants et complémentaires de la mobilisation des ressources proposés par le groupe d’experts et favor</w:t>
      </w:r>
      <w:r w:rsidR="00B32FFE" w:rsidRPr="00720E01">
        <w:rPr>
          <w:lang w:val="fr-CA"/>
        </w:rPr>
        <w:t>iseraient ainsi les progrès sim</w:t>
      </w:r>
      <w:r w:rsidR="003200AA" w:rsidRPr="00720E01">
        <w:rPr>
          <w:lang w:val="fr-CA"/>
        </w:rPr>
        <w:t xml:space="preserve">ultanés dans les trois volets : réduire ou rediriger les ressources qui nuisent à la biodiversité, b) </w:t>
      </w:r>
      <w:r w:rsidR="00B32FFE" w:rsidRPr="00720E01">
        <w:rPr>
          <w:lang w:val="fr-CA"/>
        </w:rPr>
        <w:t>créer des ressources supplémentaires de toutes les sources et c) accroître l’efficacité et l’efficience de l’utilisation des ressources.</w:t>
      </w:r>
    </w:p>
    <w:p w14:paraId="2D4FF29A" w14:textId="26420CD8" w:rsidR="00704DCD" w:rsidRPr="00720E01" w:rsidRDefault="0072144E" w:rsidP="0072144E">
      <w:pPr>
        <w:spacing w:after="120"/>
        <w:rPr>
          <w:bCs/>
          <w:snapToGrid w:val="0"/>
          <w:lang w:val="fr-CA"/>
        </w:rPr>
      </w:pPr>
      <w:r w:rsidRPr="00720E01">
        <w:rPr>
          <w:bCs/>
          <w:snapToGrid w:val="0"/>
          <w:lang w:val="fr-CA"/>
        </w:rPr>
        <w:t>2.</w:t>
      </w:r>
      <w:r w:rsidRPr="00720E01">
        <w:rPr>
          <w:bCs/>
          <w:snapToGrid w:val="0"/>
          <w:lang w:val="fr-CA"/>
        </w:rPr>
        <w:tab/>
      </w:r>
      <w:r w:rsidR="00B32FFE" w:rsidRPr="00720E01">
        <w:rPr>
          <w:bCs/>
          <w:snapToGrid w:val="0"/>
          <w:lang w:val="fr-CA"/>
        </w:rPr>
        <w:t>Les éléments proposés ci-dessous développent davantage et modifient les objectifs 12, 14 et 15 de l’avant-projet du cadre mondial de la biodiversité pour l</w:t>
      </w:r>
      <w:r w:rsidR="004C3F94">
        <w:rPr>
          <w:bCs/>
          <w:snapToGrid w:val="0"/>
          <w:lang w:val="fr-CA"/>
        </w:rPr>
        <w:t>’</w:t>
      </w:r>
      <w:r w:rsidR="00B32FFE" w:rsidRPr="00720E01">
        <w:rPr>
          <w:bCs/>
          <w:snapToGrid w:val="0"/>
          <w:lang w:val="fr-CA"/>
        </w:rPr>
        <w:t>après-2020</w:t>
      </w:r>
      <w:r w:rsidRPr="00720E01">
        <w:rPr>
          <w:bCs/>
          <w:snapToGrid w:val="0"/>
          <w:lang w:val="fr-CA"/>
        </w:rPr>
        <w:t>.</w:t>
      </w:r>
      <w:r w:rsidR="00B40A9C" w:rsidRPr="00A70D05">
        <w:rPr>
          <w:rStyle w:val="Appelnotedebasdep"/>
          <w:bCs/>
          <w:snapToGrid w:val="0"/>
          <w:szCs w:val="22"/>
        </w:rPr>
        <w:footnoteReference w:id="18"/>
      </w:r>
    </w:p>
    <w:p w14:paraId="64BCD179" w14:textId="36CB502A" w:rsidR="0072144E" w:rsidRPr="00720E01" w:rsidRDefault="00704DCD" w:rsidP="0072144E">
      <w:pPr>
        <w:spacing w:after="120"/>
        <w:rPr>
          <w:bCs/>
          <w:snapToGrid w:val="0"/>
          <w:lang w:val="fr-CA"/>
        </w:rPr>
      </w:pPr>
      <w:r w:rsidRPr="00720E01">
        <w:rPr>
          <w:bCs/>
          <w:snapToGrid w:val="0"/>
          <w:lang w:val="fr-CA"/>
        </w:rPr>
        <w:t>3.</w:t>
      </w:r>
      <w:r w:rsidRPr="00720E01">
        <w:rPr>
          <w:bCs/>
          <w:snapToGrid w:val="0"/>
          <w:lang w:val="fr-CA"/>
        </w:rPr>
        <w:tab/>
      </w:r>
      <w:r w:rsidR="00A552E4">
        <w:rPr>
          <w:bCs/>
          <w:snapToGrid w:val="0"/>
          <w:lang w:val="fr-CA"/>
        </w:rPr>
        <w:t>En</w:t>
      </w:r>
      <w:r w:rsidR="00B32FFE" w:rsidRPr="00720E01">
        <w:rPr>
          <w:bCs/>
          <w:snapToGrid w:val="0"/>
          <w:lang w:val="fr-CA"/>
        </w:rPr>
        <w:t xml:space="preserve"> ce qui concerne particulièrement les objectifs 12 et 14 de l’avant-projet, </w:t>
      </w:r>
      <w:r w:rsidR="00CB1385">
        <w:rPr>
          <w:bCs/>
          <w:snapToGrid w:val="0"/>
          <w:lang w:val="fr-CA"/>
        </w:rPr>
        <w:t xml:space="preserve">il est proposé d’inclure </w:t>
      </w:r>
      <w:r w:rsidR="00B32FFE" w:rsidRPr="00720E01">
        <w:rPr>
          <w:bCs/>
          <w:snapToGrid w:val="0"/>
          <w:lang w:val="fr-CA"/>
        </w:rPr>
        <w:t xml:space="preserve">les trois éléments distincts mais </w:t>
      </w:r>
      <w:r w:rsidR="00647370" w:rsidRPr="00720E01">
        <w:rPr>
          <w:bCs/>
          <w:snapToGrid w:val="0"/>
          <w:lang w:val="fr-CA"/>
        </w:rPr>
        <w:t>qui se soutiennent mutuellement dans la réduction et la redirection des dépenses des différents acteurs</w:t>
      </w:r>
      <w:r w:rsidR="00CB1385">
        <w:rPr>
          <w:bCs/>
          <w:snapToGrid w:val="0"/>
          <w:lang w:val="fr-CA"/>
        </w:rPr>
        <w:t>, qui</w:t>
      </w:r>
      <w:r w:rsidR="00647370" w:rsidRPr="00720E01">
        <w:rPr>
          <w:bCs/>
          <w:snapToGrid w:val="0"/>
          <w:lang w:val="fr-CA"/>
        </w:rPr>
        <w:t xml:space="preserve"> représentent un important élément de la mobilisation des ressources</w:t>
      </w:r>
      <w:r w:rsidR="00A552E4">
        <w:rPr>
          <w:bCs/>
          <w:snapToGrid w:val="0"/>
          <w:lang w:val="fr-CA"/>
        </w:rPr>
        <w:t>, selon la contribution du groupe d’experts</w:t>
      </w:r>
      <w:r w:rsidR="004C3F94">
        <w:rPr>
          <w:bCs/>
          <w:snapToGrid w:val="0"/>
          <w:lang w:val="fr-CA"/>
        </w:rPr>
        <w:t> </w:t>
      </w:r>
      <w:r w:rsidRPr="00720E01">
        <w:rPr>
          <w:szCs w:val="22"/>
          <w:lang w:val="fr-CA"/>
        </w:rPr>
        <w:t>:</w:t>
      </w:r>
    </w:p>
    <w:p w14:paraId="3ABCF768" w14:textId="6E9CFBE8" w:rsidR="0072144E" w:rsidRPr="00720E01" w:rsidRDefault="0072144E" w:rsidP="00304215">
      <w:pPr>
        <w:spacing w:after="120"/>
        <w:ind w:firstLine="720"/>
        <w:rPr>
          <w:i/>
          <w:iCs/>
          <w:szCs w:val="22"/>
          <w:lang w:val="fr-CA"/>
        </w:rPr>
      </w:pPr>
      <w:r w:rsidRPr="00720E01">
        <w:rPr>
          <w:i/>
          <w:iCs/>
          <w:szCs w:val="22"/>
          <w:lang w:val="fr-CA"/>
        </w:rPr>
        <w:t>a</w:t>
      </w:r>
      <w:r w:rsidR="00475A0F" w:rsidRPr="00720E01">
        <w:rPr>
          <w:i/>
          <w:iCs/>
          <w:szCs w:val="22"/>
          <w:lang w:val="fr-CA"/>
        </w:rPr>
        <w:t>)</w:t>
      </w:r>
      <w:r w:rsidRPr="00720E01">
        <w:rPr>
          <w:i/>
          <w:iCs/>
          <w:szCs w:val="22"/>
          <w:lang w:val="fr-CA"/>
        </w:rPr>
        <w:tab/>
      </w:r>
      <w:r w:rsidR="00647370" w:rsidRPr="00720E01">
        <w:rPr>
          <w:i/>
          <w:iCs/>
          <w:szCs w:val="22"/>
          <w:lang w:val="fr-CA"/>
        </w:rPr>
        <w:t xml:space="preserve">D’ici </w:t>
      </w:r>
      <w:r w:rsidR="00350DFD">
        <w:rPr>
          <w:i/>
          <w:iCs/>
          <w:szCs w:val="22"/>
          <w:lang w:val="fr-CA"/>
        </w:rPr>
        <w:t xml:space="preserve">à </w:t>
      </w:r>
      <w:r w:rsidR="00647370" w:rsidRPr="00720E01">
        <w:rPr>
          <w:i/>
          <w:iCs/>
          <w:szCs w:val="22"/>
          <w:lang w:val="fr-CA"/>
        </w:rPr>
        <w:t xml:space="preserve">2030, tous les pays auront accompli d’importants progrès en intégration fiscale, budgétaire et financière, notamment en </w:t>
      </w:r>
      <w:r w:rsidR="000F5C35">
        <w:rPr>
          <w:i/>
          <w:iCs/>
          <w:szCs w:val="22"/>
          <w:lang w:val="fr-CA"/>
        </w:rPr>
        <w:t>révisant</w:t>
      </w:r>
      <w:r w:rsidR="00647370" w:rsidRPr="00720E01">
        <w:rPr>
          <w:i/>
          <w:iCs/>
          <w:szCs w:val="22"/>
          <w:lang w:val="fr-CA"/>
        </w:rPr>
        <w:t xml:space="preserve"> tous les budgets gouvernementaux pertinents</w:t>
      </w:r>
      <w:r w:rsidR="00A552E4">
        <w:rPr>
          <w:i/>
          <w:iCs/>
          <w:szCs w:val="22"/>
          <w:lang w:val="fr-CA"/>
        </w:rPr>
        <w:t>,</w:t>
      </w:r>
      <w:r w:rsidR="00E66E79" w:rsidRPr="00720E01">
        <w:rPr>
          <w:i/>
          <w:iCs/>
          <w:szCs w:val="22"/>
          <w:lang w:val="fr-CA"/>
        </w:rPr>
        <w:t xml:space="preserve"> afin qu</w:t>
      </w:r>
      <w:r w:rsidR="000F5C35">
        <w:rPr>
          <w:i/>
          <w:iCs/>
          <w:szCs w:val="22"/>
          <w:lang w:val="fr-CA"/>
        </w:rPr>
        <w:t xml:space="preserve">e pour le moins, ils n’aient pas de conséquence nuisible nette </w:t>
      </w:r>
      <w:r w:rsidR="00E66E79" w:rsidRPr="00720E01">
        <w:rPr>
          <w:i/>
          <w:iCs/>
          <w:szCs w:val="22"/>
          <w:lang w:val="fr-CA"/>
        </w:rPr>
        <w:t>pour la biodiversité, en augmentant les mesures de</w:t>
      </w:r>
      <w:r w:rsidR="00647370" w:rsidRPr="00720E01">
        <w:rPr>
          <w:i/>
          <w:iCs/>
          <w:szCs w:val="22"/>
          <w:lang w:val="fr-CA"/>
        </w:rPr>
        <w:t xml:space="preserve"> </w:t>
      </w:r>
      <w:r w:rsidR="00E66E79" w:rsidRPr="00720E01">
        <w:rPr>
          <w:i/>
          <w:iCs/>
          <w:szCs w:val="22"/>
          <w:lang w:val="fr-CA"/>
        </w:rPr>
        <w:t xml:space="preserve">d’encouragement positives pour la conservation et l’utilisation durable de la </w:t>
      </w:r>
      <w:r w:rsidR="000F5C35">
        <w:rPr>
          <w:i/>
          <w:iCs/>
          <w:szCs w:val="22"/>
          <w:lang w:val="fr-CA"/>
        </w:rPr>
        <w:t>biodiversité</w:t>
      </w:r>
      <w:r w:rsidR="00E072BC" w:rsidRPr="00720E01">
        <w:rPr>
          <w:i/>
          <w:iCs/>
          <w:szCs w:val="22"/>
          <w:lang w:val="fr-CA"/>
        </w:rPr>
        <w:t xml:space="preserve">, en augmentant </w:t>
      </w:r>
      <w:r w:rsidR="000F5C35">
        <w:rPr>
          <w:i/>
          <w:iCs/>
          <w:szCs w:val="22"/>
          <w:lang w:val="fr-CA"/>
        </w:rPr>
        <w:t>l’utilisation de</w:t>
      </w:r>
      <w:r w:rsidR="00E66E79" w:rsidRPr="00720E01">
        <w:rPr>
          <w:i/>
          <w:iCs/>
          <w:szCs w:val="22"/>
          <w:lang w:val="fr-CA"/>
        </w:rPr>
        <w:t xml:space="preserve"> mesures de dissuasion afin de décourager les </w:t>
      </w:r>
      <w:r w:rsidR="003C3AD1">
        <w:rPr>
          <w:i/>
          <w:iCs/>
          <w:szCs w:val="22"/>
          <w:lang w:val="fr-CA"/>
        </w:rPr>
        <w:t>actions</w:t>
      </w:r>
      <w:r w:rsidR="00E66E79" w:rsidRPr="00720E01">
        <w:rPr>
          <w:i/>
          <w:iCs/>
          <w:szCs w:val="22"/>
          <w:lang w:val="fr-CA"/>
        </w:rPr>
        <w:t xml:space="preserve"> qui nuisent à la diversité biologique et en éliminant les mesures d’encouragement, dont les subventions, qui nuisent à la diversité biologique, conformément et en harmonie avec la Convention et autres obligations internationales pertinentes, en tenant compte des conditions socioéc</w:t>
      </w:r>
      <w:r w:rsidR="00727375">
        <w:rPr>
          <w:i/>
          <w:iCs/>
          <w:szCs w:val="22"/>
          <w:lang w:val="fr-CA"/>
        </w:rPr>
        <w:t>onomiques nationales, et remettro</w:t>
      </w:r>
      <w:r w:rsidR="00E66E79" w:rsidRPr="00720E01">
        <w:rPr>
          <w:i/>
          <w:iCs/>
          <w:szCs w:val="22"/>
          <w:lang w:val="fr-CA"/>
        </w:rPr>
        <w:t>nt des rapports à cet égard</w:t>
      </w:r>
      <w:r w:rsidR="004C3F94">
        <w:rPr>
          <w:i/>
          <w:iCs/>
          <w:szCs w:val="22"/>
          <w:lang w:val="fr-CA"/>
        </w:rPr>
        <w:t> </w:t>
      </w:r>
      <w:r w:rsidR="00475A0F" w:rsidRPr="00720E01">
        <w:rPr>
          <w:i/>
          <w:iCs/>
          <w:szCs w:val="22"/>
          <w:lang w:val="fr-CA"/>
        </w:rPr>
        <w:t>;</w:t>
      </w:r>
    </w:p>
    <w:p w14:paraId="7E6C328F" w14:textId="50621BCB" w:rsidR="0072144E" w:rsidRPr="00720E01" w:rsidRDefault="0072144E" w:rsidP="00304215">
      <w:pPr>
        <w:spacing w:after="120"/>
        <w:ind w:firstLine="720"/>
        <w:rPr>
          <w:i/>
          <w:iCs/>
          <w:szCs w:val="22"/>
          <w:lang w:val="fr-CA"/>
        </w:rPr>
      </w:pPr>
      <w:r w:rsidRPr="00720E01">
        <w:rPr>
          <w:i/>
          <w:iCs/>
          <w:szCs w:val="22"/>
          <w:lang w:val="fr-CA"/>
        </w:rPr>
        <w:t>b</w:t>
      </w:r>
      <w:r w:rsidR="00475A0F" w:rsidRPr="00720E01">
        <w:rPr>
          <w:i/>
          <w:iCs/>
          <w:szCs w:val="22"/>
          <w:lang w:val="fr-CA"/>
        </w:rPr>
        <w:t>)</w:t>
      </w:r>
      <w:r w:rsidRPr="00720E01">
        <w:rPr>
          <w:i/>
          <w:iCs/>
          <w:szCs w:val="22"/>
          <w:lang w:val="fr-CA"/>
        </w:rPr>
        <w:tab/>
      </w:r>
      <w:r w:rsidR="00E072BC" w:rsidRPr="00720E01">
        <w:rPr>
          <w:i/>
          <w:iCs/>
          <w:szCs w:val="22"/>
          <w:lang w:val="fr-CA"/>
        </w:rPr>
        <w:t xml:space="preserve">D’ici </w:t>
      </w:r>
      <w:r w:rsidR="00350DFD">
        <w:rPr>
          <w:i/>
          <w:iCs/>
          <w:szCs w:val="22"/>
          <w:lang w:val="fr-CA"/>
        </w:rPr>
        <w:t xml:space="preserve">à </w:t>
      </w:r>
      <w:r w:rsidR="00E072BC" w:rsidRPr="00720E01">
        <w:rPr>
          <w:i/>
          <w:iCs/>
          <w:szCs w:val="22"/>
          <w:lang w:val="fr-CA"/>
        </w:rPr>
        <w:t>[2025], les entreprises des</w:t>
      </w:r>
      <w:r w:rsidR="00350DFD">
        <w:rPr>
          <w:i/>
          <w:iCs/>
          <w:szCs w:val="22"/>
          <w:lang w:val="fr-CA"/>
        </w:rPr>
        <w:t xml:space="preserve"> secteurs économiques pertinent</w:t>
      </w:r>
      <w:r w:rsidR="00E072BC" w:rsidRPr="00720E01">
        <w:rPr>
          <w:i/>
          <w:iCs/>
          <w:szCs w:val="22"/>
          <w:lang w:val="fr-CA"/>
        </w:rPr>
        <w:t>s et de tous les niveaux, surtout les grandes entreprises et les multinationales, f</w:t>
      </w:r>
      <w:r w:rsidR="00727375">
        <w:rPr>
          <w:i/>
          <w:iCs/>
          <w:szCs w:val="22"/>
          <w:lang w:val="fr-CA"/>
        </w:rPr>
        <w:t>er</w:t>
      </w:r>
      <w:r w:rsidR="00E072BC" w:rsidRPr="00720E01">
        <w:rPr>
          <w:i/>
          <w:iCs/>
          <w:szCs w:val="22"/>
          <w:lang w:val="fr-CA"/>
        </w:rPr>
        <w:t xml:space="preserve">ont la transition à des pratiques durables, y compris dans leur chaîne d’approvisionnement, </w:t>
      </w:r>
      <w:r w:rsidR="003C3AD1">
        <w:rPr>
          <w:i/>
          <w:iCs/>
          <w:szCs w:val="22"/>
          <w:lang w:val="fr-CA"/>
        </w:rPr>
        <w:t>démontrant</w:t>
      </w:r>
      <w:r w:rsidR="00E072BC" w:rsidRPr="00720E01">
        <w:rPr>
          <w:i/>
          <w:iCs/>
          <w:szCs w:val="22"/>
          <w:lang w:val="fr-CA"/>
        </w:rPr>
        <w:t xml:space="preserve"> et faisant rapport d’une diminution importante des impacts négatifs et, si possible, </w:t>
      </w:r>
      <w:r w:rsidR="00350DFD">
        <w:rPr>
          <w:i/>
          <w:iCs/>
          <w:szCs w:val="22"/>
          <w:lang w:val="fr-CA"/>
        </w:rPr>
        <w:t>d’</w:t>
      </w:r>
      <w:r w:rsidR="00E072BC" w:rsidRPr="00720E01">
        <w:rPr>
          <w:i/>
          <w:iCs/>
          <w:szCs w:val="22"/>
          <w:lang w:val="fr-CA"/>
        </w:rPr>
        <w:t>une augmentation des impacts positifs nets sur les écosystèmes et la biodiversité</w:t>
      </w:r>
      <w:r w:rsidR="004C3F94">
        <w:rPr>
          <w:i/>
          <w:iCs/>
          <w:szCs w:val="22"/>
          <w:lang w:val="fr-CA"/>
        </w:rPr>
        <w:t> </w:t>
      </w:r>
      <w:r w:rsidR="00475A0F" w:rsidRPr="00720E01">
        <w:rPr>
          <w:i/>
          <w:iCs/>
          <w:szCs w:val="22"/>
          <w:lang w:val="fr-CA"/>
        </w:rPr>
        <w:t>;</w:t>
      </w:r>
    </w:p>
    <w:p w14:paraId="17DC99BA" w14:textId="3B64B00D" w:rsidR="0072144E" w:rsidRPr="00720E01" w:rsidRDefault="0072144E" w:rsidP="00304215">
      <w:pPr>
        <w:spacing w:after="120"/>
        <w:ind w:firstLine="720"/>
        <w:rPr>
          <w:i/>
          <w:iCs/>
          <w:szCs w:val="22"/>
          <w:lang w:val="fr-CA"/>
        </w:rPr>
      </w:pPr>
      <w:r w:rsidRPr="00720E01">
        <w:rPr>
          <w:i/>
          <w:iCs/>
          <w:szCs w:val="22"/>
          <w:lang w:val="fr-CA"/>
        </w:rPr>
        <w:t>c</w:t>
      </w:r>
      <w:r w:rsidR="00475A0F" w:rsidRPr="00720E01">
        <w:rPr>
          <w:i/>
          <w:iCs/>
          <w:szCs w:val="22"/>
          <w:lang w:val="fr-CA"/>
        </w:rPr>
        <w:t>)</w:t>
      </w:r>
      <w:r w:rsidRPr="00720E01">
        <w:rPr>
          <w:i/>
          <w:iCs/>
          <w:szCs w:val="22"/>
          <w:lang w:val="fr-CA"/>
        </w:rPr>
        <w:tab/>
      </w:r>
      <w:r w:rsidR="00E072BC" w:rsidRPr="00720E01">
        <w:rPr>
          <w:i/>
          <w:iCs/>
          <w:szCs w:val="22"/>
          <w:lang w:val="fr-CA"/>
        </w:rPr>
        <w:t xml:space="preserve">D’ici </w:t>
      </w:r>
      <w:r w:rsidR="00350DFD">
        <w:rPr>
          <w:i/>
          <w:iCs/>
          <w:szCs w:val="22"/>
          <w:lang w:val="fr-CA"/>
        </w:rPr>
        <w:t xml:space="preserve">à </w:t>
      </w:r>
      <w:r w:rsidR="00E072BC" w:rsidRPr="00720E01">
        <w:rPr>
          <w:i/>
          <w:iCs/>
          <w:szCs w:val="22"/>
          <w:lang w:val="fr-CA"/>
        </w:rPr>
        <w:t xml:space="preserve">[2025], les institutions financières de tous les niveaux, y compris les institutions internationales de financement pour le développement, </w:t>
      </w:r>
      <w:r w:rsidR="00727375">
        <w:rPr>
          <w:i/>
          <w:iCs/>
          <w:szCs w:val="22"/>
          <w:lang w:val="fr-CA"/>
        </w:rPr>
        <w:t>aur</w:t>
      </w:r>
      <w:r w:rsidR="0044168D" w:rsidRPr="00720E01">
        <w:rPr>
          <w:i/>
          <w:iCs/>
          <w:szCs w:val="22"/>
          <w:lang w:val="fr-CA"/>
        </w:rPr>
        <w:t xml:space="preserve">ont intégré la diversité biologique aux politiques et procédés d’évaluation des risques, </w:t>
      </w:r>
      <w:r w:rsidR="002A7D69">
        <w:rPr>
          <w:i/>
          <w:iCs/>
          <w:szCs w:val="22"/>
          <w:lang w:val="fr-CA"/>
        </w:rPr>
        <w:t>mettront en évidence</w:t>
      </w:r>
      <w:r w:rsidR="0044168D" w:rsidRPr="00720E01">
        <w:rPr>
          <w:i/>
          <w:iCs/>
          <w:szCs w:val="22"/>
          <w:lang w:val="fr-CA"/>
        </w:rPr>
        <w:t xml:space="preserve"> au moins une réduction des impacts négatifs des investissements de leu</w:t>
      </w:r>
      <w:r w:rsidR="00727375">
        <w:rPr>
          <w:i/>
          <w:iCs/>
          <w:szCs w:val="22"/>
          <w:lang w:val="fr-CA"/>
        </w:rPr>
        <w:t>rs</w:t>
      </w:r>
      <w:r w:rsidR="0044168D" w:rsidRPr="00720E01">
        <w:rPr>
          <w:i/>
          <w:iCs/>
          <w:szCs w:val="22"/>
          <w:lang w:val="fr-CA"/>
        </w:rPr>
        <w:t xml:space="preserve"> portefeuilles et une augmentation du financement dédié à la biodiversité, et présente</w:t>
      </w:r>
      <w:r w:rsidR="00727375">
        <w:rPr>
          <w:i/>
          <w:iCs/>
          <w:szCs w:val="22"/>
          <w:lang w:val="fr-CA"/>
        </w:rPr>
        <w:t>ro</w:t>
      </w:r>
      <w:r w:rsidR="0044168D" w:rsidRPr="00720E01">
        <w:rPr>
          <w:i/>
          <w:iCs/>
          <w:szCs w:val="22"/>
          <w:lang w:val="fr-CA"/>
        </w:rPr>
        <w:t>nt des rapports sur les risques, les impacts et le financement.</w:t>
      </w:r>
    </w:p>
    <w:p w14:paraId="21531417" w14:textId="69A38D40" w:rsidR="005A1505" w:rsidRPr="00720E01" w:rsidRDefault="0072144E" w:rsidP="0072144E">
      <w:pPr>
        <w:spacing w:after="120"/>
        <w:rPr>
          <w:szCs w:val="22"/>
          <w:lang w:val="fr-CA"/>
        </w:rPr>
      </w:pPr>
      <w:r w:rsidRPr="00720E01">
        <w:rPr>
          <w:szCs w:val="22"/>
          <w:lang w:val="fr-CA"/>
        </w:rPr>
        <w:t>4.</w:t>
      </w:r>
      <w:r w:rsidRPr="00720E01">
        <w:rPr>
          <w:szCs w:val="22"/>
          <w:lang w:val="fr-CA"/>
        </w:rPr>
        <w:tab/>
      </w:r>
      <w:r w:rsidR="0044168D" w:rsidRPr="00720E01">
        <w:rPr>
          <w:szCs w:val="22"/>
          <w:lang w:val="fr-CA"/>
        </w:rPr>
        <w:t>L’objectif 15 de l’avant-projet contient un élément sur la mobilisation des ressources</w:t>
      </w:r>
      <w:r w:rsidR="009D483D" w:rsidRPr="00720E01">
        <w:rPr>
          <w:szCs w:val="22"/>
          <w:lang w:val="fr-CA"/>
        </w:rPr>
        <w:t xml:space="preserve"> et un élément sur le renforcement des capacités. L’</w:t>
      </w:r>
      <w:r w:rsidR="00B126F4" w:rsidRPr="00720E01">
        <w:rPr>
          <w:szCs w:val="22"/>
          <w:lang w:val="fr-CA"/>
        </w:rPr>
        <w:t>élément sur la mobilisati</w:t>
      </w:r>
      <w:r w:rsidR="009D483D" w:rsidRPr="00720E01">
        <w:rPr>
          <w:szCs w:val="22"/>
          <w:lang w:val="fr-CA"/>
        </w:rPr>
        <w:t xml:space="preserve">on des ressources </w:t>
      </w:r>
      <w:r w:rsidR="00B126F4" w:rsidRPr="00720E01">
        <w:rPr>
          <w:szCs w:val="22"/>
          <w:lang w:val="fr-CA"/>
        </w:rPr>
        <w:t>pourrait</w:t>
      </w:r>
      <w:r w:rsidR="009D483D" w:rsidRPr="00720E01">
        <w:rPr>
          <w:szCs w:val="22"/>
          <w:lang w:val="fr-CA"/>
        </w:rPr>
        <w:t xml:space="preserve"> être développé davantage et aborder spécifiquement la création de ressources supplémentaires de </w:t>
      </w:r>
      <w:r w:rsidR="00B126F4" w:rsidRPr="00720E01">
        <w:rPr>
          <w:szCs w:val="22"/>
          <w:lang w:val="fr-CA"/>
        </w:rPr>
        <w:t>toutes</w:t>
      </w:r>
      <w:r w:rsidR="009D483D" w:rsidRPr="00720E01">
        <w:rPr>
          <w:szCs w:val="22"/>
          <w:lang w:val="fr-CA"/>
        </w:rPr>
        <w:t xml:space="preserve"> les sources, une condition préalable importante de la mise en œuvre du cadre mondial de la biodiversité pour l</w:t>
      </w:r>
      <w:r w:rsidR="004C3F94">
        <w:rPr>
          <w:szCs w:val="22"/>
          <w:lang w:val="fr-CA"/>
        </w:rPr>
        <w:t>’</w:t>
      </w:r>
      <w:r w:rsidR="009D483D" w:rsidRPr="00720E01">
        <w:rPr>
          <w:szCs w:val="22"/>
          <w:lang w:val="fr-CA"/>
        </w:rPr>
        <w:t>après-2020 qui e</w:t>
      </w:r>
      <w:r w:rsidR="00B126F4" w:rsidRPr="00720E01">
        <w:rPr>
          <w:szCs w:val="22"/>
          <w:lang w:val="fr-CA"/>
        </w:rPr>
        <w:t>xigera des cibles ambitieuses pertinentes</w:t>
      </w:r>
      <w:r w:rsidR="009D483D" w:rsidRPr="00720E01">
        <w:rPr>
          <w:szCs w:val="22"/>
          <w:lang w:val="fr-CA"/>
        </w:rPr>
        <w:t xml:space="preserve"> pour accroître les ressources internationales (bilatéral</w:t>
      </w:r>
      <w:r w:rsidR="00727375">
        <w:rPr>
          <w:szCs w:val="22"/>
          <w:lang w:val="fr-CA"/>
        </w:rPr>
        <w:t>es</w:t>
      </w:r>
      <w:r w:rsidR="009D483D" w:rsidRPr="00720E01">
        <w:rPr>
          <w:szCs w:val="22"/>
          <w:lang w:val="fr-CA"/>
        </w:rPr>
        <w:t xml:space="preserve"> et multilatéral</w:t>
      </w:r>
      <w:r w:rsidR="00727375">
        <w:rPr>
          <w:szCs w:val="22"/>
          <w:lang w:val="fr-CA"/>
        </w:rPr>
        <w:t>es</w:t>
      </w:r>
      <w:r w:rsidR="009D483D" w:rsidRPr="00720E01">
        <w:rPr>
          <w:szCs w:val="22"/>
          <w:lang w:val="fr-CA"/>
        </w:rPr>
        <w:t>, dont les flux internationau</w:t>
      </w:r>
      <w:r w:rsidR="00B126F4" w:rsidRPr="00720E01">
        <w:rPr>
          <w:szCs w:val="22"/>
          <w:lang w:val="fr-CA"/>
        </w:rPr>
        <w:t>x</w:t>
      </w:r>
      <w:r w:rsidR="009D483D" w:rsidRPr="00720E01">
        <w:rPr>
          <w:szCs w:val="22"/>
          <w:lang w:val="fr-CA"/>
        </w:rPr>
        <w:t xml:space="preserve"> privés)</w:t>
      </w:r>
      <w:r w:rsidR="00B126F4" w:rsidRPr="00720E01">
        <w:rPr>
          <w:szCs w:val="22"/>
          <w:lang w:val="fr-CA"/>
        </w:rPr>
        <w:t xml:space="preserve"> et nationales, de manière à respecter les circonstances et les capacités </w:t>
      </w:r>
      <w:r w:rsidR="00727375">
        <w:rPr>
          <w:szCs w:val="22"/>
          <w:lang w:val="fr-CA"/>
        </w:rPr>
        <w:t>des pays</w:t>
      </w:r>
      <w:r w:rsidR="005A1505" w:rsidRPr="00720E01">
        <w:rPr>
          <w:szCs w:val="22"/>
          <w:lang w:val="fr-CA"/>
        </w:rPr>
        <w:t>.</w:t>
      </w:r>
    </w:p>
    <w:p w14:paraId="423C7E33" w14:textId="2CD5EB21" w:rsidR="0072144E" w:rsidRPr="00720E01" w:rsidRDefault="00B126F4" w:rsidP="0072144E">
      <w:pPr>
        <w:spacing w:after="120"/>
        <w:rPr>
          <w:b/>
          <w:bCs/>
          <w:szCs w:val="22"/>
          <w:lang w:val="fr-CA"/>
        </w:rPr>
      </w:pPr>
      <w:r w:rsidRPr="00720E01">
        <w:rPr>
          <w:szCs w:val="22"/>
          <w:lang w:val="fr-CA"/>
        </w:rPr>
        <w:lastRenderedPageBreak/>
        <w:t>Le libellé suivant est suggéré pour l’objectif 15</w:t>
      </w:r>
      <w:r w:rsidR="004C3F94">
        <w:rPr>
          <w:szCs w:val="22"/>
          <w:lang w:val="fr-CA"/>
        </w:rPr>
        <w:t> </w:t>
      </w:r>
      <w:r w:rsidR="00704DCD" w:rsidRPr="00720E01">
        <w:rPr>
          <w:szCs w:val="22"/>
          <w:lang w:val="fr-CA"/>
        </w:rPr>
        <w:t>:</w:t>
      </w:r>
    </w:p>
    <w:p w14:paraId="4BB6E51C" w14:textId="43E9CF54" w:rsidR="005A1505" w:rsidRPr="00720E01" w:rsidRDefault="00B126F4" w:rsidP="00304215">
      <w:pPr>
        <w:spacing w:after="120"/>
        <w:ind w:left="720" w:firstLine="436"/>
        <w:rPr>
          <w:i/>
          <w:iCs/>
          <w:szCs w:val="22"/>
          <w:lang w:val="fr-CA"/>
        </w:rPr>
      </w:pPr>
      <w:r w:rsidRPr="00720E01">
        <w:rPr>
          <w:i/>
          <w:iCs/>
          <w:szCs w:val="22"/>
          <w:lang w:val="fr-CA"/>
        </w:rPr>
        <w:t xml:space="preserve">D’ici </w:t>
      </w:r>
      <w:r w:rsidR="00350DFD">
        <w:rPr>
          <w:i/>
          <w:iCs/>
          <w:szCs w:val="22"/>
          <w:lang w:val="fr-CA"/>
        </w:rPr>
        <w:t xml:space="preserve">à </w:t>
      </w:r>
      <w:r w:rsidRPr="00720E01">
        <w:rPr>
          <w:i/>
          <w:iCs/>
          <w:szCs w:val="22"/>
          <w:lang w:val="fr-CA"/>
        </w:rPr>
        <w:t xml:space="preserve">2030, les flux de financement international liés à la diversité biologique </w:t>
      </w:r>
      <w:r w:rsidR="001C2864">
        <w:rPr>
          <w:i/>
          <w:iCs/>
          <w:szCs w:val="22"/>
          <w:lang w:val="fr-CA"/>
        </w:rPr>
        <w:t>destinés aux</w:t>
      </w:r>
      <w:r w:rsidRPr="00720E01">
        <w:rPr>
          <w:i/>
          <w:iCs/>
          <w:szCs w:val="22"/>
          <w:lang w:val="fr-CA"/>
        </w:rPr>
        <w:t xml:space="preserve"> pays en développement, surtout les pays les moins avancés et les petits États insulaires, ainsi que les pays à économie en transition, </w:t>
      </w:r>
      <w:r w:rsidR="001C2864">
        <w:rPr>
          <w:i/>
          <w:iCs/>
          <w:szCs w:val="22"/>
          <w:lang w:val="fr-CA"/>
        </w:rPr>
        <w:t>atteindront</w:t>
      </w:r>
      <w:r w:rsidRPr="00720E01">
        <w:rPr>
          <w:i/>
          <w:iCs/>
          <w:szCs w:val="22"/>
          <w:lang w:val="fr-CA"/>
        </w:rPr>
        <w:t xml:space="preserve"> ou dépasse</w:t>
      </w:r>
      <w:r w:rsidR="001C2864">
        <w:rPr>
          <w:i/>
          <w:iCs/>
          <w:szCs w:val="22"/>
          <w:lang w:val="fr-CA"/>
        </w:rPr>
        <w:t>ro</w:t>
      </w:r>
      <w:r w:rsidRPr="00720E01">
        <w:rPr>
          <w:i/>
          <w:iCs/>
          <w:szCs w:val="22"/>
          <w:lang w:val="fr-CA"/>
        </w:rPr>
        <w:t xml:space="preserve">nt </w:t>
      </w:r>
      <w:r w:rsidR="0016676E" w:rsidRPr="00720E01">
        <w:rPr>
          <w:i/>
          <w:iCs/>
          <w:szCs w:val="22"/>
          <w:lang w:val="fr-CA"/>
        </w:rPr>
        <w:t>[le repère et l’indicateur de progrès à convenir], conformément aux ambitions des objectifs de ce cadre.</w:t>
      </w:r>
    </w:p>
    <w:p w14:paraId="3B6358D4" w14:textId="31095948" w:rsidR="005A1505" w:rsidRPr="007D2BC2" w:rsidRDefault="0016676E" w:rsidP="007D2BC2">
      <w:pPr>
        <w:pStyle w:val="Para1"/>
        <w:numPr>
          <w:ilvl w:val="0"/>
          <w:numId w:val="37"/>
        </w:numPr>
        <w:tabs>
          <w:tab w:val="clear" w:pos="360"/>
        </w:tabs>
        <w:rPr>
          <w:i/>
          <w:iCs/>
          <w:szCs w:val="22"/>
          <w:lang w:val="fr-CA"/>
        </w:rPr>
      </w:pPr>
      <w:r w:rsidRPr="007D2BC2">
        <w:rPr>
          <w:szCs w:val="22"/>
          <w:lang w:val="fr-CA"/>
        </w:rPr>
        <w:t>Il est également proposé de préciser dans le cadre ou une décision à l’appui qu’en ce qui concerne les Parties à la Convention,</w:t>
      </w:r>
      <w:r w:rsidR="004C3F94" w:rsidRPr="007D2BC2">
        <w:rPr>
          <w:szCs w:val="22"/>
          <w:lang w:val="fr-CA"/>
        </w:rPr>
        <w:t> </w:t>
      </w:r>
      <w:r w:rsidR="005A1505" w:rsidRPr="007D2BC2">
        <w:rPr>
          <w:szCs w:val="22"/>
          <w:lang w:val="fr-CA"/>
        </w:rPr>
        <w:t>:</w:t>
      </w:r>
    </w:p>
    <w:p w14:paraId="252126EF" w14:textId="3C2B693A" w:rsidR="00CD5A11" w:rsidRPr="00720E01" w:rsidRDefault="0016676E" w:rsidP="00304215">
      <w:pPr>
        <w:spacing w:after="120"/>
        <w:ind w:left="720" w:firstLine="436"/>
        <w:rPr>
          <w:i/>
          <w:iCs/>
          <w:szCs w:val="22"/>
          <w:lang w:val="fr-CA"/>
        </w:rPr>
      </w:pPr>
      <w:r w:rsidRPr="00720E01">
        <w:rPr>
          <w:i/>
          <w:iCs/>
          <w:szCs w:val="22"/>
          <w:lang w:val="fr-CA"/>
        </w:rPr>
        <w:t>L’offre de ressources financières doit être conforme à l’article 20 de la Convention</w:t>
      </w:r>
      <w:r w:rsidR="004C3F94">
        <w:rPr>
          <w:i/>
          <w:iCs/>
          <w:szCs w:val="22"/>
          <w:lang w:val="fr-CA"/>
        </w:rPr>
        <w:t> </w:t>
      </w:r>
      <w:r w:rsidR="00E775AD" w:rsidRPr="00720E01">
        <w:rPr>
          <w:i/>
          <w:iCs/>
          <w:szCs w:val="22"/>
          <w:lang w:val="fr-CA"/>
        </w:rPr>
        <w:t>;</w:t>
      </w:r>
    </w:p>
    <w:p w14:paraId="2835E24A" w14:textId="1502E7DF" w:rsidR="0072144E" w:rsidRPr="00720E01" w:rsidRDefault="0016676E" w:rsidP="00304215">
      <w:pPr>
        <w:spacing w:after="120"/>
        <w:ind w:left="720" w:firstLine="436"/>
        <w:rPr>
          <w:i/>
          <w:iCs/>
          <w:szCs w:val="22"/>
          <w:lang w:val="fr-CA"/>
        </w:rPr>
      </w:pPr>
      <w:r w:rsidRPr="00720E01">
        <w:rPr>
          <w:i/>
          <w:iCs/>
          <w:szCs w:val="22"/>
          <w:lang w:val="fr-CA"/>
        </w:rPr>
        <w:t xml:space="preserve">D’ici </w:t>
      </w:r>
      <w:r w:rsidR="00350DFD">
        <w:rPr>
          <w:i/>
          <w:iCs/>
          <w:szCs w:val="22"/>
          <w:lang w:val="fr-CA"/>
        </w:rPr>
        <w:t xml:space="preserve">à </w:t>
      </w:r>
      <w:r w:rsidRPr="00720E01">
        <w:rPr>
          <w:i/>
          <w:iCs/>
          <w:szCs w:val="22"/>
          <w:lang w:val="fr-CA"/>
        </w:rPr>
        <w:t xml:space="preserve">[2022], tous les pays </w:t>
      </w:r>
      <w:r w:rsidR="001C2864">
        <w:rPr>
          <w:i/>
          <w:iCs/>
          <w:szCs w:val="22"/>
          <w:lang w:val="fr-CA"/>
        </w:rPr>
        <w:t>aur</w:t>
      </w:r>
      <w:r w:rsidRPr="00720E01">
        <w:rPr>
          <w:i/>
          <w:iCs/>
          <w:szCs w:val="22"/>
          <w:lang w:val="fr-CA"/>
        </w:rPr>
        <w:t xml:space="preserve">ont </w:t>
      </w:r>
      <w:r w:rsidR="002A7D69">
        <w:rPr>
          <w:i/>
          <w:iCs/>
          <w:szCs w:val="22"/>
          <w:lang w:val="fr-CA"/>
        </w:rPr>
        <w:t>établi</w:t>
      </w:r>
      <w:r w:rsidRPr="00720E01">
        <w:rPr>
          <w:i/>
          <w:iCs/>
          <w:szCs w:val="22"/>
          <w:lang w:val="fr-CA"/>
        </w:rPr>
        <w:t xml:space="preserve"> un objectif de mobilisation de ressources</w:t>
      </w:r>
      <w:r w:rsidR="00922E77">
        <w:rPr>
          <w:i/>
          <w:iCs/>
          <w:szCs w:val="22"/>
          <w:lang w:val="fr-CA"/>
        </w:rPr>
        <w:t xml:space="preserve"> au pays,</w:t>
      </w:r>
      <w:r w:rsidRPr="00720E01">
        <w:rPr>
          <w:i/>
          <w:iCs/>
          <w:szCs w:val="22"/>
          <w:lang w:val="fr-CA"/>
        </w:rPr>
        <w:t xml:space="preserve"> </w:t>
      </w:r>
      <w:r w:rsidR="00DA3104">
        <w:rPr>
          <w:i/>
          <w:iCs/>
          <w:szCs w:val="22"/>
          <w:lang w:val="fr-CA"/>
        </w:rPr>
        <w:t>d’</w:t>
      </w:r>
      <w:r w:rsidRPr="00720E01">
        <w:rPr>
          <w:i/>
          <w:iCs/>
          <w:szCs w:val="22"/>
          <w:lang w:val="fr-CA"/>
        </w:rPr>
        <w:t>un niveau correspondant aux ambitions de ce cadre et conform</w:t>
      </w:r>
      <w:r w:rsidR="00BF0C63" w:rsidRPr="00720E01">
        <w:rPr>
          <w:i/>
          <w:iCs/>
          <w:szCs w:val="22"/>
          <w:lang w:val="fr-CA"/>
        </w:rPr>
        <w:t>e aux circ</w:t>
      </w:r>
      <w:r w:rsidR="00922E77">
        <w:rPr>
          <w:i/>
          <w:iCs/>
          <w:szCs w:val="22"/>
          <w:lang w:val="fr-CA"/>
        </w:rPr>
        <w:t>onstances et aux besoins du pays,</w:t>
      </w:r>
      <w:r w:rsidR="00BF0C63" w:rsidRPr="00720E01">
        <w:rPr>
          <w:i/>
          <w:iCs/>
          <w:szCs w:val="22"/>
          <w:lang w:val="fr-CA"/>
        </w:rPr>
        <w:t xml:space="preserve"> et d’ici </w:t>
      </w:r>
      <w:r w:rsidR="00DA3104">
        <w:rPr>
          <w:i/>
          <w:iCs/>
          <w:szCs w:val="22"/>
          <w:lang w:val="fr-CA"/>
        </w:rPr>
        <w:t xml:space="preserve">à </w:t>
      </w:r>
      <w:r w:rsidR="00BF0C63" w:rsidRPr="00720E01">
        <w:rPr>
          <w:i/>
          <w:iCs/>
          <w:szCs w:val="22"/>
          <w:lang w:val="fr-CA"/>
        </w:rPr>
        <w:t xml:space="preserve">[2030], tous les pays </w:t>
      </w:r>
      <w:r w:rsidR="001C2864">
        <w:rPr>
          <w:i/>
          <w:iCs/>
          <w:szCs w:val="22"/>
          <w:lang w:val="fr-CA"/>
        </w:rPr>
        <w:t>aur</w:t>
      </w:r>
      <w:r w:rsidR="00BF0C63" w:rsidRPr="00720E01">
        <w:rPr>
          <w:i/>
          <w:iCs/>
          <w:szCs w:val="22"/>
          <w:lang w:val="fr-CA"/>
        </w:rPr>
        <w:t>ont atteint cet objectif</w:t>
      </w:r>
      <w:r w:rsidR="0072144E" w:rsidRPr="00720E01">
        <w:rPr>
          <w:i/>
          <w:iCs/>
          <w:szCs w:val="22"/>
          <w:lang w:val="fr-CA"/>
        </w:rPr>
        <w:t>.</w:t>
      </w:r>
    </w:p>
    <w:p w14:paraId="74F4574B" w14:textId="67924B9F" w:rsidR="0072144E" w:rsidRPr="007D2BC2" w:rsidRDefault="00BF0C63" w:rsidP="007D2BC2">
      <w:pPr>
        <w:pStyle w:val="Para1"/>
        <w:numPr>
          <w:ilvl w:val="0"/>
          <w:numId w:val="37"/>
        </w:numPr>
        <w:tabs>
          <w:tab w:val="clear" w:pos="360"/>
        </w:tabs>
        <w:rPr>
          <w:szCs w:val="22"/>
          <w:lang w:val="fr-CA"/>
        </w:rPr>
      </w:pPr>
      <w:r w:rsidRPr="007D2BC2">
        <w:rPr>
          <w:szCs w:val="22"/>
          <w:lang w:val="fr-CA"/>
        </w:rPr>
        <w:t>De plus, il est proposé d’ajouter un élément supplémentaire au cadre ou à une décision à l’appui afin d’aborder la nécessité d’évaluer les besoins de mobilisation des ressources au niveau national et d’élaborer un plan national de financement de la biodiversité en appui à la mise en œuvre du cadre mondial de la biodiversité pour l</w:t>
      </w:r>
      <w:r w:rsidR="004C3F94" w:rsidRPr="007D2BC2">
        <w:rPr>
          <w:szCs w:val="22"/>
          <w:lang w:val="fr-CA"/>
        </w:rPr>
        <w:t>’</w:t>
      </w:r>
      <w:r w:rsidRPr="007D2BC2">
        <w:rPr>
          <w:szCs w:val="22"/>
          <w:lang w:val="fr-CA"/>
        </w:rPr>
        <w:t xml:space="preserve">après-2020 </w:t>
      </w:r>
      <w:r w:rsidR="009A45F6" w:rsidRPr="007D2BC2">
        <w:rPr>
          <w:szCs w:val="22"/>
          <w:lang w:val="fr-CA"/>
        </w:rPr>
        <w:t>dans les pays</w:t>
      </w:r>
      <w:r w:rsidR="007D2BC2">
        <w:rPr>
          <w:szCs w:val="22"/>
          <w:lang w:val="fr-CA"/>
        </w:rPr>
        <w:t>, comme suit :</w:t>
      </w:r>
    </w:p>
    <w:p w14:paraId="5CCBF96C" w14:textId="6EA8B53F" w:rsidR="00E62ED2" w:rsidRPr="00720E01" w:rsidRDefault="009A45F6" w:rsidP="00304215">
      <w:pPr>
        <w:spacing w:after="120"/>
        <w:ind w:left="720" w:firstLine="436"/>
        <w:rPr>
          <w:szCs w:val="22"/>
          <w:lang w:val="fr-CA"/>
        </w:rPr>
      </w:pPr>
      <w:r w:rsidRPr="00720E01">
        <w:rPr>
          <w:i/>
          <w:iCs/>
          <w:szCs w:val="22"/>
          <w:lang w:val="fr-CA"/>
        </w:rPr>
        <w:t xml:space="preserve">D’ici </w:t>
      </w:r>
      <w:r w:rsidR="00350DFD">
        <w:rPr>
          <w:i/>
          <w:iCs/>
          <w:szCs w:val="22"/>
          <w:lang w:val="fr-CA"/>
        </w:rPr>
        <w:t xml:space="preserve">à </w:t>
      </w:r>
      <w:r w:rsidRPr="00720E01">
        <w:rPr>
          <w:i/>
          <w:iCs/>
          <w:szCs w:val="22"/>
          <w:lang w:val="fr-CA"/>
        </w:rPr>
        <w:t xml:space="preserve">[2022], tous les pays devraient avoir établi un plan national de financement de la biodiversité en appui à leurs stratégies et plans d’action nationaux pour la biodiversité, en se fondant sur l’Initiative de financement de la biodiversité du Programme </w:t>
      </w:r>
      <w:r w:rsidR="001C2864">
        <w:rPr>
          <w:i/>
          <w:iCs/>
          <w:szCs w:val="22"/>
          <w:lang w:val="fr-CA"/>
        </w:rPr>
        <w:t>des Nations Unies pour le développement</w:t>
      </w:r>
      <w:r w:rsidRPr="00720E01">
        <w:rPr>
          <w:i/>
          <w:iCs/>
          <w:szCs w:val="22"/>
          <w:lang w:val="fr-CA"/>
        </w:rPr>
        <w:t xml:space="preserve"> ou une méthode semblable, afin de réduire ou de rediriger les ressources nuisibles pour la diversité</w:t>
      </w:r>
      <w:r w:rsidR="001C2864">
        <w:rPr>
          <w:i/>
          <w:iCs/>
          <w:szCs w:val="22"/>
          <w:lang w:val="fr-CA"/>
        </w:rPr>
        <w:t xml:space="preserve"> biologique,</w:t>
      </w:r>
      <w:r w:rsidRPr="00720E01">
        <w:rPr>
          <w:i/>
          <w:iCs/>
          <w:szCs w:val="22"/>
          <w:lang w:val="fr-CA"/>
        </w:rPr>
        <w:t xml:space="preserve"> </w:t>
      </w:r>
      <w:r w:rsidR="00922E77">
        <w:rPr>
          <w:i/>
          <w:iCs/>
          <w:szCs w:val="22"/>
          <w:lang w:val="fr-CA"/>
        </w:rPr>
        <w:t>générer</w:t>
      </w:r>
      <w:r w:rsidRPr="00720E01">
        <w:rPr>
          <w:i/>
          <w:iCs/>
          <w:szCs w:val="22"/>
          <w:lang w:val="fr-CA"/>
        </w:rPr>
        <w:t xml:space="preserve"> des ressources supplémentaires de toutes les sources et améliorer l’utilisation efficace et efficiente des ressources.</w:t>
      </w:r>
    </w:p>
    <w:p w14:paraId="4B06994E" w14:textId="2D5B1E32" w:rsidR="00704DCD" w:rsidRPr="007D2BC2" w:rsidRDefault="009A45F6" w:rsidP="007D2BC2">
      <w:pPr>
        <w:pStyle w:val="Para1"/>
        <w:numPr>
          <w:ilvl w:val="0"/>
          <w:numId w:val="37"/>
        </w:numPr>
        <w:tabs>
          <w:tab w:val="clear" w:pos="360"/>
        </w:tabs>
        <w:rPr>
          <w:szCs w:val="22"/>
          <w:lang w:val="fr-CA"/>
        </w:rPr>
      </w:pPr>
      <w:r w:rsidRPr="007D2BC2">
        <w:rPr>
          <w:szCs w:val="22"/>
          <w:lang w:val="fr-CA"/>
        </w:rPr>
        <w:t>La contribution du groupe d’experts cont</w:t>
      </w:r>
      <w:r w:rsidR="00E96078" w:rsidRPr="007D2BC2">
        <w:rPr>
          <w:szCs w:val="22"/>
          <w:lang w:val="fr-CA"/>
        </w:rPr>
        <w:t>ient également plusieurs suggesti</w:t>
      </w:r>
      <w:r w:rsidRPr="007D2BC2">
        <w:rPr>
          <w:szCs w:val="22"/>
          <w:lang w:val="fr-CA"/>
        </w:rPr>
        <w:t>ons utiles portant sur les futurs travaux pour simplifier et améliorer l’effi</w:t>
      </w:r>
      <w:r w:rsidR="00E96078" w:rsidRPr="007D2BC2">
        <w:rPr>
          <w:szCs w:val="22"/>
          <w:lang w:val="fr-CA"/>
        </w:rPr>
        <w:t>c</w:t>
      </w:r>
      <w:r w:rsidRPr="007D2BC2">
        <w:rPr>
          <w:szCs w:val="22"/>
          <w:lang w:val="fr-CA"/>
        </w:rPr>
        <w:t xml:space="preserve">acité du </w:t>
      </w:r>
      <w:r w:rsidR="00E96078" w:rsidRPr="007D2BC2">
        <w:rPr>
          <w:szCs w:val="22"/>
          <w:lang w:val="fr-CA"/>
        </w:rPr>
        <w:t>cadre de présentati</w:t>
      </w:r>
      <w:r w:rsidRPr="007D2BC2">
        <w:rPr>
          <w:szCs w:val="22"/>
          <w:lang w:val="fr-CA"/>
        </w:rPr>
        <w:t>on des rapport</w:t>
      </w:r>
      <w:r w:rsidR="00E96078" w:rsidRPr="007D2BC2">
        <w:rPr>
          <w:szCs w:val="22"/>
          <w:lang w:val="fr-CA"/>
        </w:rPr>
        <w:t>s financi</w:t>
      </w:r>
      <w:r w:rsidRPr="007D2BC2">
        <w:rPr>
          <w:szCs w:val="22"/>
          <w:lang w:val="fr-CA"/>
        </w:rPr>
        <w:t xml:space="preserve">ers, et sur le besoin permanent </w:t>
      </w:r>
      <w:r w:rsidR="00E96078" w:rsidRPr="007D2BC2">
        <w:rPr>
          <w:szCs w:val="22"/>
          <w:lang w:val="fr-CA"/>
        </w:rPr>
        <w:t xml:space="preserve">de soutien technique et de renforcement des capacités, y compris la mobilisation de ressources, </w:t>
      </w:r>
      <w:r w:rsidRPr="007D2BC2">
        <w:rPr>
          <w:szCs w:val="22"/>
          <w:lang w:val="fr-CA"/>
        </w:rPr>
        <w:t xml:space="preserve">des pays en développement et des pays </w:t>
      </w:r>
      <w:r w:rsidR="00E96078" w:rsidRPr="007D2BC2">
        <w:rPr>
          <w:szCs w:val="22"/>
          <w:lang w:val="fr-CA"/>
        </w:rPr>
        <w:t>à économie en transitio</w:t>
      </w:r>
      <w:r w:rsidRPr="007D2BC2">
        <w:rPr>
          <w:szCs w:val="22"/>
          <w:lang w:val="fr-CA"/>
        </w:rPr>
        <w:t>n</w:t>
      </w:r>
      <w:r w:rsidR="00FD167F" w:rsidRPr="007D2BC2">
        <w:rPr>
          <w:szCs w:val="22"/>
          <w:lang w:val="fr-CA"/>
        </w:rPr>
        <w:t>.</w:t>
      </w:r>
      <w:r w:rsidR="00E96078" w:rsidRPr="007D2BC2">
        <w:rPr>
          <w:szCs w:val="22"/>
          <w:lang w:val="fr-CA"/>
        </w:rPr>
        <w:t xml:space="preserve"> Ces suggestions sont abordées dans le projet de recommandation.</w:t>
      </w:r>
    </w:p>
    <w:p w14:paraId="66D60514" w14:textId="77777777" w:rsidR="005051BB" w:rsidRPr="00720E01" w:rsidRDefault="005051BB">
      <w:pPr>
        <w:jc w:val="left"/>
        <w:rPr>
          <w:b/>
          <w:caps/>
          <w:snapToGrid w:val="0"/>
          <w:lang w:val="fr-CA"/>
        </w:rPr>
      </w:pPr>
      <w:r w:rsidRPr="00720E01">
        <w:rPr>
          <w:snapToGrid w:val="0"/>
          <w:lang w:val="fr-CA"/>
        </w:rPr>
        <w:br w:type="page"/>
      </w:r>
      <w:bookmarkStart w:id="11" w:name="_GoBack"/>
      <w:bookmarkEnd w:id="11"/>
    </w:p>
    <w:p w14:paraId="682F6EDA" w14:textId="1964A41F" w:rsidR="0072144E" w:rsidRPr="00720E01" w:rsidRDefault="0072144E" w:rsidP="0072144E">
      <w:pPr>
        <w:pStyle w:val="Titre1"/>
        <w:rPr>
          <w:b w:val="0"/>
          <w:bCs/>
          <w:i/>
          <w:iCs/>
          <w:snapToGrid w:val="0"/>
          <w:lang w:val="fr-CA"/>
        </w:rPr>
      </w:pPr>
      <w:r w:rsidRPr="00720E01">
        <w:rPr>
          <w:b w:val="0"/>
          <w:bCs/>
          <w:i/>
          <w:iCs/>
          <w:snapToGrid w:val="0"/>
          <w:lang w:val="fr-CA"/>
        </w:rPr>
        <w:lastRenderedPageBreak/>
        <w:t>A</w:t>
      </w:r>
      <w:r w:rsidR="003D1694" w:rsidRPr="00720E01">
        <w:rPr>
          <w:b w:val="0"/>
          <w:bCs/>
          <w:i/>
          <w:iCs/>
          <w:caps w:val="0"/>
          <w:snapToGrid w:val="0"/>
          <w:lang w:val="fr-CA"/>
        </w:rPr>
        <w:t>nnex</w:t>
      </w:r>
      <w:r w:rsidR="00E96078" w:rsidRPr="00720E01">
        <w:rPr>
          <w:b w:val="0"/>
          <w:bCs/>
          <w:i/>
          <w:iCs/>
          <w:caps w:val="0"/>
          <w:snapToGrid w:val="0"/>
          <w:lang w:val="fr-CA"/>
        </w:rPr>
        <w:t>e</w:t>
      </w:r>
      <w:r w:rsidRPr="00720E01">
        <w:rPr>
          <w:b w:val="0"/>
          <w:bCs/>
          <w:i/>
          <w:iCs/>
          <w:snapToGrid w:val="0"/>
          <w:lang w:val="fr-CA"/>
        </w:rPr>
        <w:t xml:space="preserve"> II</w:t>
      </w:r>
    </w:p>
    <w:p w14:paraId="10F69155" w14:textId="477BBFBE" w:rsidR="00FD167F" w:rsidRPr="00720E01" w:rsidRDefault="00E96078">
      <w:pPr>
        <w:pStyle w:val="Titre2"/>
        <w:rPr>
          <w:caps/>
          <w:snapToGrid w:val="0"/>
          <w:lang w:val="fr-CA"/>
        </w:rPr>
      </w:pPr>
      <w:r w:rsidRPr="00720E01">
        <w:rPr>
          <w:caps/>
          <w:snapToGrid w:val="0"/>
          <w:lang w:val="fr-CA"/>
        </w:rPr>
        <w:t>projet de volet de mobilisation des ressources du cadre mondial de la biodiversité pour l</w:t>
      </w:r>
      <w:r w:rsidR="004C3F94">
        <w:rPr>
          <w:caps/>
          <w:snapToGrid w:val="0"/>
          <w:lang w:val="fr-CA"/>
        </w:rPr>
        <w:t>’</w:t>
      </w:r>
      <w:r w:rsidRPr="00720E01">
        <w:rPr>
          <w:caps/>
          <w:snapToGrid w:val="0"/>
          <w:lang w:val="fr-CA"/>
        </w:rPr>
        <w:t>après-2020</w:t>
      </w:r>
      <w:r w:rsidR="004C3F94">
        <w:rPr>
          <w:caps/>
          <w:snapToGrid w:val="0"/>
          <w:lang w:val="fr-CA"/>
        </w:rPr>
        <w:t> </w:t>
      </w:r>
      <w:r w:rsidR="008448FE" w:rsidRPr="00720E01">
        <w:rPr>
          <w:caps/>
          <w:snapToGrid w:val="0"/>
          <w:lang w:val="fr-CA"/>
        </w:rPr>
        <w:t>:</w:t>
      </w:r>
    </w:p>
    <w:p w14:paraId="7EBC81D9" w14:textId="0F39B9CB" w:rsidR="0072144E" w:rsidRPr="00720E01" w:rsidRDefault="00E96078" w:rsidP="00304215">
      <w:pPr>
        <w:pStyle w:val="Titre2"/>
        <w:ind w:left="567" w:right="567"/>
        <w:rPr>
          <w:caps/>
          <w:snapToGrid w:val="0"/>
          <w:lang w:val="fr-CA"/>
        </w:rPr>
      </w:pPr>
      <w:r w:rsidRPr="00720E01">
        <w:rPr>
          <w:caps/>
          <w:snapToGrid w:val="0"/>
          <w:lang w:val="fr-CA"/>
        </w:rPr>
        <w:t xml:space="preserve">projet d’éléments pour </w:t>
      </w:r>
      <w:r w:rsidR="00DB4BD9">
        <w:rPr>
          <w:caps/>
          <w:snapToGrid w:val="0"/>
          <w:lang w:val="fr-CA"/>
        </w:rPr>
        <w:t xml:space="preserve">une </w:t>
      </w:r>
      <w:r w:rsidR="006805F6">
        <w:rPr>
          <w:kern w:val="22"/>
          <w:szCs w:val="22"/>
          <w:lang w:val="fr-CA"/>
        </w:rPr>
        <w:t xml:space="preserve">DÉMARCHE STRATÉGIQUE </w:t>
      </w:r>
      <w:r w:rsidR="00FA1427">
        <w:rPr>
          <w:kern w:val="22"/>
          <w:szCs w:val="22"/>
          <w:lang w:val="fr-CA"/>
        </w:rPr>
        <w:t xml:space="preserve">POSSIBLE </w:t>
      </w:r>
      <w:r w:rsidR="006805F6">
        <w:rPr>
          <w:kern w:val="22"/>
          <w:szCs w:val="22"/>
          <w:lang w:val="fr-CA"/>
        </w:rPr>
        <w:t>POUR REMPLACER</w:t>
      </w:r>
      <w:r w:rsidR="006805F6" w:rsidRPr="00720E01">
        <w:rPr>
          <w:snapToGrid w:val="0"/>
          <w:lang w:val="fr-CA"/>
        </w:rPr>
        <w:t xml:space="preserve"> </w:t>
      </w:r>
      <w:r w:rsidRPr="00720E01">
        <w:rPr>
          <w:caps/>
          <w:snapToGrid w:val="0"/>
          <w:lang w:val="fr-CA"/>
        </w:rPr>
        <w:t>la stratégie actuelle de mobilisation des ressources</w:t>
      </w:r>
    </w:p>
    <w:p w14:paraId="2A657011" w14:textId="4EF3089E" w:rsidR="0072144E" w:rsidRPr="00720E01" w:rsidRDefault="00E96078" w:rsidP="00304215">
      <w:pPr>
        <w:pStyle w:val="Paragraphedeliste"/>
        <w:keepNext/>
        <w:numPr>
          <w:ilvl w:val="0"/>
          <w:numId w:val="7"/>
        </w:numPr>
        <w:spacing w:before="240"/>
        <w:ind w:left="720"/>
        <w:contextualSpacing w:val="0"/>
        <w:jc w:val="center"/>
        <w:outlineLvl w:val="2"/>
        <w:rPr>
          <w:b/>
          <w:bCs/>
          <w:caps/>
          <w:lang w:val="fr-CA"/>
        </w:rPr>
      </w:pPr>
      <w:r w:rsidRPr="00720E01">
        <w:rPr>
          <w:b/>
          <w:bCs/>
          <w:caps/>
          <w:lang w:val="fr-CA"/>
        </w:rPr>
        <w:t>l’urgence</w:t>
      </w:r>
    </w:p>
    <w:p w14:paraId="44F89107" w14:textId="7177B09D" w:rsidR="0072144E" w:rsidRPr="00720E01" w:rsidRDefault="004F1C2B" w:rsidP="00304215">
      <w:pPr>
        <w:pStyle w:val="Para1"/>
        <w:numPr>
          <w:ilvl w:val="0"/>
          <w:numId w:val="8"/>
        </w:numPr>
        <w:tabs>
          <w:tab w:val="clear" w:pos="360"/>
        </w:tabs>
        <w:rPr>
          <w:lang w:val="fr-CA"/>
        </w:rPr>
      </w:pPr>
      <w:r w:rsidRPr="00720E01">
        <w:rPr>
          <w:lang w:val="fr-CA"/>
        </w:rPr>
        <w:t xml:space="preserve">La biodiversité est en déclin à l’échelle mondiale et perd du terrain plus rapidement qu’à toute autre époque de l’histoire de </w:t>
      </w:r>
      <w:r w:rsidR="00B24666">
        <w:rPr>
          <w:lang w:val="fr-CA"/>
        </w:rPr>
        <w:t>l’humanité</w:t>
      </w:r>
      <w:r w:rsidRPr="00720E01">
        <w:rPr>
          <w:lang w:val="fr-CA"/>
        </w:rPr>
        <w:t>. Ce déclin est présent dans toutes les régions et se manifeste dans les gènes, les espèces et les habitats. Les conséquences globales des changements mondiaux dans la biodiversité s’annoncent négatives et nuisibles pour le bien-être socioéconomique et la santé humaine, malgré les prévisions d’améliorations locales dans la richesse des espèces et la productivité des écosystèmes</w:t>
      </w:r>
      <w:r w:rsidR="0072144E" w:rsidRPr="00720E01">
        <w:rPr>
          <w:lang w:val="fr-CA"/>
        </w:rPr>
        <w:t>.</w:t>
      </w:r>
    </w:p>
    <w:p w14:paraId="55DC86CB" w14:textId="7F60CF4A" w:rsidR="0072144E" w:rsidRPr="00720E01" w:rsidRDefault="00404982" w:rsidP="00304215">
      <w:pPr>
        <w:pStyle w:val="Para1"/>
        <w:numPr>
          <w:ilvl w:val="0"/>
          <w:numId w:val="8"/>
        </w:numPr>
        <w:tabs>
          <w:tab w:val="clear" w:pos="360"/>
        </w:tabs>
        <w:rPr>
          <w:lang w:val="fr-CA"/>
        </w:rPr>
      </w:pPr>
      <w:r w:rsidRPr="00720E01">
        <w:rPr>
          <w:szCs w:val="22"/>
          <w:lang w:val="fr-CA"/>
        </w:rPr>
        <w:t xml:space="preserve">Le </w:t>
      </w:r>
      <w:r w:rsidRPr="00720E01">
        <w:rPr>
          <w:i/>
          <w:szCs w:val="22"/>
          <w:lang w:val="fr-CA"/>
        </w:rPr>
        <w:t>Rapport d’</w:t>
      </w:r>
      <w:r w:rsidR="00D20307" w:rsidRPr="00720E01">
        <w:rPr>
          <w:i/>
          <w:szCs w:val="22"/>
          <w:lang w:val="fr-CA"/>
        </w:rPr>
        <w:t>évaluation mondiale sur l</w:t>
      </w:r>
      <w:r w:rsidRPr="00720E01">
        <w:rPr>
          <w:i/>
          <w:szCs w:val="22"/>
          <w:lang w:val="fr-CA"/>
        </w:rPr>
        <w:t>a biodiversité et les services écosystémiques</w:t>
      </w:r>
      <w:r w:rsidRPr="00720E01">
        <w:rPr>
          <w:szCs w:val="22"/>
          <w:lang w:val="fr-CA"/>
        </w:rPr>
        <w:t xml:space="preserve"> de la </w:t>
      </w:r>
      <w:r w:rsidR="00D20307" w:rsidRPr="00720E01">
        <w:rPr>
          <w:szCs w:val="22"/>
          <w:lang w:val="fr-CA"/>
        </w:rPr>
        <w:t xml:space="preserve">Plateforme intergouvernementale scientifique et politique sur la biodiversité et les services écosystémiques publié en 2019 souligne le besoin d’agir rapidement </w:t>
      </w:r>
      <w:r w:rsidR="00B24666">
        <w:rPr>
          <w:szCs w:val="22"/>
          <w:lang w:val="fr-CA"/>
        </w:rPr>
        <w:t xml:space="preserve">et </w:t>
      </w:r>
      <w:r w:rsidR="00D20307" w:rsidRPr="00720E01">
        <w:rPr>
          <w:szCs w:val="22"/>
          <w:lang w:val="fr-CA"/>
        </w:rPr>
        <w:t>de manière intégrée afin de lutter contre les moteurs de l’appauvrisseme</w:t>
      </w:r>
      <w:r w:rsidR="00B24666">
        <w:rPr>
          <w:szCs w:val="22"/>
          <w:lang w:val="fr-CA"/>
        </w:rPr>
        <w:t>nt de la diversité biologique, l</w:t>
      </w:r>
      <w:r w:rsidR="00D20307" w:rsidRPr="00720E01">
        <w:rPr>
          <w:szCs w:val="22"/>
          <w:lang w:val="fr-CA"/>
        </w:rPr>
        <w:t xml:space="preserve">es changements climatiques et la dégradation des sols. </w:t>
      </w:r>
      <w:r w:rsidR="00B24666">
        <w:rPr>
          <w:szCs w:val="22"/>
          <w:lang w:val="fr-CA"/>
        </w:rPr>
        <w:t>Des voies</w:t>
      </w:r>
      <w:r w:rsidR="00A71011" w:rsidRPr="00720E01">
        <w:rPr>
          <w:szCs w:val="22"/>
          <w:lang w:val="fr-CA"/>
        </w:rPr>
        <w:t xml:space="preserve"> doivent être développées afin de vivre en harmonie avec la nature, ce qui comprend des changements dans les systèmes mondiaux de financement et économiques en vue d’une économie mondiale durable et la mise en œuvre complète du cadre mondial de la biodiversité pour l</w:t>
      </w:r>
      <w:r w:rsidR="004C3F94">
        <w:rPr>
          <w:szCs w:val="22"/>
          <w:lang w:val="fr-CA"/>
        </w:rPr>
        <w:t>’</w:t>
      </w:r>
      <w:r w:rsidR="00A71011" w:rsidRPr="00720E01">
        <w:rPr>
          <w:szCs w:val="22"/>
          <w:lang w:val="fr-CA"/>
        </w:rPr>
        <w:t>après-2020 et des trois objectifs de la Convention</w:t>
      </w:r>
      <w:r w:rsidR="00B24666">
        <w:rPr>
          <w:szCs w:val="22"/>
          <w:lang w:val="fr-CA"/>
        </w:rPr>
        <w:t>.</w:t>
      </w:r>
      <w:r w:rsidR="00A71011" w:rsidRPr="00720E01">
        <w:rPr>
          <w:szCs w:val="22"/>
          <w:lang w:val="fr-CA"/>
        </w:rPr>
        <w:t xml:space="preserve"> La mobilisation des ressources de toutes les s</w:t>
      </w:r>
      <w:r w:rsidR="00B24666">
        <w:rPr>
          <w:szCs w:val="22"/>
          <w:lang w:val="fr-CA"/>
        </w:rPr>
        <w:t>ources afin qu’elles corresponde</w:t>
      </w:r>
      <w:r w:rsidR="00A71011" w:rsidRPr="00720E01">
        <w:rPr>
          <w:szCs w:val="22"/>
          <w:lang w:val="fr-CA"/>
        </w:rPr>
        <w:t>nt aux ambitions du cadre mondial de la biodiversité pour l</w:t>
      </w:r>
      <w:r w:rsidR="004C3F94">
        <w:rPr>
          <w:szCs w:val="22"/>
          <w:lang w:val="fr-CA"/>
        </w:rPr>
        <w:t>’</w:t>
      </w:r>
      <w:r w:rsidR="00A71011" w:rsidRPr="00720E01">
        <w:rPr>
          <w:szCs w:val="22"/>
          <w:lang w:val="fr-CA"/>
        </w:rPr>
        <w:t xml:space="preserve">après-2020 </w:t>
      </w:r>
      <w:r w:rsidR="00121BE4" w:rsidRPr="00720E01">
        <w:rPr>
          <w:szCs w:val="22"/>
          <w:lang w:val="fr-CA"/>
        </w:rPr>
        <w:t>est une condition essenti</w:t>
      </w:r>
      <w:r w:rsidR="00A71011" w:rsidRPr="00720E01">
        <w:rPr>
          <w:szCs w:val="22"/>
          <w:lang w:val="fr-CA"/>
        </w:rPr>
        <w:t>elle à la mise en œuvre efficace.</w:t>
      </w:r>
    </w:p>
    <w:p w14:paraId="51F2849F" w14:textId="2C14CE21" w:rsidR="0072144E" w:rsidRPr="00720E01" w:rsidRDefault="006805F6" w:rsidP="00304215">
      <w:pPr>
        <w:pStyle w:val="Para1"/>
        <w:numPr>
          <w:ilvl w:val="0"/>
          <w:numId w:val="8"/>
        </w:numPr>
        <w:tabs>
          <w:tab w:val="clear" w:pos="360"/>
        </w:tabs>
        <w:rPr>
          <w:lang w:val="fr-CA"/>
        </w:rPr>
      </w:pPr>
      <w:r>
        <w:rPr>
          <w:lang w:val="fr-CA"/>
        </w:rPr>
        <w:t xml:space="preserve">La </w:t>
      </w:r>
      <w:r w:rsidR="003E080E">
        <w:rPr>
          <w:lang w:val="fr-CA"/>
        </w:rPr>
        <w:t xml:space="preserve">présente </w:t>
      </w:r>
      <w:r>
        <w:rPr>
          <w:kern w:val="22"/>
          <w:szCs w:val="22"/>
          <w:lang w:val="fr-CA"/>
        </w:rPr>
        <w:t>démarche stratégique pour remplacer</w:t>
      </w:r>
      <w:r w:rsidR="00121BE4" w:rsidRPr="00720E01">
        <w:rPr>
          <w:lang w:val="fr-CA"/>
        </w:rPr>
        <w:t xml:space="preserve"> la stratégie actuelle de mobilisation des ressources a pour but d’aid</w:t>
      </w:r>
      <w:r w:rsidR="003E080E">
        <w:rPr>
          <w:lang w:val="fr-CA"/>
        </w:rPr>
        <w:t xml:space="preserve">er les Parties à la Convention à </w:t>
      </w:r>
      <w:r w:rsidR="00121BE4" w:rsidRPr="00720E01">
        <w:rPr>
          <w:lang w:val="fr-CA"/>
        </w:rPr>
        <w:t>élaborer et mettre en œuvre leur</w:t>
      </w:r>
      <w:r w:rsidR="004C3F94">
        <w:rPr>
          <w:lang w:val="fr-CA"/>
        </w:rPr>
        <w:t>s</w:t>
      </w:r>
      <w:r w:rsidR="00121BE4" w:rsidRPr="00720E01">
        <w:rPr>
          <w:lang w:val="fr-CA"/>
        </w:rPr>
        <w:t xml:space="preserve"> plans nationaux de financement de la biodiversité avec l’appui des organisations et parties prenantes compétentes, en vue de réaliser collectivement les objectifs de mobilisation des ressources du cadre mondial de la biodiversité pour l</w:t>
      </w:r>
      <w:r w:rsidR="004C3F94">
        <w:rPr>
          <w:lang w:val="fr-CA"/>
        </w:rPr>
        <w:t>’</w:t>
      </w:r>
      <w:r w:rsidR="00121BE4" w:rsidRPr="00720E01">
        <w:rPr>
          <w:lang w:val="fr-CA"/>
        </w:rPr>
        <w:t xml:space="preserve">après-2020 et de </w:t>
      </w:r>
      <w:r w:rsidR="00D57930" w:rsidRPr="00720E01">
        <w:rPr>
          <w:lang w:val="fr-CA"/>
        </w:rPr>
        <w:t>mobiliser</w:t>
      </w:r>
      <w:r w:rsidR="00121BE4" w:rsidRPr="00720E01">
        <w:rPr>
          <w:lang w:val="fr-CA"/>
        </w:rPr>
        <w:t xml:space="preserve"> des ressources </w:t>
      </w:r>
      <w:r w:rsidR="00D57930" w:rsidRPr="00720E01">
        <w:rPr>
          <w:lang w:val="fr-CA"/>
        </w:rPr>
        <w:t xml:space="preserve">financières </w:t>
      </w:r>
      <w:r w:rsidR="00121BE4" w:rsidRPr="00720E01">
        <w:rPr>
          <w:lang w:val="fr-CA"/>
        </w:rPr>
        <w:t xml:space="preserve">adéquates et prévisibles </w:t>
      </w:r>
      <w:r w:rsidR="00D57930" w:rsidRPr="00720E01">
        <w:rPr>
          <w:lang w:val="fr-CA"/>
        </w:rPr>
        <w:t>pour soutenir la réalisation du cadre mondial de la biodiversité pour l</w:t>
      </w:r>
      <w:r w:rsidR="004C3F94">
        <w:rPr>
          <w:lang w:val="fr-CA"/>
        </w:rPr>
        <w:t>’</w:t>
      </w:r>
      <w:r w:rsidR="00D57930" w:rsidRPr="00720E01">
        <w:rPr>
          <w:lang w:val="fr-CA"/>
        </w:rPr>
        <w:t>après-2020 et des trois objectifs de la Convention</w:t>
      </w:r>
      <w:r w:rsidR="0072144E" w:rsidRPr="00720E01">
        <w:rPr>
          <w:lang w:val="fr-CA"/>
        </w:rPr>
        <w:t>.</w:t>
      </w:r>
    </w:p>
    <w:p w14:paraId="5FD6B0CF" w14:textId="2D78FA25" w:rsidR="0072144E" w:rsidRPr="00720E01" w:rsidRDefault="00D57930" w:rsidP="00304215">
      <w:pPr>
        <w:pStyle w:val="Paragraphedeliste"/>
        <w:numPr>
          <w:ilvl w:val="0"/>
          <w:numId w:val="8"/>
        </w:numPr>
        <w:tabs>
          <w:tab w:val="clear" w:pos="360"/>
        </w:tabs>
        <w:spacing w:after="120"/>
        <w:contextualSpacing w:val="0"/>
        <w:rPr>
          <w:lang w:val="fr-CA"/>
        </w:rPr>
      </w:pPr>
      <w:r w:rsidRPr="00720E01">
        <w:rPr>
          <w:lang w:val="fr-CA"/>
        </w:rPr>
        <w:t>La stratégie tient compte de l’éventail complet des sources de financement. Elle cible la mise en œuvre depuis la période initiale jusqu’en 2030, conformément au calendrier du cadre mondial de la biodiversité pour l</w:t>
      </w:r>
      <w:r w:rsidR="004C3F94">
        <w:rPr>
          <w:lang w:val="fr-CA"/>
        </w:rPr>
        <w:t>’</w:t>
      </w:r>
      <w:r w:rsidRPr="00720E01">
        <w:rPr>
          <w:lang w:val="fr-CA"/>
        </w:rPr>
        <w:t>après-2020</w:t>
      </w:r>
      <w:r w:rsidR="0072144E" w:rsidRPr="00720E01">
        <w:rPr>
          <w:lang w:val="fr-CA"/>
        </w:rPr>
        <w:t>.</w:t>
      </w:r>
    </w:p>
    <w:p w14:paraId="6B104CC4" w14:textId="071E2EF1" w:rsidR="0072144E" w:rsidRPr="00720E01" w:rsidRDefault="00B01386" w:rsidP="00304215">
      <w:pPr>
        <w:pStyle w:val="Paragraphedeliste"/>
        <w:keepNext/>
        <w:keepLines/>
        <w:numPr>
          <w:ilvl w:val="0"/>
          <w:numId w:val="7"/>
        </w:numPr>
        <w:spacing w:before="240" w:after="120"/>
        <w:ind w:left="720"/>
        <w:contextualSpacing w:val="0"/>
        <w:jc w:val="center"/>
        <w:outlineLvl w:val="2"/>
        <w:rPr>
          <w:b/>
          <w:bCs/>
          <w:caps/>
          <w:lang w:val="fr-CA"/>
        </w:rPr>
      </w:pPr>
      <w:r w:rsidRPr="00720E01">
        <w:rPr>
          <w:b/>
          <w:bCs/>
          <w:caps/>
          <w:lang w:val="fr-CA"/>
        </w:rPr>
        <w:t>Mission</w:t>
      </w:r>
    </w:p>
    <w:p w14:paraId="0F7FB6BC" w14:textId="123DC716" w:rsidR="0072144E" w:rsidRPr="00720E01" w:rsidRDefault="00D57930" w:rsidP="00304215">
      <w:pPr>
        <w:pStyle w:val="Paragraphedeliste"/>
        <w:numPr>
          <w:ilvl w:val="0"/>
          <w:numId w:val="8"/>
        </w:numPr>
        <w:tabs>
          <w:tab w:val="clear" w:pos="360"/>
        </w:tabs>
        <w:spacing w:after="120"/>
        <w:contextualSpacing w:val="0"/>
        <w:rPr>
          <w:color w:val="000000" w:themeColor="text1"/>
          <w:szCs w:val="22"/>
          <w:lang w:val="fr-CA"/>
        </w:rPr>
      </w:pPr>
      <w:r w:rsidRPr="00720E01">
        <w:rPr>
          <w:color w:val="000000" w:themeColor="text1"/>
          <w:szCs w:val="22"/>
          <w:lang w:val="fr-CA"/>
        </w:rPr>
        <w:t xml:space="preserve">La </w:t>
      </w:r>
      <w:r w:rsidR="006F0A50" w:rsidRPr="00720E01">
        <w:rPr>
          <w:color w:val="000000" w:themeColor="text1"/>
          <w:szCs w:val="22"/>
          <w:lang w:val="fr-CA"/>
        </w:rPr>
        <w:t>mobilisation des ressources est essentielle à la réalisation efficace des objectifs de la Convention et à la mise en œuvre du cadre mondial de la biodiversité pour l</w:t>
      </w:r>
      <w:r w:rsidR="004C3F94">
        <w:rPr>
          <w:color w:val="000000" w:themeColor="text1"/>
          <w:szCs w:val="22"/>
          <w:lang w:val="fr-CA"/>
        </w:rPr>
        <w:t>’</w:t>
      </w:r>
      <w:r w:rsidR="006F0A50" w:rsidRPr="00720E01">
        <w:rPr>
          <w:color w:val="000000" w:themeColor="text1"/>
          <w:szCs w:val="22"/>
          <w:lang w:val="fr-CA"/>
        </w:rPr>
        <w:t>après-2020</w:t>
      </w:r>
      <w:r w:rsidR="0072144E" w:rsidRPr="00720E01">
        <w:rPr>
          <w:color w:val="000000" w:themeColor="text1"/>
          <w:szCs w:val="22"/>
          <w:lang w:val="fr-CA"/>
        </w:rPr>
        <w:t>.</w:t>
      </w:r>
      <w:r w:rsidR="002C050E" w:rsidRPr="00720E01">
        <w:rPr>
          <w:color w:val="000000" w:themeColor="text1"/>
          <w:szCs w:val="22"/>
          <w:lang w:val="fr-CA"/>
        </w:rPr>
        <w:t xml:space="preserve"> Il faudra atteindre les objectifs de mobilisation des ressources du cadre afin d’atteindre les autres objectifs du cadre mondial de la biodiversité pour l</w:t>
      </w:r>
      <w:r w:rsidR="004C3F94">
        <w:rPr>
          <w:color w:val="000000" w:themeColor="text1"/>
          <w:szCs w:val="22"/>
          <w:lang w:val="fr-CA"/>
        </w:rPr>
        <w:t>’</w:t>
      </w:r>
      <w:r w:rsidR="002C050E" w:rsidRPr="00720E01">
        <w:rPr>
          <w:color w:val="000000" w:themeColor="text1"/>
          <w:szCs w:val="22"/>
          <w:lang w:val="fr-CA"/>
        </w:rPr>
        <w:t>après-2020.</w:t>
      </w:r>
    </w:p>
    <w:p w14:paraId="4B67C815" w14:textId="3B1182C7" w:rsidR="0072144E" w:rsidRPr="00720E01" w:rsidRDefault="002C050E" w:rsidP="00304215">
      <w:pPr>
        <w:pStyle w:val="Paragraphedeliste"/>
        <w:numPr>
          <w:ilvl w:val="0"/>
          <w:numId w:val="8"/>
        </w:numPr>
        <w:tabs>
          <w:tab w:val="clear" w:pos="360"/>
        </w:tabs>
        <w:spacing w:after="120"/>
        <w:contextualSpacing w:val="0"/>
        <w:rPr>
          <w:color w:val="000000" w:themeColor="text1"/>
          <w:szCs w:val="22"/>
          <w:lang w:val="fr-CA"/>
        </w:rPr>
      </w:pPr>
      <w:r w:rsidRPr="00720E01">
        <w:rPr>
          <w:color w:val="000000" w:themeColor="text1"/>
          <w:szCs w:val="22"/>
          <w:lang w:val="fr-CA"/>
        </w:rPr>
        <w:t xml:space="preserve">La mobilisation efficace des ressources exige des changements </w:t>
      </w:r>
      <w:r w:rsidR="00575A0F">
        <w:rPr>
          <w:color w:val="000000" w:themeColor="text1"/>
          <w:szCs w:val="22"/>
          <w:lang w:val="fr-CA"/>
        </w:rPr>
        <w:t>profonds</w:t>
      </w:r>
      <w:r w:rsidRPr="00720E01">
        <w:rPr>
          <w:color w:val="000000" w:themeColor="text1"/>
          <w:szCs w:val="22"/>
          <w:lang w:val="fr-CA"/>
        </w:rPr>
        <w:t>, inclusifs et équitables dans toutes les écon</w:t>
      </w:r>
      <w:r w:rsidR="00575A0F">
        <w:rPr>
          <w:color w:val="000000" w:themeColor="text1"/>
          <w:szCs w:val="22"/>
          <w:lang w:val="fr-CA"/>
        </w:rPr>
        <w:t xml:space="preserve">omies et toutes les sociétés. Une </w:t>
      </w:r>
      <w:r w:rsidRPr="00720E01">
        <w:rPr>
          <w:color w:val="000000" w:themeColor="text1"/>
          <w:szCs w:val="22"/>
          <w:lang w:val="fr-CA"/>
        </w:rPr>
        <w:t>approche stratégique de mobilisation des ressources comprend donc trois éléments</w:t>
      </w:r>
      <w:r w:rsidR="004C3F94">
        <w:rPr>
          <w:color w:val="000000" w:themeColor="text1"/>
          <w:szCs w:val="22"/>
          <w:lang w:val="fr-CA"/>
        </w:rPr>
        <w:t> </w:t>
      </w:r>
      <w:r w:rsidR="0072144E" w:rsidRPr="00720E01">
        <w:rPr>
          <w:color w:val="000000" w:themeColor="text1"/>
          <w:szCs w:val="22"/>
          <w:lang w:val="fr-CA"/>
        </w:rPr>
        <w:t>:</w:t>
      </w:r>
    </w:p>
    <w:p w14:paraId="67739987" w14:textId="29D2E77B" w:rsidR="0072144E" w:rsidRPr="00720E01" w:rsidRDefault="002C050E" w:rsidP="002C050E">
      <w:pPr>
        <w:pStyle w:val="Paragraphedeliste"/>
        <w:numPr>
          <w:ilvl w:val="0"/>
          <w:numId w:val="12"/>
        </w:numPr>
        <w:spacing w:after="120"/>
        <w:contextualSpacing w:val="0"/>
        <w:rPr>
          <w:snapToGrid w:val="0"/>
          <w:kern w:val="22"/>
          <w:szCs w:val="22"/>
          <w:lang w:val="fr-CA"/>
        </w:rPr>
      </w:pPr>
      <w:r w:rsidRPr="00720E01">
        <w:rPr>
          <w:snapToGrid w:val="0"/>
          <w:kern w:val="22"/>
          <w:szCs w:val="22"/>
          <w:lang w:val="fr-CA"/>
        </w:rPr>
        <w:t xml:space="preserve">Réduire ou rediriger les ressources </w:t>
      </w:r>
      <w:r w:rsidR="002F3587" w:rsidRPr="00720E01">
        <w:rPr>
          <w:snapToGrid w:val="0"/>
          <w:kern w:val="22"/>
          <w:szCs w:val="22"/>
          <w:lang w:val="fr-CA"/>
        </w:rPr>
        <w:t>nuisibles pour</w:t>
      </w:r>
      <w:r w:rsidRPr="00720E01">
        <w:rPr>
          <w:snapToGrid w:val="0"/>
          <w:kern w:val="22"/>
          <w:szCs w:val="22"/>
          <w:lang w:val="fr-CA"/>
        </w:rPr>
        <w:t xml:space="preserve"> la biodiversité</w:t>
      </w:r>
      <w:r w:rsidR="004C3F94">
        <w:rPr>
          <w:snapToGrid w:val="0"/>
          <w:kern w:val="22"/>
          <w:szCs w:val="22"/>
          <w:lang w:val="fr-CA"/>
        </w:rPr>
        <w:t> </w:t>
      </w:r>
      <w:r w:rsidR="002A6AE7" w:rsidRPr="00720E01">
        <w:rPr>
          <w:snapToGrid w:val="0"/>
          <w:kern w:val="22"/>
          <w:szCs w:val="22"/>
          <w:lang w:val="fr-CA"/>
        </w:rPr>
        <w:t>;</w:t>
      </w:r>
    </w:p>
    <w:p w14:paraId="58D5D052" w14:textId="7EA3C999" w:rsidR="0072144E" w:rsidRPr="00720E01" w:rsidRDefault="002C050E" w:rsidP="00304215">
      <w:pPr>
        <w:pStyle w:val="Paragraphedeliste"/>
        <w:numPr>
          <w:ilvl w:val="0"/>
          <w:numId w:val="12"/>
        </w:numPr>
        <w:spacing w:after="120"/>
        <w:ind w:left="0" w:firstLine="720"/>
        <w:contextualSpacing w:val="0"/>
        <w:rPr>
          <w:snapToGrid w:val="0"/>
          <w:kern w:val="22"/>
          <w:szCs w:val="22"/>
          <w:lang w:val="fr-CA"/>
        </w:rPr>
      </w:pPr>
      <w:r w:rsidRPr="00720E01">
        <w:rPr>
          <w:snapToGrid w:val="0"/>
          <w:kern w:val="22"/>
          <w:szCs w:val="22"/>
          <w:lang w:val="fr-CA"/>
        </w:rPr>
        <w:t>Créer des ressources supplémentaires de toutes les sources afin de réaliser les trois objectifs de la Convention</w:t>
      </w:r>
      <w:r w:rsidR="004C3F94">
        <w:rPr>
          <w:snapToGrid w:val="0"/>
          <w:kern w:val="22"/>
          <w:szCs w:val="22"/>
          <w:lang w:val="fr-CA"/>
        </w:rPr>
        <w:t> </w:t>
      </w:r>
      <w:r w:rsidR="002A6AE7" w:rsidRPr="00720E01">
        <w:rPr>
          <w:snapToGrid w:val="0"/>
          <w:kern w:val="22"/>
          <w:szCs w:val="22"/>
          <w:lang w:val="fr-CA"/>
        </w:rPr>
        <w:t>;</w:t>
      </w:r>
    </w:p>
    <w:p w14:paraId="1DA5B26F" w14:textId="0848583B" w:rsidR="0072144E" w:rsidRPr="00720E01" w:rsidRDefault="002C050E" w:rsidP="00304215">
      <w:pPr>
        <w:pStyle w:val="Paragraphedeliste"/>
        <w:numPr>
          <w:ilvl w:val="0"/>
          <w:numId w:val="12"/>
        </w:numPr>
        <w:spacing w:after="120"/>
        <w:ind w:left="0" w:firstLine="720"/>
        <w:contextualSpacing w:val="0"/>
        <w:rPr>
          <w:snapToGrid w:val="0"/>
          <w:kern w:val="22"/>
          <w:szCs w:val="22"/>
          <w:lang w:val="fr-CA"/>
        </w:rPr>
      </w:pPr>
      <w:r w:rsidRPr="00720E01">
        <w:rPr>
          <w:snapToGrid w:val="0"/>
          <w:kern w:val="22"/>
          <w:szCs w:val="22"/>
          <w:lang w:val="fr-CA"/>
        </w:rPr>
        <w:t>Améliorer l’efficacité et l’efficience de l’utilisation des ressources</w:t>
      </w:r>
      <w:r w:rsidR="0072144E" w:rsidRPr="00720E01">
        <w:rPr>
          <w:snapToGrid w:val="0"/>
          <w:kern w:val="22"/>
          <w:szCs w:val="22"/>
          <w:lang w:val="fr-CA"/>
        </w:rPr>
        <w:t>.</w:t>
      </w:r>
    </w:p>
    <w:p w14:paraId="43AD8293" w14:textId="6FF81BBA" w:rsidR="0072144E" w:rsidRPr="00720E01" w:rsidRDefault="0032748D" w:rsidP="00304215">
      <w:pPr>
        <w:pStyle w:val="Paragraphedeliste"/>
        <w:keepNext/>
        <w:numPr>
          <w:ilvl w:val="0"/>
          <w:numId w:val="7"/>
        </w:numPr>
        <w:spacing w:before="240" w:after="120"/>
        <w:ind w:left="720"/>
        <w:contextualSpacing w:val="0"/>
        <w:jc w:val="center"/>
        <w:outlineLvl w:val="2"/>
        <w:rPr>
          <w:b/>
          <w:bCs/>
          <w:caps/>
          <w:lang w:val="fr-CA"/>
        </w:rPr>
      </w:pPr>
      <w:r w:rsidRPr="00720E01">
        <w:rPr>
          <w:b/>
          <w:bCs/>
          <w:caps/>
          <w:lang w:val="fr-CA"/>
        </w:rPr>
        <w:lastRenderedPageBreak/>
        <w:t>PRINCIPES directeurs</w:t>
      </w:r>
    </w:p>
    <w:p w14:paraId="5FFDB871" w14:textId="1CA90340" w:rsidR="0072144E" w:rsidRPr="00720E01" w:rsidRDefault="0032748D" w:rsidP="00304215">
      <w:pPr>
        <w:pStyle w:val="Paragraphedeliste"/>
        <w:numPr>
          <w:ilvl w:val="0"/>
          <w:numId w:val="8"/>
        </w:numPr>
        <w:tabs>
          <w:tab w:val="clear" w:pos="360"/>
        </w:tabs>
        <w:spacing w:after="120"/>
        <w:contextualSpacing w:val="0"/>
        <w:rPr>
          <w:snapToGrid w:val="0"/>
          <w:kern w:val="22"/>
          <w:szCs w:val="22"/>
          <w:lang w:val="fr-CA"/>
        </w:rPr>
      </w:pPr>
      <w:r w:rsidRPr="00720E01">
        <w:rPr>
          <w:snapToGrid w:val="0"/>
          <w:kern w:val="22"/>
          <w:szCs w:val="22"/>
          <w:lang w:val="fr-CA"/>
        </w:rPr>
        <w:t xml:space="preserve">Deux questions intersectorielles sont extrêmement pertinentes aux activités de mobilisation des ressources. Premièrement, le changement </w:t>
      </w:r>
      <w:r w:rsidR="00575A0F">
        <w:rPr>
          <w:snapToGrid w:val="0"/>
          <w:kern w:val="22"/>
          <w:szCs w:val="22"/>
          <w:lang w:val="fr-CA"/>
        </w:rPr>
        <w:t>profond</w:t>
      </w:r>
      <w:r w:rsidRPr="00720E01">
        <w:rPr>
          <w:snapToGrid w:val="0"/>
          <w:kern w:val="22"/>
          <w:szCs w:val="22"/>
          <w:lang w:val="fr-CA"/>
        </w:rPr>
        <w:t xml:space="preserve"> dont il est question ci-dessus doit être inclusif et équitable</w:t>
      </w:r>
      <w:r w:rsidR="00626BCA" w:rsidRPr="00720E01">
        <w:rPr>
          <w:snapToGrid w:val="0"/>
          <w:kern w:val="22"/>
          <w:szCs w:val="22"/>
          <w:lang w:val="fr-CA"/>
        </w:rPr>
        <w:t xml:space="preserve">. Deuxièmement, il existe des liens importants et une possibilité élevée </w:t>
      </w:r>
      <w:r w:rsidR="008B114A">
        <w:rPr>
          <w:snapToGrid w:val="0"/>
          <w:kern w:val="22"/>
          <w:szCs w:val="22"/>
          <w:lang w:val="fr-CA"/>
        </w:rPr>
        <w:t>d’</w:t>
      </w:r>
      <w:proofErr w:type="spellStart"/>
      <w:r w:rsidR="008B114A">
        <w:rPr>
          <w:snapToGrid w:val="0"/>
          <w:kern w:val="22"/>
          <w:szCs w:val="22"/>
          <w:lang w:val="fr-CA"/>
        </w:rPr>
        <w:t>interfécondation</w:t>
      </w:r>
      <w:proofErr w:type="spellEnd"/>
      <w:r w:rsidR="00626BCA" w:rsidRPr="00720E01">
        <w:rPr>
          <w:snapToGrid w:val="0"/>
          <w:kern w:val="22"/>
          <w:szCs w:val="22"/>
          <w:lang w:val="fr-CA"/>
        </w:rPr>
        <w:t xml:space="preserve"> dans les activités visant à intégrer la biodiversité dans les gouvernements, les économies et les sociétés, les objectifs connexes du cadre mondial de la biodiversité pour l</w:t>
      </w:r>
      <w:r w:rsidR="004C3F94">
        <w:rPr>
          <w:snapToGrid w:val="0"/>
          <w:kern w:val="22"/>
          <w:szCs w:val="22"/>
          <w:lang w:val="fr-CA"/>
        </w:rPr>
        <w:t>’</w:t>
      </w:r>
      <w:r w:rsidR="00626BCA" w:rsidRPr="00720E01">
        <w:rPr>
          <w:snapToGrid w:val="0"/>
          <w:kern w:val="22"/>
          <w:szCs w:val="22"/>
          <w:lang w:val="fr-CA"/>
        </w:rPr>
        <w:t>après-2020 et l’orientation indicative de la stratégie à long terme d’intégration et son plan d’action</w:t>
      </w:r>
      <w:r w:rsidR="005149F9" w:rsidRPr="00720E01">
        <w:rPr>
          <w:snapToGrid w:val="0"/>
          <w:kern w:val="22"/>
          <w:szCs w:val="22"/>
          <w:lang w:val="fr-CA"/>
        </w:rPr>
        <w:t>.</w:t>
      </w:r>
      <w:r w:rsidR="005149F9" w:rsidRPr="00720E01">
        <w:rPr>
          <w:rStyle w:val="Appelnotedebasdep"/>
          <w:snapToGrid w:val="0"/>
          <w:kern w:val="22"/>
          <w:szCs w:val="22"/>
          <w:lang w:val="fr-CA"/>
        </w:rPr>
        <w:footnoteReference w:id="19"/>
      </w:r>
    </w:p>
    <w:p w14:paraId="5A1F8115" w14:textId="2BC6BD3B" w:rsidR="0072144E" w:rsidRPr="00720E01" w:rsidRDefault="00626BCA" w:rsidP="00304215">
      <w:pPr>
        <w:pStyle w:val="Paragraphedeliste"/>
        <w:numPr>
          <w:ilvl w:val="0"/>
          <w:numId w:val="8"/>
        </w:numPr>
        <w:tabs>
          <w:tab w:val="clear" w:pos="360"/>
        </w:tabs>
        <w:spacing w:after="120"/>
        <w:contextualSpacing w:val="0"/>
        <w:rPr>
          <w:snapToGrid w:val="0"/>
          <w:kern w:val="22"/>
          <w:szCs w:val="22"/>
          <w:lang w:val="fr-CA"/>
        </w:rPr>
      </w:pPr>
      <w:r w:rsidRPr="00720E01">
        <w:rPr>
          <w:color w:val="000000" w:themeColor="text1"/>
          <w:szCs w:val="22"/>
          <w:lang w:val="fr-CA"/>
        </w:rPr>
        <w:t xml:space="preserve">Tous les facteurs sociétaux jouent un rôle dans la mobilisation des ressources : </w:t>
      </w:r>
      <w:r w:rsidR="007D2BC2">
        <w:rPr>
          <w:color w:val="000000" w:themeColor="text1"/>
          <w:szCs w:val="22"/>
          <w:lang w:val="fr-CA"/>
        </w:rPr>
        <w:t xml:space="preserve">a) </w:t>
      </w:r>
      <w:r w:rsidRPr="00720E01">
        <w:rPr>
          <w:color w:val="000000" w:themeColor="text1"/>
          <w:szCs w:val="22"/>
          <w:lang w:val="fr-CA"/>
        </w:rPr>
        <w:t>les gouvernements nationaux et infranationaux adoptent</w:t>
      </w:r>
      <w:r w:rsidR="007C4171">
        <w:rPr>
          <w:color w:val="000000" w:themeColor="text1"/>
          <w:szCs w:val="22"/>
          <w:lang w:val="fr-CA"/>
        </w:rPr>
        <w:t xml:space="preserve"> des politiques de facilitation</w:t>
      </w:r>
      <w:r w:rsidR="00513E9E" w:rsidRPr="00720E01">
        <w:rPr>
          <w:color w:val="000000" w:themeColor="text1"/>
          <w:szCs w:val="22"/>
          <w:lang w:val="fr-CA"/>
        </w:rPr>
        <w:t xml:space="preserve"> et</w:t>
      </w:r>
      <w:r w:rsidRPr="00720E01">
        <w:rPr>
          <w:color w:val="000000" w:themeColor="text1"/>
          <w:szCs w:val="22"/>
          <w:lang w:val="fr-CA"/>
        </w:rPr>
        <w:t xml:space="preserve"> mettent en place des capacités et de</w:t>
      </w:r>
      <w:r w:rsidR="00995251">
        <w:rPr>
          <w:color w:val="000000" w:themeColor="text1"/>
          <w:szCs w:val="22"/>
          <w:lang w:val="fr-CA"/>
        </w:rPr>
        <w:t>s</w:t>
      </w:r>
      <w:r w:rsidRPr="00720E01">
        <w:rPr>
          <w:color w:val="000000" w:themeColor="text1"/>
          <w:szCs w:val="22"/>
          <w:lang w:val="fr-CA"/>
        </w:rPr>
        <w:t xml:space="preserve"> mécanismes de financement, nationaux et internationaux</w:t>
      </w:r>
      <w:r w:rsidR="004B0114">
        <w:rPr>
          <w:color w:val="000000" w:themeColor="text1"/>
          <w:szCs w:val="22"/>
          <w:lang w:val="fr-CA"/>
        </w:rPr>
        <w:t>,</w:t>
      </w:r>
      <w:r w:rsidRPr="00720E01">
        <w:rPr>
          <w:color w:val="000000" w:themeColor="text1"/>
          <w:szCs w:val="22"/>
          <w:lang w:val="fr-CA"/>
        </w:rPr>
        <w:t xml:space="preserve"> </w:t>
      </w:r>
      <w:r w:rsidR="004B0114">
        <w:rPr>
          <w:color w:val="000000" w:themeColor="text1"/>
          <w:szCs w:val="22"/>
          <w:lang w:val="fr-CA"/>
        </w:rPr>
        <w:t>b</w:t>
      </w:r>
      <w:r w:rsidR="007D2BC2">
        <w:rPr>
          <w:color w:val="000000" w:themeColor="text1"/>
          <w:szCs w:val="22"/>
          <w:lang w:val="fr-CA"/>
        </w:rPr>
        <w:t xml:space="preserve">) </w:t>
      </w:r>
      <w:r w:rsidR="00513E9E" w:rsidRPr="00720E01">
        <w:rPr>
          <w:color w:val="000000" w:themeColor="text1"/>
          <w:szCs w:val="22"/>
          <w:lang w:val="fr-CA"/>
        </w:rPr>
        <w:t xml:space="preserve">les secteurs des </w:t>
      </w:r>
      <w:r w:rsidR="007D2BC2">
        <w:rPr>
          <w:color w:val="000000" w:themeColor="text1"/>
          <w:szCs w:val="22"/>
          <w:lang w:val="fr-CA"/>
        </w:rPr>
        <w:t>affaires</w:t>
      </w:r>
      <w:r w:rsidR="00513E9E" w:rsidRPr="00720E01">
        <w:rPr>
          <w:color w:val="000000" w:themeColor="text1"/>
          <w:szCs w:val="22"/>
          <w:lang w:val="fr-CA"/>
        </w:rPr>
        <w:t xml:space="preserve"> et financier </w:t>
      </w:r>
      <w:r w:rsidR="007C4171">
        <w:rPr>
          <w:color w:val="000000" w:themeColor="text1"/>
          <w:szCs w:val="22"/>
          <w:lang w:val="fr-CA"/>
        </w:rPr>
        <w:t>intensifient</w:t>
      </w:r>
      <w:r w:rsidR="00513E9E" w:rsidRPr="00720E01">
        <w:rPr>
          <w:color w:val="000000" w:themeColor="text1"/>
          <w:szCs w:val="22"/>
          <w:lang w:val="fr-CA"/>
        </w:rPr>
        <w:t xml:space="preserve"> et augmentent les impacts positifs des investissements sur la biodiversité tout en réduisant les dépenses ayant des impacts négatifs et </w:t>
      </w:r>
      <w:r w:rsidR="007D2BC2">
        <w:rPr>
          <w:color w:val="000000" w:themeColor="text1"/>
          <w:szCs w:val="22"/>
          <w:lang w:val="fr-CA"/>
        </w:rPr>
        <w:t xml:space="preserve">c) </w:t>
      </w:r>
      <w:r w:rsidR="00513E9E" w:rsidRPr="00720E01">
        <w:rPr>
          <w:color w:val="000000" w:themeColor="text1"/>
          <w:szCs w:val="22"/>
          <w:lang w:val="fr-CA"/>
        </w:rPr>
        <w:t>le secteur du financement international pour le développement fournit le financement, le soutien technique et le renforcement des capacités. De plus, le</w:t>
      </w:r>
      <w:r w:rsidR="00177751" w:rsidRPr="00720E01">
        <w:rPr>
          <w:color w:val="000000" w:themeColor="text1"/>
          <w:szCs w:val="22"/>
          <w:lang w:val="fr-CA"/>
        </w:rPr>
        <w:t>s contributions de</w:t>
      </w:r>
      <w:r w:rsidR="007C4171">
        <w:rPr>
          <w:color w:val="000000" w:themeColor="text1"/>
          <w:szCs w:val="22"/>
          <w:lang w:val="fr-CA"/>
        </w:rPr>
        <w:t>s</w:t>
      </w:r>
      <w:r w:rsidR="00177751" w:rsidRPr="00720E01">
        <w:rPr>
          <w:color w:val="000000" w:themeColor="text1"/>
          <w:szCs w:val="22"/>
          <w:lang w:val="fr-CA"/>
        </w:rPr>
        <w:t xml:space="preserve"> ressources non financières des peuples autochtones et des communautés locales, agissant en qualité de gardiens de la biodiversité, ainsi que </w:t>
      </w:r>
      <w:r w:rsidR="00396BE8">
        <w:rPr>
          <w:color w:val="000000" w:themeColor="text1"/>
          <w:szCs w:val="22"/>
          <w:lang w:val="fr-CA"/>
        </w:rPr>
        <w:t xml:space="preserve">celles </w:t>
      </w:r>
      <w:r w:rsidR="00177751" w:rsidRPr="00720E01">
        <w:rPr>
          <w:color w:val="000000" w:themeColor="text1"/>
          <w:szCs w:val="22"/>
          <w:lang w:val="fr-CA"/>
        </w:rPr>
        <w:t>de la société civile, doivent être reconnues à part entière</w:t>
      </w:r>
      <w:r w:rsidR="004D61D9" w:rsidRPr="00720E01">
        <w:rPr>
          <w:lang w:val="fr-CA"/>
        </w:rPr>
        <w:t>.</w:t>
      </w:r>
      <w:r w:rsidR="004D61D9" w:rsidRPr="00720E01">
        <w:rPr>
          <w:rStyle w:val="Appelnotedebasdep"/>
          <w:lang w:val="fr-CA"/>
        </w:rPr>
        <w:footnoteReference w:id="20"/>
      </w:r>
    </w:p>
    <w:p w14:paraId="14FDEB0B" w14:textId="7E94A103" w:rsidR="0072144E" w:rsidRPr="00720E01" w:rsidRDefault="00177751" w:rsidP="00304215">
      <w:pPr>
        <w:pStyle w:val="Paragraphedeliste"/>
        <w:numPr>
          <w:ilvl w:val="0"/>
          <w:numId w:val="8"/>
        </w:numPr>
        <w:tabs>
          <w:tab w:val="clear" w:pos="360"/>
        </w:tabs>
        <w:spacing w:after="120"/>
        <w:contextualSpacing w:val="0"/>
        <w:rPr>
          <w:lang w:val="fr-CA"/>
        </w:rPr>
      </w:pPr>
      <w:r w:rsidRPr="00720E01">
        <w:rPr>
          <w:lang w:val="fr-CA"/>
        </w:rPr>
        <w:t xml:space="preserve">Une attention particulière doit être accordée aux principes directeurs ci-dessous lors de la réalisation des objectifs </w:t>
      </w:r>
      <w:r w:rsidR="007C4171">
        <w:rPr>
          <w:lang w:val="fr-CA"/>
        </w:rPr>
        <w:t>suivants</w:t>
      </w:r>
      <w:r w:rsidR="004C3F94">
        <w:rPr>
          <w:lang w:val="fr-CA"/>
        </w:rPr>
        <w:t> </w:t>
      </w:r>
      <w:r w:rsidR="0072144E" w:rsidRPr="00720E01">
        <w:rPr>
          <w:lang w:val="fr-CA"/>
        </w:rPr>
        <w:t>:</w:t>
      </w:r>
    </w:p>
    <w:p w14:paraId="6C2EBF10" w14:textId="26F1FA1C" w:rsidR="0072144E" w:rsidRPr="00720E01" w:rsidRDefault="00177751" w:rsidP="00177751">
      <w:pPr>
        <w:pStyle w:val="Paragraphedeliste"/>
        <w:numPr>
          <w:ilvl w:val="0"/>
          <w:numId w:val="10"/>
        </w:numPr>
        <w:spacing w:after="120"/>
        <w:ind w:left="1440" w:hanging="720"/>
        <w:contextualSpacing w:val="0"/>
        <w:rPr>
          <w:lang w:val="fr-CA"/>
        </w:rPr>
      </w:pPr>
      <w:r w:rsidRPr="00720E01">
        <w:rPr>
          <w:lang w:val="fr-CA"/>
        </w:rPr>
        <w:t>Être axé sur les résultats</w:t>
      </w:r>
      <w:r w:rsidR="004C3F94">
        <w:rPr>
          <w:lang w:val="fr-CA"/>
        </w:rPr>
        <w:t> </w:t>
      </w:r>
      <w:r w:rsidR="0072144E" w:rsidRPr="00720E01">
        <w:rPr>
          <w:lang w:val="fr-CA"/>
        </w:rPr>
        <w:t>;</w:t>
      </w:r>
    </w:p>
    <w:p w14:paraId="5864C03F" w14:textId="3534862E" w:rsidR="0072144E" w:rsidRPr="00720E01" w:rsidRDefault="00177751" w:rsidP="00304215">
      <w:pPr>
        <w:pStyle w:val="Paragraphedeliste"/>
        <w:numPr>
          <w:ilvl w:val="0"/>
          <w:numId w:val="10"/>
        </w:numPr>
        <w:spacing w:after="120"/>
        <w:ind w:left="0" w:firstLine="720"/>
        <w:contextualSpacing w:val="0"/>
        <w:rPr>
          <w:lang w:val="fr-CA"/>
        </w:rPr>
      </w:pPr>
      <w:r w:rsidRPr="00720E01">
        <w:rPr>
          <w:lang w:val="fr-CA"/>
        </w:rPr>
        <w:t>Promouvoir l’efficacité et l’efficience</w:t>
      </w:r>
      <w:r w:rsidR="004C3F94">
        <w:rPr>
          <w:lang w:val="fr-CA"/>
        </w:rPr>
        <w:t> </w:t>
      </w:r>
      <w:r w:rsidR="0072144E" w:rsidRPr="00720E01">
        <w:rPr>
          <w:lang w:val="fr-CA"/>
        </w:rPr>
        <w:t>;</w:t>
      </w:r>
    </w:p>
    <w:p w14:paraId="2C301F68" w14:textId="3B0C6369" w:rsidR="0072144E" w:rsidRPr="00720E01" w:rsidRDefault="00177751" w:rsidP="00304215">
      <w:pPr>
        <w:pStyle w:val="Paragraphedeliste"/>
        <w:numPr>
          <w:ilvl w:val="0"/>
          <w:numId w:val="10"/>
        </w:numPr>
        <w:spacing w:after="120"/>
        <w:ind w:left="0" w:firstLine="720"/>
        <w:contextualSpacing w:val="0"/>
        <w:rPr>
          <w:lang w:val="fr-CA"/>
        </w:rPr>
      </w:pPr>
      <w:r w:rsidRPr="00720E01">
        <w:rPr>
          <w:lang w:val="fr-CA"/>
        </w:rPr>
        <w:t>Bâti</w:t>
      </w:r>
      <w:r w:rsidR="007C4171">
        <w:rPr>
          <w:lang w:val="fr-CA"/>
        </w:rPr>
        <w:t>r</w:t>
      </w:r>
      <w:r w:rsidRPr="00720E01">
        <w:rPr>
          <w:lang w:val="fr-CA"/>
        </w:rPr>
        <w:t xml:space="preserve"> des partenariats et des synergies</w:t>
      </w:r>
      <w:r w:rsidR="004C3F94">
        <w:rPr>
          <w:lang w:val="fr-CA"/>
        </w:rPr>
        <w:t> </w:t>
      </w:r>
      <w:r w:rsidR="0072144E" w:rsidRPr="00720E01">
        <w:rPr>
          <w:lang w:val="fr-CA"/>
        </w:rPr>
        <w:t>;</w:t>
      </w:r>
    </w:p>
    <w:p w14:paraId="4D31AF8C" w14:textId="654E7EAC" w:rsidR="0072144E" w:rsidRPr="00720E01" w:rsidRDefault="00177751" w:rsidP="00304215">
      <w:pPr>
        <w:pStyle w:val="Paragraphedeliste"/>
        <w:numPr>
          <w:ilvl w:val="0"/>
          <w:numId w:val="10"/>
        </w:numPr>
        <w:spacing w:after="120"/>
        <w:ind w:left="0" w:firstLine="720"/>
        <w:contextualSpacing w:val="0"/>
        <w:rPr>
          <w:lang w:val="fr-CA"/>
        </w:rPr>
      </w:pPr>
      <w:r w:rsidRPr="00720E01">
        <w:rPr>
          <w:lang w:val="fr-CA"/>
        </w:rPr>
        <w:t>Soutenir l’innovation</w:t>
      </w:r>
      <w:r w:rsidR="004C3F94">
        <w:rPr>
          <w:lang w:val="fr-CA"/>
        </w:rPr>
        <w:t> </w:t>
      </w:r>
      <w:r w:rsidR="0072144E" w:rsidRPr="00720E01">
        <w:rPr>
          <w:lang w:val="fr-CA"/>
        </w:rPr>
        <w:t>;</w:t>
      </w:r>
    </w:p>
    <w:p w14:paraId="062874BD" w14:textId="0F5E69EC" w:rsidR="0072144E" w:rsidRPr="00720E01" w:rsidRDefault="00177751" w:rsidP="00304215">
      <w:pPr>
        <w:pStyle w:val="Paragraphedeliste"/>
        <w:numPr>
          <w:ilvl w:val="0"/>
          <w:numId w:val="10"/>
        </w:numPr>
        <w:spacing w:after="120"/>
        <w:ind w:left="0" w:firstLine="720"/>
        <w:contextualSpacing w:val="0"/>
        <w:rPr>
          <w:lang w:val="fr-CA"/>
        </w:rPr>
      </w:pPr>
      <w:r w:rsidRPr="00720E01">
        <w:rPr>
          <w:lang w:val="fr-CA"/>
        </w:rPr>
        <w:t>Renforcer les capacités et la gouvernance</w:t>
      </w:r>
      <w:r w:rsidR="004C3F94">
        <w:rPr>
          <w:lang w:val="fr-CA"/>
        </w:rPr>
        <w:t> </w:t>
      </w:r>
      <w:r w:rsidR="0072144E" w:rsidRPr="00720E01">
        <w:rPr>
          <w:lang w:val="fr-CA"/>
        </w:rPr>
        <w:t>;</w:t>
      </w:r>
    </w:p>
    <w:p w14:paraId="59133932" w14:textId="3412499E" w:rsidR="0072144E" w:rsidRPr="00720E01" w:rsidRDefault="0053256A" w:rsidP="00304215">
      <w:pPr>
        <w:pStyle w:val="Paragraphedeliste"/>
        <w:numPr>
          <w:ilvl w:val="0"/>
          <w:numId w:val="10"/>
        </w:numPr>
        <w:spacing w:after="120"/>
        <w:ind w:left="0" w:firstLine="720"/>
        <w:contextualSpacing w:val="0"/>
        <w:rPr>
          <w:lang w:val="fr-CA"/>
        </w:rPr>
      </w:pPr>
      <w:r w:rsidRPr="00720E01">
        <w:rPr>
          <w:lang w:val="fr-CA"/>
        </w:rPr>
        <w:t>Sensibiliser</w:t>
      </w:r>
      <w:r w:rsidR="004C3F94">
        <w:rPr>
          <w:lang w:val="fr-CA"/>
        </w:rPr>
        <w:t> </w:t>
      </w:r>
      <w:r w:rsidR="0072144E" w:rsidRPr="00720E01">
        <w:rPr>
          <w:lang w:val="fr-CA"/>
        </w:rPr>
        <w:t>;</w:t>
      </w:r>
    </w:p>
    <w:p w14:paraId="51861864" w14:textId="3C9F05CB" w:rsidR="0072144E" w:rsidRPr="00720E01" w:rsidRDefault="0053256A" w:rsidP="00304215">
      <w:pPr>
        <w:pStyle w:val="Paragraphedeliste"/>
        <w:numPr>
          <w:ilvl w:val="0"/>
          <w:numId w:val="10"/>
        </w:numPr>
        <w:spacing w:after="120"/>
        <w:ind w:left="0" w:firstLine="720"/>
        <w:contextualSpacing w:val="0"/>
        <w:rPr>
          <w:lang w:val="fr-CA"/>
        </w:rPr>
      </w:pPr>
      <w:r w:rsidRPr="00720E01">
        <w:rPr>
          <w:lang w:val="fr-CA"/>
        </w:rPr>
        <w:t>Tenir compte du genre, de la jeunesse, des peuples autochtones et des communautés locales, et des perspectives socioéconomiques</w:t>
      </w:r>
      <w:r w:rsidR="004C3F94">
        <w:rPr>
          <w:lang w:val="fr-CA"/>
        </w:rPr>
        <w:t> </w:t>
      </w:r>
      <w:r w:rsidR="0072144E" w:rsidRPr="00720E01">
        <w:rPr>
          <w:lang w:val="fr-CA"/>
        </w:rPr>
        <w:t>;</w:t>
      </w:r>
    </w:p>
    <w:p w14:paraId="20629D61" w14:textId="50545345" w:rsidR="0072144E" w:rsidRPr="00720E01" w:rsidRDefault="0053256A" w:rsidP="00304215">
      <w:pPr>
        <w:pStyle w:val="Paragraphedeliste"/>
        <w:numPr>
          <w:ilvl w:val="0"/>
          <w:numId w:val="10"/>
        </w:numPr>
        <w:spacing w:after="120"/>
        <w:ind w:left="0" w:firstLine="720"/>
        <w:contextualSpacing w:val="0"/>
        <w:rPr>
          <w:lang w:val="fr-CA"/>
        </w:rPr>
      </w:pPr>
      <w:r w:rsidRPr="00720E01">
        <w:rPr>
          <w:lang w:val="fr-CA"/>
        </w:rPr>
        <w:t>Tenir compte des synergies des programmes</w:t>
      </w:r>
      <w:r w:rsidR="007C4171">
        <w:rPr>
          <w:lang w:val="fr-CA"/>
        </w:rPr>
        <w:t>,</w:t>
      </w:r>
      <w:r w:rsidRPr="00720E01">
        <w:rPr>
          <w:lang w:val="fr-CA"/>
        </w:rPr>
        <w:t xml:space="preserve"> et du financement </w:t>
      </w:r>
      <w:r w:rsidR="007C4171">
        <w:rPr>
          <w:lang w:val="fr-CA"/>
        </w:rPr>
        <w:t>entre les conventions, surtout d</w:t>
      </w:r>
      <w:r w:rsidRPr="00720E01">
        <w:rPr>
          <w:lang w:val="fr-CA"/>
        </w:rPr>
        <w:t>es retombées pour le climat</w:t>
      </w:r>
      <w:r w:rsidR="0072144E" w:rsidRPr="00720E01">
        <w:rPr>
          <w:lang w:val="fr-CA"/>
        </w:rPr>
        <w:t>.</w:t>
      </w:r>
    </w:p>
    <w:p w14:paraId="5C688BB6" w14:textId="55AC7310" w:rsidR="0072144E" w:rsidRPr="00720E01" w:rsidRDefault="0053256A" w:rsidP="00304215">
      <w:pPr>
        <w:pStyle w:val="Paragraphedeliste"/>
        <w:keepNext/>
        <w:numPr>
          <w:ilvl w:val="0"/>
          <w:numId w:val="7"/>
        </w:numPr>
        <w:spacing w:before="240" w:after="120"/>
        <w:ind w:left="720"/>
        <w:contextualSpacing w:val="0"/>
        <w:jc w:val="center"/>
        <w:outlineLvl w:val="2"/>
        <w:rPr>
          <w:b/>
          <w:bCs/>
          <w:caps/>
          <w:lang w:val="fr-CA"/>
        </w:rPr>
      </w:pPr>
      <w:r w:rsidRPr="00720E01">
        <w:rPr>
          <w:b/>
          <w:bCs/>
          <w:caps/>
          <w:lang w:val="fr-CA"/>
        </w:rPr>
        <w:t>BUTS ET OBJEctifs stratégiques</w:t>
      </w:r>
    </w:p>
    <w:p w14:paraId="42277085" w14:textId="3A412104" w:rsidR="002D4773" w:rsidRPr="00720E01" w:rsidRDefault="0053256A" w:rsidP="00304215">
      <w:pPr>
        <w:pStyle w:val="Paragraphedeliste"/>
        <w:numPr>
          <w:ilvl w:val="0"/>
          <w:numId w:val="8"/>
        </w:numPr>
        <w:tabs>
          <w:tab w:val="clear" w:pos="360"/>
        </w:tabs>
        <w:spacing w:after="120"/>
        <w:contextualSpacing w:val="0"/>
        <w:rPr>
          <w:snapToGrid w:val="0"/>
          <w:kern w:val="22"/>
          <w:szCs w:val="22"/>
          <w:lang w:val="fr-CA"/>
        </w:rPr>
      </w:pPr>
      <w:r w:rsidRPr="00720E01">
        <w:rPr>
          <w:snapToGrid w:val="0"/>
          <w:kern w:val="22"/>
          <w:szCs w:val="22"/>
          <w:lang w:val="fr-CA"/>
        </w:rPr>
        <w:t>Le troisième rapport du groupe d’experts sur la mobilisation des ressources</w:t>
      </w:r>
      <w:r w:rsidR="007C4171">
        <w:rPr>
          <w:snapToGrid w:val="0"/>
          <w:kern w:val="22"/>
          <w:szCs w:val="22"/>
          <w:lang w:val="fr-CA"/>
        </w:rPr>
        <w:t xml:space="preserve"> </w:t>
      </w:r>
      <w:r w:rsidR="00862D51" w:rsidRPr="00720E01">
        <w:rPr>
          <w:snapToGrid w:val="0"/>
          <w:kern w:val="22"/>
          <w:szCs w:val="22"/>
          <w:lang w:val="fr-CA"/>
        </w:rPr>
        <w:t>(</w:t>
      </w:r>
      <w:r w:rsidR="002D4773" w:rsidRPr="00720E01">
        <w:rPr>
          <w:snapToGrid w:val="0"/>
          <w:kern w:val="22"/>
          <w:szCs w:val="22"/>
          <w:lang w:val="fr-CA"/>
        </w:rPr>
        <w:t>CBD/</w:t>
      </w:r>
      <w:proofErr w:type="spellStart"/>
      <w:r w:rsidR="002D4773" w:rsidRPr="00720E01">
        <w:rPr>
          <w:snapToGrid w:val="0"/>
          <w:kern w:val="22"/>
          <w:szCs w:val="22"/>
          <w:lang w:val="fr-CA"/>
        </w:rPr>
        <w:t>SBI</w:t>
      </w:r>
      <w:proofErr w:type="spellEnd"/>
      <w:r w:rsidR="002D4773" w:rsidRPr="00720E01">
        <w:rPr>
          <w:snapToGrid w:val="0"/>
          <w:kern w:val="22"/>
          <w:szCs w:val="22"/>
          <w:lang w:val="fr-CA"/>
        </w:rPr>
        <w:t>/3/5/Add.</w:t>
      </w:r>
      <w:r w:rsidR="00012607" w:rsidRPr="00720E01">
        <w:rPr>
          <w:snapToGrid w:val="0"/>
          <w:kern w:val="22"/>
          <w:szCs w:val="22"/>
          <w:lang w:val="fr-CA"/>
        </w:rPr>
        <w:t>3</w:t>
      </w:r>
      <w:r w:rsidR="00862D51" w:rsidRPr="00720E01">
        <w:rPr>
          <w:snapToGrid w:val="0"/>
          <w:kern w:val="22"/>
          <w:szCs w:val="22"/>
          <w:lang w:val="fr-CA"/>
        </w:rPr>
        <w:t>)</w:t>
      </w:r>
      <w:r w:rsidR="002D4773" w:rsidRPr="00720E01">
        <w:rPr>
          <w:snapToGrid w:val="0"/>
          <w:kern w:val="22"/>
          <w:szCs w:val="22"/>
          <w:lang w:val="fr-CA"/>
        </w:rPr>
        <w:t xml:space="preserve"> </w:t>
      </w:r>
      <w:r w:rsidR="007C4171">
        <w:rPr>
          <w:snapToGrid w:val="0"/>
          <w:kern w:val="22"/>
          <w:szCs w:val="22"/>
          <w:lang w:val="fr-CA"/>
        </w:rPr>
        <w:t>offre</w:t>
      </w:r>
      <w:r w:rsidRPr="00720E01">
        <w:rPr>
          <w:snapToGrid w:val="0"/>
          <w:kern w:val="22"/>
          <w:szCs w:val="22"/>
          <w:lang w:val="fr-CA"/>
        </w:rPr>
        <w:t xml:space="preserve"> une orientation axée sur l’action supplémentaire et des exemples de bonnes pratiques sur les moyens de mettre en œuvre les objectifs de la stratégie et les mesures principales ci-dessous</w:t>
      </w:r>
      <w:r w:rsidR="002D4773" w:rsidRPr="00720E01">
        <w:rPr>
          <w:snapToGrid w:val="0"/>
          <w:kern w:val="22"/>
          <w:szCs w:val="22"/>
          <w:lang w:val="fr-CA"/>
        </w:rPr>
        <w:t>.</w:t>
      </w:r>
    </w:p>
    <w:p w14:paraId="5A79F4B5" w14:textId="4886AD56" w:rsidR="0072144E" w:rsidRPr="00720E01" w:rsidRDefault="002F3587" w:rsidP="00323613">
      <w:pPr>
        <w:spacing w:after="120"/>
        <w:rPr>
          <w:b/>
          <w:bCs/>
          <w:lang w:val="fr-CA"/>
        </w:rPr>
      </w:pPr>
      <w:r w:rsidRPr="00720E01">
        <w:rPr>
          <w:b/>
          <w:bCs/>
          <w:snapToGrid w:val="0"/>
          <w:kern w:val="22"/>
          <w:szCs w:val="22"/>
          <w:lang w:val="fr-CA"/>
        </w:rPr>
        <w:t>Objectif stratégique 1 : Réduire ou rediriger les ressources nuisibles pour la biodiversité</w:t>
      </w:r>
    </w:p>
    <w:p w14:paraId="08246F24" w14:textId="21999F2C" w:rsidR="0072144E" w:rsidRPr="00720E01" w:rsidRDefault="002B5410" w:rsidP="00304215">
      <w:pPr>
        <w:pStyle w:val="Paragraphedeliste"/>
        <w:numPr>
          <w:ilvl w:val="0"/>
          <w:numId w:val="8"/>
        </w:numPr>
        <w:tabs>
          <w:tab w:val="clear" w:pos="360"/>
        </w:tabs>
        <w:spacing w:after="120"/>
        <w:contextualSpacing w:val="0"/>
        <w:rPr>
          <w:lang w:val="fr-CA"/>
        </w:rPr>
      </w:pPr>
      <w:r w:rsidRPr="00720E01">
        <w:rPr>
          <w:lang w:val="fr-CA"/>
        </w:rPr>
        <w:t xml:space="preserve">L’objectif cherche à aborder les principaux moteurs des activités et investissements nuisibles pour la diversité biologique au moyen de critères et de directives, et d’instruments de réglementation et économiques. </w:t>
      </w:r>
      <w:r w:rsidR="00CA507C" w:rsidRPr="00720E01">
        <w:rPr>
          <w:lang w:val="fr-CA"/>
        </w:rPr>
        <w:t xml:space="preserve">Il </w:t>
      </w:r>
      <w:r w:rsidR="008D2BE6">
        <w:rPr>
          <w:lang w:val="fr-CA"/>
        </w:rPr>
        <w:t>exige l’évitement, la réduction et la redirection d</w:t>
      </w:r>
      <w:r w:rsidR="00CA507C" w:rsidRPr="00720E01">
        <w:rPr>
          <w:lang w:val="fr-CA"/>
        </w:rPr>
        <w:t xml:space="preserve">es dépenses nuisibles pour la diversité biologique, dont les subventions nuisibles, </w:t>
      </w:r>
      <w:r w:rsidR="008D2BE6">
        <w:rPr>
          <w:lang w:val="fr-CA"/>
        </w:rPr>
        <w:t>afin de réduire</w:t>
      </w:r>
      <w:r w:rsidR="00CA507C" w:rsidRPr="00720E01">
        <w:rPr>
          <w:lang w:val="fr-CA"/>
        </w:rPr>
        <w:t xml:space="preserve"> le besoin de ressources supplémentaires pour conserver et restaurer la diversité biologique et l’uti</w:t>
      </w:r>
      <w:r w:rsidR="008D2BE6">
        <w:rPr>
          <w:lang w:val="fr-CA"/>
        </w:rPr>
        <w:t xml:space="preserve">liser de manière durable, et est donc </w:t>
      </w:r>
      <w:r w:rsidR="00CA507C" w:rsidRPr="00720E01">
        <w:rPr>
          <w:lang w:val="fr-CA"/>
        </w:rPr>
        <w:t xml:space="preserve">un complément important </w:t>
      </w:r>
      <w:r w:rsidR="008D2BE6">
        <w:rPr>
          <w:lang w:val="fr-CA"/>
        </w:rPr>
        <w:t>à</w:t>
      </w:r>
      <w:r w:rsidR="00CA507C" w:rsidRPr="00720E01">
        <w:rPr>
          <w:lang w:val="fr-CA"/>
        </w:rPr>
        <w:t xml:space="preserve"> l’objectif 2, ci-dessous. Voici les principales mesures envisagées</w:t>
      </w:r>
      <w:r w:rsidR="004C3F94">
        <w:rPr>
          <w:lang w:val="fr-CA"/>
        </w:rPr>
        <w:t> </w:t>
      </w:r>
      <w:r w:rsidR="0072144E" w:rsidRPr="00720E01">
        <w:rPr>
          <w:lang w:val="fr-CA"/>
        </w:rPr>
        <w:t>:</w:t>
      </w:r>
    </w:p>
    <w:p w14:paraId="78C87B5C" w14:textId="1D7C2F5B" w:rsidR="0072144E" w:rsidRPr="00720E01" w:rsidRDefault="0072144E" w:rsidP="00323613">
      <w:pPr>
        <w:tabs>
          <w:tab w:val="left" w:pos="703"/>
        </w:tabs>
        <w:spacing w:after="120"/>
        <w:ind w:left="720"/>
        <w:rPr>
          <w:lang w:val="fr-CA"/>
        </w:rPr>
      </w:pPr>
      <w:r w:rsidRPr="00720E01">
        <w:rPr>
          <w:lang w:val="fr-CA"/>
        </w:rPr>
        <w:t>1.1</w:t>
      </w:r>
      <w:r w:rsidRPr="00720E01">
        <w:rPr>
          <w:lang w:val="fr-CA"/>
        </w:rPr>
        <w:tab/>
      </w:r>
      <w:r w:rsidR="00CA507C" w:rsidRPr="00720E01">
        <w:rPr>
          <w:lang w:val="fr-CA"/>
        </w:rPr>
        <w:t>Réviser les budgets gouvernementaux, dans tous les secteurs et à tous les niveaux</w:t>
      </w:r>
      <w:r w:rsidR="00526076" w:rsidRPr="00720E01">
        <w:rPr>
          <w:lang w:val="fr-CA"/>
        </w:rPr>
        <w:t>, afin d’au moins éviter ou de réduire au minimum les dommages nets causés à la diversité biologique et aux écosystèmes</w:t>
      </w:r>
      <w:r w:rsidR="004C3F94">
        <w:rPr>
          <w:lang w:val="fr-CA"/>
        </w:rPr>
        <w:t> </w:t>
      </w:r>
      <w:r w:rsidR="00933EFE" w:rsidRPr="00720E01">
        <w:rPr>
          <w:lang w:val="fr-CA"/>
        </w:rPr>
        <w:t>;</w:t>
      </w:r>
    </w:p>
    <w:p w14:paraId="3E317CF8" w14:textId="70053CEB" w:rsidR="0072144E" w:rsidRPr="00720E01" w:rsidRDefault="0072144E" w:rsidP="00323613">
      <w:pPr>
        <w:tabs>
          <w:tab w:val="left" w:pos="703"/>
        </w:tabs>
        <w:spacing w:after="120"/>
        <w:ind w:left="720"/>
        <w:rPr>
          <w:lang w:val="fr-CA"/>
        </w:rPr>
      </w:pPr>
      <w:r w:rsidRPr="00720E01">
        <w:rPr>
          <w:lang w:val="fr-CA"/>
        </w:rPr>
        <w:lastRenderedPageBreak/>
        <w:t>1.2</w:t>
      </w:r>
      <w:r w:rsidRPr="00720E01">
        <w:rPr>
          <w:lang w:val="fr-CA"/>
        </w:rPr>
        <w:tab/>
      </w:r>
      <w:r w:rsidR="00526076" w:rsidRPr="00720E01">
        <w:rPr>
          <w:lang w:val="fr-CA"/>
        </w:rPr>
        <w:t>Éliminer, réduire progressivement ou réformer les mesures d’encouragement, dont les subventions, qui nuisent à la diversité biologique</w:t>
      </w:r>
      <w:r w:rsidR="004C3F94">
        <w:rPr>
          <w:lang w:val="fr-CA"/>
        </w:rPr>
        <w:t> </w:t>
      </w:r>
      <w:r w:rsidR="00526076" w:rsidRPr="00720E01">
        <w:rPr>
          <w:lang w:val="fr-CA"/>
        </w:rPr>
        <w:t>; élaborer et adapter les moyens</w:t>
      </w:r>
      <w:r w:rsidR="002505E6" w:rsidRPr="00720E01">
        <w:rPr>
          <w:lang w:val="fr-CA"/>
        </w:rPr>
        <w:t xml:space="preserve"> de dissuasion à l’égard des mesures qui nuisent à la diversité biologique, et développer et adapter les mesures d’encouragement afin de favoriser les mesures positives pour la biodiversité, </w:t>
      </w:r>
      <w:r w:rsidR="00CC0416" w:rsidRPr="00720E01">
        <w:rPr>
          <w:lang w:val="fr-CA"/>
        </w:rPr>
        <w:t>conformément et en harmonie avec la Convention et les autres obligations internationales pertinentes, en tenant compte de la situation socioéconomique du pays</w:t>
      </w:r>
      <w:r w:rsidR="004C3F94">
        <w:rPr>
          <w:lang w:val="fr-CA"/>
        </w:rPr>
        <w:t> </w:t>
      </w:r>
      <w:r w:rsidR="00933EFE" w:rsidRPr="00720E01">
        <w:rPr>
          <w:lang w:val="fr-CA"/>
        </w:rPr>
        <w:t>;</w:t>
      </w:r>
    </w:p>
    <w:p w14:paraId="0B941C60" w14:textId="13FEEA07" w:rsidR="0072144E" w:rsidRPr="00720E01" w:rsidRDefault="0072144E" w:rsidP="00323613">
      <w:pPr>
        <w:tabs>
          <w:tab w:val="left" w:pos="703"/>
        </w:tabs>
        <w:spacing w:after="120"/>
        <w:ind w:left="720"/>
        <w:rPr>
          <w:lang w:val="fr-CA"/>
        </w:rPr>
      </w:pPr>
      <w:r w:rsidRPr="00720E01">
        <w:rPr>
          <w:lang w:val="fr-CA"/>
        </w:rPr>
        <w:t>1.3</w:t>
      </w:r>
      <w:r w:rsidRPr="00720E01">
        <w:rPr>
          <w:lang w:val="fr-CA"/>
        </w:rPr>
        <w:tab/>
      </w:r>
      <w:r w:rsidR="00CC0416" w:rsidRPr="00720E01">
        <w:rPr>
          <w:lang w:val="fr-CA"/>
        </w:rPr>
        <w:t xml:space="preserve">Reconnaître et incorporer les impacts, dépendances et risques pour la biodiversité dans les </w:t>
      </w:r>
      <w:r w:rsidR="00F32CE8" w:rsidRPr="00720E01">
        <w:rPr>
          <w:lang w:val="fr-CA"/>
        </w:rPr>
        <w:t>stratégies</w:t>
      </w:r>
      <w:r w:rsidR="00CC0416" w:rsidRPr="00720E01">
        <w:rPr>
          <w:lang w:val="fr-CA"/>
        </w:rPr>
        <w:t xml:space="preserve">, les opérations et les </w:t>
      </w:r>
      <w:r w:rsidR="00F32CE8" w:rsidRPr="00720E01">
        <w:rPr>
          <w:lang w:val="fr-CA"/>
        </w:rPr>
        <w:t>processus du secteur financier</w:t>
      </w:r>
      <w:r w:rsidR="00CC0416" w:rsidRPr="00720E01">
        <w:rPr>
          <w:lang w:val="fr-CA"/>
        </w:rPr>
        <w:t xml:space="preserve">, afin d’au moins éviter ou de réduire au minimum les dommages </w:t>
      </w:r>
      <w:r w:rsidR="00F32CE8" w:rsidRPr="00720E01">
        <w:rPr>
          <w:lang w:val="fr-CA"/>
        </w:rPr>
        <w:t>nets des décisions sur les investissements sur la</w:t>
      </w:r>
      <w:r w:rsidR="00CC0416" w:rsidRPr="00720E01">
        <w:rPr>
          <w:lang w:val="fr-CA"/>
        </w:rPr>
        <w:t xml:space="preserve"> biodiversité et </w:t>
      </w:r>
      <w:r w:rsidR="00F32CE8" w:rsidRPr="00720E01">
        <w:rPr>
          <w:lang w:val="fr-CA"/>
        </w:rPr>
        <w:t>les</w:t>
      </w:r>
      <w:r w:rsidR="00CC0416" w:rsidRPr="00720E01">
        <w:rPr>
          <w:lang w:val="fr-CA"/>
        </w:rPr>
        <w:t xml:space="preserve"> écosystèmes</w:t>
      </w:r>
      <w:r w:rsidR="004C3F94">
        <w:rPr>
          <w:lang w:val="fr-CA"/>
        </w:rPr>
        <w:t> </w:t>
      </w:r>
      <w:r w:rsidR="00533178" w:rsidRPr="00720E01">
        <w:rPr>
          <w:lang w:val="fr-CA"/>
        </w:rPr>
        <w:t>;</w:t>
      </w:r>
    </w:p>
    <w:p w14:paraId="4C114007" w14:textId="3564BC53" w:rsidR="0072144E" w:rsidRPr="00720E01" w:rsidRDefault="0072144E" w:rsidP="00323613">
      <w:pPr>
        <w:tabs>
          <w:tab w:val="left" w:pos="703"/>
        </w:tabs>
        <w:spacing w:after="120"/>
        <w:ind w:left="720"/>
        <w:rPr>
          <w:lang w:val="fr-CA"/>
        </w:rPr>
      </w:pPr>
      <w:r w:rsidRPr="00720E01">
        <w:rPr>
          <w:lang w:val="fr-CA"/>
        </w:rPr>
        <w:t>1.4</w:t>
      </w:r>
      <w:r w:rsidRPr="00720E01">
        <w:rPr>
          <w:lang w:val="fr-CA"/>
        </w:rPr>
        <w:tab/>
      </w:r>
      <w:r w:rsidR="00F32CE8" w:rsidRPr="00720E01">
        <w:rPr>
          <w:lang w:val="fr-CA"/>
        </w:rPr>
        <w:t>Reconnaître et incorporer les impacts, dépendances et risques pour la biodiversité dans les modèles d’affaires, les opérations et les pratiques, afin d’au moins éviter ou de réduire au minimum les dommages causés à la biodiversité et aux écosystèmes</w:t>
      </w:r>
      <w:r w:rsidR="004C3F94">
        <w:rPr>
          <w:lang w:val="fr-CA"/>
        </w:rPr>
        <w:t> </w:t>
      </w:r>
      <w:r w:rsidR="00533178" w:rsidRPr="00720E01">
        <w:rPr>
          <w:lang w:val="fr-CA"/>
        </w:rPr>
        <w:t>;</w:t>
      </w:r>
    </w:p>
    <w:p w14:paraId="1D0C0211" w14:textId="74999550" w:rsidR="00373C8A" w:rsidRPr="00720E01" w:rsidRDefault="0072144E" w:rsidP="00323613">
      <w:pPr>
        <w:tabs>
          <w:tab w:val="left" w:pos="703"/>
        </w:tabs>
        <w:spacing w:after="120"/>
        <w:ind w:left="720"/>
        <w:rPr>
          <w:lang w:val="fr-CA"/>
        </w:rPr>
      </w:pPr>
      <w:r w:rsidRPr="00720E01">
        <w:rPr>
          <w:lang w:val="fr-CA"/>
        </w:rPr>
        <w:t>1.5</w:t>
      </w:r>
      <w:r w:rsidRPr="00720E01">
        <w:rPr>
          <w:lang w:val="fr-CA"/>
        </w:rPr>
        <w:tab/>
      </w:r>
      <w:r w:rsidR="00F32CE8" w:rsidRPr="00720E01">
        <w:rPr>
          <w:lang w:val="fr-CA"/>
        </w:rPr>
        <w:t>Reconnaître et incorporer les impacts, les dépendances et les risques pour la biodiversité dans les stratégies, les opérations et les processus des acteurs internationaux pour le développement, afin d’au moins éviter ou de réduire au minimum les dommages causés</w:t>
      </w:r>
      <w:r w:rsidR="00CE1CC2" w:rsidRPr="00720E01">
        <w:rPr>
          <w:lang w:val="fr-CA"/>
        </w:rPr>
        <w:t xml:space="preserve"> par le financement pour le développement, y compris le financement du climat</w:t>
      </w:r>
      <w:r w:rsidR="004C3F94">
        <w:rPr>
          <w:lang w:val="fr-CA"/>
        </w:rPr>
        <w:t> </w:t>
      </w:r>
      <w:r w:rsidR="00533178" w:rsidRPr="00720E01">
        <w:rPr>
          <w:lang w:val="fr-CA"/>
        </w:rPr>
        <w:t>;</w:t>
      </w:r>
    </w:p>
    <w:p w14:paraId="4CD22C60" w14:textId="093506F8" w:rsidR="0072144E" w:rsidRPr="00720E01" w:rsidRDefault="00373C8A" w:rsidP="00323613">
      <w:pPr>
        <w:tabs>
          <w:tab w:val="left" w:pos="703"/>
        </w:tabs>
        <w:spacing w:after="120"/>
        <w:ind w:left="720"/>
        <w:rPr>
          <w:lang w:val="fr-CA"/>
        </w:rPr>
      </w:pPr>
      <w:r w:rsidRPr="00720E01">
        <w:rPr>
          <w:lang w:val="fr-CA"/>
        </w:rPr>
        <w:t>1.6</w:t>
      </w:r>
      <w:r w:rsidRPr="00720E01">
        <w:rPr>
          <w:lang w:val="fr-CA"/>
        </w:rPr>
        <w:tab/>
      </w:r>
      <w:r w:rsidR="00CE1CC2" w:rsidRPr="00720E01">
        <w:rPr>
          <w:lang w:val="fr-CA"/>
        </w:rPr>
        <w:t>Prendre des mesures, y compris des mesures législatives ou de réglementation, selon qu’il convient, pour favoriser l’harmonisation des flux financiers aux objectifs des politiques sur la biodiversité</w:t>
      </w:r>
      <w:r w:rsidRPr="00720E01">
        <w:rPr>
          <w:lang w:val="fr-CA"/>
        </w:rPr>
        <w:t>.</w:t>
      </w:r>
    </w:p>
    <w:p w14:paraId="46E39BBC" w14:textId="550A0B63" w:rsidR="0072144E" w:rsidRPr="00720E01" w:rsidRDefault="00CE1CC2" w:rsidP="00323613">
      <w:pPr>
        <w:spacing w:after="120"/>
        <w:rPr>
          <w:b/>
          <w:bCs/>
          <w:lang w:val="fr-CA"/>
        </w:rPr>
      </w:pPr>
      <w:r w:rsidRPr="00720E01">
        <w:rPr>
          <w:b/>
          <w:bCs/>
          <w:snapToGrid w:val="0"/>
          <w:kern w:val="22"/>
          <w:szCs w:val="22"/>
          <w:lang w:val="fr-CA"/>
        </w:rPr>
        <w:t xml:space="preserve">But stratégique 2 : </w:t>
      </w:r>
      <w:r w:rsidRPr="00720E01">
        <w:rPr>
          <w:b/>
          <w:snapToGrid w:val="0"/>
          <w:kern w:val="22"/>
          <w:szCs w:val="22"/>
          <w:lang w:val="fr-CA"/>
        </w:rPr>
        <w:t>Créer des ressources supplémentaires de toutes les sources afin de réaliser les trois objectifs de la Convention</w:t>
      </w:r>
    </w:p>
    <w:p w14:paraId="68AA5E3F" w14:textId="5E6FCCA2" w:rsidR="0072144E" w:rsidRPr="00720E01" w:rsidRDefault="00FE5A01" w:rsidP="00304215">
      <w:pPr>
        <w:pStyle w:val="Paragraphedeliste"/>
        <w:numPr>
          <w:ilvl w:val="0"/>
          <w:numId w:val="8"/>
        </w:numPr>
        <w:tabs>
          <w:tab w:val="clear" w:pos="360"/>
        </w:tabs>
        <w:spacing w:after="120"/>
        <w:contextualSpacing w:val="0"/>
        <w:rPr>
          <w:snapToGrid w:val="0"/>
          <w:kern w:val="22"/>
          <w:szCs w:val="22"/>
          <w:lang w:val="fr-CA"/>
        </w:rPr>
      </w:pPr>
      <w:r>
        <w:rPr>
          <w:snapToGrid w:val="0"/>
          <w:kern w:val="22"/>
          <w:szCs w:val="22"/>
          <w:lang w:val="fr-CA"/>
        </w:rPr>
        <w:t>La création</w:t>
      </w:r>
      <w:r w:rsidR="00CE1CC2" w:rsidRPr="00720E01">
        <w:rPr>
          <w:snapToGrid w:val="0"/>
          <w:kern w:val="22"/>
          <w:szCs w:val="22"/>
          <w:lang w:val="fr-CA"/>
        </w:rPr>
        <w:t xml:space="preserve"> de ressources</w:t>
      </w:r>
      <w:r w:rsidR="00B47F29" w:rsidRPr="00720E01">
        <w:rPr>
          <w:snapToGrid w:val="0"/>
          <w:kern w:val="22"/>
          <w:szCs w:val="22"/>
          <w:lang w:val="fr-CA"/>
        </w:rPr>
        <w:t xml:space="preserve"> internationales et intérieures </w:t>
      </w:r>
      <w:r>
        <w:rPr>
          <w:snapToGrid w:val="0"/>
          <w:kern w:val="22"/>
          <w:szCs w:val="22"/>
          <w:lang w:val="fr-CA"/>
        </w:rPr>
        <w:t>nouvelles et s</w:t>
      </w:r>
      <w:r w:rsidR="00B47F29" w:rsidRPr="00720E01">
        <w:rPr>
          <w:snapToGrid w:val="0"/>
          <w:kern w:val="22"/>
          <w:szCs w:val="22"/>
          <w:lang w:val="fr-CA"/>
        </w:rPr>
        <w:t xml:space="preserve">upplémentaires de toutes les sources, privées et publiques, demeure une activité fondamentale de la mobilisation des ressources, conformément à l’article 20 de la Convention. </w:t>
      </w:r>
      <w:r>
        <w:rPr>
          <w:snapToGrid w:val="0"/>
          <w:kern w:val="22"/>
          <w:szCs w:val="22"/>
          <w:lang w:val="fr-CA"/>
        </w:rPr>
        <w:t xml:space="preserve">L’intensification </w:t>
      </w:r>
      <w:r w:rsidR="00B47F29" w:rsidRPr="00720E01">
        <w:rPr>
          <w:snapToGrid w:val="0"/>
          <w:kern w:val="22"/>
          <w:szCs w:val="22"/>
          <w:lang w:val="fr-CA"/>
        </w:rPr>
        <w:t xml:space="preserve">des ressources comprend l’augmentation des flux dirigés principalement vers la diversité biologique, ainsi que la reconnaissance et l’augmentation des retombées </w:t>
      </w:r>
      <w:r w:rsidR="00236A39" w:rsidRPr="00720E01">
        <w:rPr>
          <w:snapToGrid w:val="0"/>
          <w:kern w:val="22"/>
          <w:szCs w:val="22"/>
          <w:lang w:val="fr-CA"/>
        </w:rPr>
        <w:t xml:space="preserve">du financement </w:t>
      </w:r>
      <w:r>
        <w:rPr>
          <w:snapToGrid w:val="0"/>
          <w:kern w:val="22"/>
          <w:szCs w:val="22"/>
          <w:lang w:val="fr-CA"/>
        </w:rPr>
        <w:t>destinées surtout à</w:t>
      </w:r>
      <w:r w:rsidR="00236A39" w:rsidRPr="00720E01">
        <w:rPr>
          <w:snapToGrid w:val="0"/>
          <w:kern w:val="22"/>
          <w:szCs w:val="22"/>
          <w:lang w:val="fr-CA"/>
        </w:rPr>
        <w:t xml:space="preserve"> </w:t>
      </w:r>
      <w:r w:rsidR="00B11AC9">
        <w:rPr>
          <w:snapToGrid w:val="0"/>
          <w:kern w:val="22"/>
          <w:szCs w:val="22"/>
          <w:lang w:val="fr-CA"/>
        </w:rPr>
        <w:t>d’autres objectifs</w:t>
      </w:r>
      <w:r w:rsidR="00236A39" w:rsidRPr="00720E01">
        <w:rPr>
          <w:snapToGrid w:val="0"/>
          <w:kern w:val="22"/>
          <w:szCs w:val="22"/>
          <w:lang w:val="fr-CA"/>
        </w:rPr>
        <w:t xml:space="preserve">. Les principales mesures envisagées doivent être appliquées </w:t>
      </w:r>
      <w:r w:rsidR="00B11AC9">
        <w:rPr>
          <w:snapToGrid w:val="0"/>
          <w:kern w:val="22"/>
          <w:szCs w:val="22"/>
          <w:lang w:val="fr-CA"/>
        </w:rPr>
        <w:t>de manière proportionnée</w:t>
      </w:r>
      <w:r w:rsidR="00236A39" w:rsidRPr="00720E01">
        <w:rPr>
          <w:snapToGrid w:val="0"/>
          <w:kern w:val="22"/>
          <w:szCs w:val="22"/>
          <w:lang w:val="fr-CA"/>
        </w:rPr>
        <w:t xml:space="preserve"> afin de mettre en œuvre le cadre mondial de la biodiversité pour l</w:t>
      </w:r>
      <w:r w:rsidR="004C3F94">
        <w:rPr>
          <w:snapToGrid w:val="0"/>
          <w:kern w:val="22"/>
          <w:szCs w:val="22"/>
          <w:lang w:val="fr-CA"/>
        </w:rPr>
        <w:t>’</w:t>
      </w:r>
      <w:r w:rsidR="00236A39" w:rsidRPr="00720E01">
        <w:rPr>
          <w:snapToGrid w:val="0"/>
          <w:kern w:val="22"/>
          <w:szCs w:val="22"/>
          <w:lang w:val="fr-CA"/>
        </w:rPr>
        <w:t>après-2020 et ses objectifs de mobilisation des ressources. Ces mesures sont</w:t>
      </w:r>
      <w:r w:rsidR="004C3F94">
        <w:rPr>
          <w:snapToGrid w:val="0"/>
          <w:kern w:val="22"/>
          <w:szCs w:val="22"/>
          <w:lang w:val="fr-CA"/>
        </w:rPr>
        <w:t> </w:t>
      </w:r>
      <w:r w:rsidR="0072144E" w:rsidRPr="00720E01">
        <w:rPr>
          <w:snapToGrid w:val="0"/>
          <w:kern w:val="22"/>
          <w:szCs w:val="22"/>
          <w:lang w:val="fr-CA"/>
        </w:rPr>
        <w:t>:</w:t>
      </w:r>
    </w:p>
    <w:p w14:paraId="789F0F5E" w14:textId="020A4F34" w:rsidR="002B4427" w:rsidRPr="00720E01" w:rsidRDefault="00B8315F" w:rsidP="00323613">
      <w:pPr>
        <w:tabs>
          <w:tab w:val="left" w:pos="703"/>
        </w:tabs>
        <w:spacing w:after="120"/>
        <w:ind w:left="720"/>
        <w:rPr>
          <w:lang w:val="fr-CA"/>
        </w:rPr>
      </w:pPr>
      <w:r w:rsidRPr="00720E01">
        <w:rPr>
          <w:lang w:val="fr-CA"/>
        </w:rPr>
        <w:t>2</w:t>
      </w:r>
      <w:r w:rsidR="0072144E" w:rsidRPr="00720E01">
        <w:rPr>
          <w:lang w:val="fr-CA"/>
        </w:rPr>
        <w:t>.1</w:t>
      </w:r>
      <w:r w:rsidR="0072144E" w:rsidRPr="00720E01">
        <w:rPr>
          <w:lang w:val="fr-CA"/>
        </w:rPr>
        <w:tab/>
      </w:r>
      <w:r w:rsidR="00236A39" w:rsidRPr="00720E01">
        <w:rPr>
          <w:lang w:val="fr-CA"/>
        </w:rPr>
        <w:t>Augmenter le financement international direct et indirect de la</w:t>
      </w:r>
      <w:r w:rsidR="00B63302" w:rsidRPr="00720E01">
        <w:rPr>
          <w:lang w:val="fr-CA"/>
        </w:rPr>
        <w:t xml:space="preserve"> diversité biologique, comprenant le financement climatique et autre financement pour le développement, destiné au</w:t>
      </w:r>
      <w:r w:rsidR="00236A39" w:rsidRPr="00720E01">
        <w:rPr>
          <w:lang w:val="fr-CA"/>
        </w:rPr>
        <w:t xml:space="preserve">x pays en développement et aux pays </w:t>
      </w:r>
      <w:r w:rsidR="00B63302" w:rsidRPr="00720E01">
        <w:rPr>
          <w:lang w:val="fr-CA"/>
        </w:rPr>
        <w:t>à é</w:t>
      </w:r>
      <w:r w:rsidR="00236A39" w:rsidRPr="00720E01">
        <w:rPr>
          <w:lang w:val="fr-CA"/>
        </w:rPr>
        <w:t>conomie en transit</w:t>
      </w:r>
      <w:r w:rsidR="00B11AC9">
        <w:rPr>
          <w:lang w:val="fr-CA"/>
        </w:rPr>
        <w:t>ion</w:t>
      </w:r>
      <w:r w:rsidR="004C3F94">
        <w:rPr>
          <w:lang w:val="fr-CA"/>
        </w:rPr>
        <w:t> </w:t>
      </w:r>
      <w:r w:rsidR="00C426C9" w:rsidRPr="00720E01">
        <w:rPr>
          <w:lang w:val="fr-CA"/>
        </w:rPr>
        <w:t>;</w:t>
      </w:r>
    </w:p>
    <w:p w14:paraId="6AEE742C" w14:textId="608D2407" w:rsidR="0072144E" w:rsidRPr="00720E01" w:rsidRDefault="002B4427" w:rsidP="00323613">
      <w:pPr>
        <w:tabs>
          <w:tab w:val="left" w:pos="703"/>
        </w:tabs>
        <w:spacing w:after="120"/>
        <w:ind w:left="720"/>
        <w:rPr>
          <w:lang w:val="fr-CA"/>
        </w:rPr>
      </w:pPr>
      <w:r w:rsidRPr="00720E01">
        <w:rPr>
          <w:lang w:val="fr-CA"/>
        </w:rPr>
        <w:t>2.2</w:t>
      </w:r>
      <w:r w:rsidRPr="00720E01">
        <w:rPr>
          <w:lang w:val="fr-CA"/>
        </w:rPr>
        <w:tab/>
      </w:r>
      <w:r w:rsidR="00B63302" w:rsidRPr="00720E01">
        <w:rPr>
          <w:lang w:val="fr-CA"/>
        </w:rPr>
        <w:t>Augmenter les dépenses publiques directes et indirectes liées à la biodiversité</w:t>
      </w:r>
      <w:r w:rsidR="004C3F94">
        <w:rPr>
          <w:lang w:val="fr-CA"/>
        </w:rPr>
        <w:t> </w:t>
      </w:r>
      <w:r w:rsidR="00C426C9" w:rsidRPr="00720E01">
        <w:rPr>
          <w:lang w:val="fr-CA"/>
        </w:rPr>
        <w:t>;</w:t>
      </w:r>
    </w:p>
    <w:p w14:paraId="58EB9B4B" w14:textId="21AC0BD8" w:rsidR="0072144E" w:rsidRPr="00720E01" w:rsidRDefault="00B8315F" w:rsidP="00323613">
      <w:pPr>
        <w:tabs>
          <w:tab w:val="left" w:pos="703"/>
        </w:tabs>
        <w:spacing w:after="120"/>
        <w:ind w:left="720"/>
        <w:rPr>
          <w:lang w:val="fr-CA"/>
        </w:rPr>
      </w:pPr>
      <w:r w:rsidRPr="00720E01">
        <w:rPr>
          <w:lang w:val="fr-CA"/>
        </w:rPr>
        <w:t>2</w:t>
      </w:r>
      <w:r w:rsidR="0072144E" w:rsidRPr="00720E01">
        <w:rPr>
          <w:lang w:val="fr-CA"/>
        </w:rPr>
        <w:t>.</w:t>
      </w:r>
      <w:r w:rsidR="002B4427" w:rsidRPr="00720E01">
        <w:rPr>
          <w:lang w:val="fr-CA"/>
        </w:rPr>
        <w:t>3</w:t>
      </w:r>
      <w:r w:rsidR="0072144E" w:rsidRPr="00720E01">
        <w:rPr>
          <w:lang w:val="fr-CA"/>
        </w:rPr>
        <w:tab/>
      </w:r>
      <w:r w:rsidR="00B63302" w:rsidRPr="00720E01">
        <w:rPr>
          <w:lang w:val="fr-CA"/>
        </w:rPr>
        <w:t>Augmenter les investissements du secteur privé (secteurs des affaires et des finances) dans les projets positifs pour la diversité biologique, notamment en reconnaissant et en éliminant les obstacles pour les investisseurs et les développeurs de projets</w:t>
      </w:r>
      <w:r w:rsidR="004C3F94">
        <w:rPr>
          <w:lang w:val="fr-CA"/>
        </w:rPr>
        <w:t> </w:t>
      </w:r>
      <w:r w:rsidR="00C426C9" w:rsidRPr="00720E01">
        <w:rPr>
          <w:lang w:val="fr-CA"/>
        </w:rPr>
        <w:t>;</w:t>
      </w:r>
    </w:p>
    <w:p w14:paraId="6DEB288F" w14:textId="05000874" w:rsidR="0072144E" w:rsidRPr="00720E01" w:rsidRDefault="00B8315F" w:rsidP="00323613">
      <w:pPr>
        <w:tabs>
          <w:tab w:val="left" w:pos="703"/>
        </w:tabs>
        <w:spacing w:after="120"/>
        <w:ind w:left="720"/>
        <w:rPr>
          <w:lang w:val="fr-CA"/>
        </w:rPr>
      </w:pPr>
      <w:r w:rsidRPr="00720E01">
        <w:rPr>
          <w:lang w:val="fr-CA"/>
        </w:rPr>
        <w:t>2</w:t>
      </w:r>
      <w:r w:rsidR="0072144E" w:rsidRPr="00720E01">
        <w:rPr>
          <w:lang w:val="fr-CA"/>
        </w:rPr>
        <w:t>.4</w:t>
      </w:r>
      <w:r w:rsidR="0072144E" w:rsidRPr="00720E01">
        <w:rPr>
          <w:lang w:val="fr-CA"/>
        </w:rPr>
        <w:tab/>
      </w:r>
      <w:r w:rsidR="00B63302" w:rsidRPr="00720E01">
        <w:rPr>
          <w:lang w:val="fr-CA"/>
        </w:rPr>
        <w:t xml:space="preserve">Améliorer la mise en œuvre d’accords liés à l’accès aux ressources génétiques et </w:t>
      </w:r>
      <w:r w:rsidR="00B11AC9">
        <w:rPr>
          <w:lang w:val="fr-CA"/>
        </w:rPr>
        <w:t>au</w:t>
      </w:r>
      <w:r w:rsidR="00B63302" w:rsidRPr="00720E01">
        <w:rPr>
          <w:lang w:val="fr-CA"/>
        </w:rPr>
        <w:t xml:space="preserve"> partage juste et équitable des avantages découlant de leur utilisation</w:t>
      </w:r>
      <w:r w:rsidR="0072144E" w:rsidRPr="00720E01">
        <w:rPr>
          <w:lang w:val="fr-CA"/>
        </w:rPr>
        <w:t>.</w:t>
      </w:r>
    </w:p>
    <w:p w14:paraId="3F129176" w14:textId="1C4C2BBA" w:rsidR="0072144E" w:rsidRPr="00720E01" w:rsidRDefault="00CE1CC2" w:rsidP="007A5C96">
      <w:pPr>
        <w:keepNext/>
        <w:keepLines/>
        <w:spacing w:after="120"/>
        <w:rPr>
          <w:b/>
          <w:bCs/>
          <w:lang w:val="fr-CA"/>
        </w:rPr>
      </w:pPr>
      <w:r w:rsidRPr="00720E01">
        <w:rPr>
          <w:b/>
          <w:bCs/>
          <w:snapToGrid w:val="0"/>
          <w:kern w:val="22"/>
          <w:szCs w:val="22"/>
          <w:lang w:val="fr-CA"/>
        </w:rPr>
        <w:t xml:space="preserve">But stratégique 3 : </w:t>
      </w:r>
      <w:r w:rsidRPr="00720E01">
        <w:rPr>
          <w:b/>
          <w:snapToGrid w:val="0"/>
          <w:kern w:val="22"/>
          <w:szCs w:val="22"/>
          <w:lang w:val="fr-CA"/>
        </w:rPr>
        <w:t>Améliorer l’efficacité et l’efficience de l’utilisation des ressources</w:t>
      </w:r>
    </w:p>
    <w:p w14:paraId="660A9E31" w14:textId="43230003" w:rsidR="0072144E" w:rsidRPr="00720E01" w:rsidRDefault="00194BB1" w:rsidP="00304215">
      <w:pPr>
        <w:pStyle w:val="Paragraphedeliste"/>
        <w:numPr>
          <w:ilvl w:val="0"/>
          <w:numId w:val="8"/>
        </w:numPr>
        <w:tabs>
          <w:tab w:val="clear" w:pos="360"/>
        </w:tabs>
        <w:spacing w:after="120"/>
        <w:contextualSpacing w:val="0"/>
        <w:rPr>
          <w:snapToGrid w:val="0"/>
          <w:kern w:val="22"/>
          <w:szCs w:val="22"/>
          <w:lang w:val="fr-CA"/>
        </w:rPr>
      </w:pPr>
      <w:r w:rsidRPr="00720E01">
        <w:rPr>
          <w:szCs w:val="22"/>
          <w:lang w:val="fr-CA"/>
        </w:rPr>
        <w:t xml:space="preserve">Une planification efficace des ressources exige la reconnaissance de l’importance de facteurs tels </w:t>
      </w:r>
      <w:r w:rsidR="00396BE8">
        <w:rPr>
          <w:szCs w:val="22"/>
          <w:lang w:val="fr-CA"/>
        </w:rPr>
        <w:t>a) </w:t>
      </w:r>
      <w:r w:rsidRPr="00720E01">
        <w:rPr>
          <w:szCs w:val="22"/>
          <w:lang w:val="fr-CA"/>
        </w:rPr>
        <w:t>qu’une bonne gouvern</w:t>
      </w:r>
      <w:r w:rsidR="00B11AC9">
        <w:rPr>
          <w:szCs w:val="22"/>
          <w:lang w:val="fr-CA"/>
        </w:rPr>
        <w:t>ance et une bonne planification</w:t>
      </w:r>
      <w:r w:rsidRPr="00720E01">
        <w:rPr>
          <w:szCs w:val="22"/>
          <w:lang w:val="fr-CA"/>
        </w:rPr>
        <w:t xml:space="preserve">, </w:t>
      </w:r>
      <w:r w:rsidR="00396BE8">
        <w:rPr>
          <w:szCs w:val="22"/>
          <w:lang w:val="fr-CA"/>
        </w:rPr>
        <w:t xml:space="preserve">b) </w:t>
      </w:r>
      <w:r w:rsidRPr="00720E01">
        <w:rPr>
          <w:szCs w:val="22"/>
          <w:lang w:val="fr-CA"/>
        </w:rPr>
        <w:t xml:space="preserve">le renforcement des capacités, </w:t>
      </w:r>
      <w:r w:rsidR="00396BE8">
        <w:rPr>
          <w:szCs w:val="22"/>
          <w:lang w:val="fr-CA"/>
        </w:rPr>
        <w:t xml:space="preserve">c) </w:t>
      </w:r>
      <w:r w:rsidRPr="00720E01">
        <w:rPr>
          <w:szCs w:val="22"/>
          <w:lang w:val="fr-CA"/>
        </w:rPr>
        <w:t xml:space="preserve">la création de plateformes et de partenariats, </w:t>
      </w:r>
      <w:r w:rsidR="00396BE8">
        <w:rPr>
          <w:szCs w:val="22"/>
          <w:lang w:val="fr-CA"/>
        </w:rPr>
        <w:t xml:space="preserve">d) </w:t>
      </w:r>
      <w:r w:rsidRPr="00720E01">
        <w:rPr>
          <w:szCs w:val="22"/>
          <w:lang w:val="fr-CA"/>
        </w:rPr>
        <w:t>la conception et la mise en application efficaces du financement international</w:t>
      </w:r>
      <w:r w:rsidR="004B0114">
        <w:rPr>
          <w:szCs w:val="22"/>
          <w:lang w:val="fr-CA"/>
        </w:rPr>
        <w:t xml:space="preserve"> pour le développement</w:t>
      </w:r>
      <w:r w:rsidRPr="00720E01">
        <w:rPr>
          <w:szCs w:val="22"/>
          <w:lang w:val="fr-CA"/>
        </w:rPr>
        <w:t xml:space="preserve"> et</w:t>
      </w:r>
      <w:r w:rsidR="00396BE8">
        <w:rPr>
          <w:szCs w:val="22"/>
          <w:lang w:val="fr-CA"/>
        </w:rPr>
        <w:t xml:space="preserve"> e)</w:t>
      </w:r>
      <w:r w:rsidRPr="00720E01">
        <w:rPr>
          <w:szCs w:val="22"/>
          <w:lang w:val="fr-CA"/>
        </w:rPr>
        <w:t xml:space="preserve"> </w:t>
      </w:r>
      <w:r w:rsidR="00B11AC9">
        <w:rPr>
          <w:szCs w:val="22"/>
          <w:lang w:val="fr-CA"/>
        </w:rPr>
        <w:t>le</w:t>
      </w:r>
      <w:r w:rsidRPr="00720E01">
        <w:rPr>
          <w:szCs w:val="22"/>
          <w:lang w:val="fr-CA"/>
        </w:rPr>
        <w:t xml:space="preserve"> suivi, </w:t>
      </w:r>
      <w:r w:rsidR="00B11AC9">
        <w:rPr>
          <w:szCs w:val="22"/>
          <w:lang w:val="fr-CA"/>
        </w:rPr>
        <w:t>l’</w:t>
      </w:r>
      <w:r w:rsidRPr="00720E01">
        <w:rPr>
          <w:szCs w:val="22"/>
          <w:lang w:val="fr-CA"/>
        </w:rPr>
        <w:t xml:space="preserve">établissement de rapports et </w:t>
      </w:r>
      <w:r w:rsidR="00B11AC9">
        <w:rPr>
          <w:szCs w:val="22"/>
          <w:lang w:val="fr-CA"/>
        </w:rPr>
        <w:t xml:space="preserve">la </w:t>
      </w:r>
      <w:r w:rsidRPr="00720E01">
        <w:rPr>
          <w:szCs w:val="22"/>
          <w:lang w:val="fr-CA"/>
        </w:rPr>
        <w:t xml:space="preserve">révision efficaces des résultats. Ces actions facilitantes visent à garantir une </w:t>
      </w:r>
      <w:r w:rsidR="0094289A" w:rsidRPr="00720E01">
        <w:rPr>
          <w:szCs w:val="22"/>
          <w:lang w:val="fr-CA"/>
        </w:rPr>
        <w:t>utilisation judicieuse des ressources mobilisées et soutien</w:t>
      </w:r>
      <w:r w:rsidR="00145AC8">
        <w:rPr>
          <w:szCs w:val="22"/>
          <w:lang w:val="fr-CA"/>
        </w:rPr>
        <w:t>nen</w:t>
      </w:r>
      <w:r w:rsidR="0094289A" w:rsidRPr="00720E01">
        <w:rPr>
          <w:szCs w:val="22"/>
          <w:lang w:val="fr-CA"/>
        </w:rPr>
        <w:t>t les efforts pour réduire ou rediriger les ressources nuisibles pour la biodiversité. Les principales mesures envisagées sont</w:t>
      </w:r>
      <w:r w:rsidR="004C3F94">
        <w:rPr>
          <w:szCs w:val="22"/>
          <w:lang w:val="fr-CA"/>
        </w:rPr>
        <w:t> </w:t>
      </w:r>
      <w:r w:rsidR="0072144E" w:rsidRPr="00720E01">
        <w:rPr>
          <w:snapToGrid w:val="0"/>
          <w:kern w:val="22"/>
          <w:szCs w:val="22"/>
          <w:lang w:val="fr-CA"/>
        </w:rPr>
        <w:t>:</w:t>
      </w:r>
    </w:p>
    <w:p w14:paraId="4063B4F0" w14:textId="0FD1AB32" w:rsidR="0072144E" w:rsidRPr="00720E01" w:rsidRDefault="0050690D" w:rsidP="00323613">
      <w:pPr>
        <w:tabs>
          <w:tab w:val="left" w:pos="703"/>
        </w:tabs>
        <w:spacing w:after="120"/>
        <w:ind w:left="720"/>
        <w:rPr>
          <w:lang w:val="fr-CA"/>
        </w:rPr>
      </w:pPr>
      <w:r w:rsidRPr="00720E01">
        <w:rPr>
          <w:lang w:val="fr-CA"/>
        </w:rPr>
        <w:lastRenderedPageBreak/>
        <w:t>3</w:t>
      </w:r>
      <w:r w:rsidR="0072144E" w:rsidRPr="00720E01">
        <w:rPr>
          <w:lang w:val="fr-CA"/>
        </w:rPr>
        <w:t>.1</w:t>
      </w:r>
      <w:r w:rsidR="0072144E" w:rsidRPr="00720E01">
        <w:rPr>
          <w:lang w:val="fr-CA"/>
        </w:rPr>
        <w:tab/>
      </w:r>
      <w:r w:rsidR="0094289A" w:rsidRPr="00720E01">
        <w:rPr>
          <w:lang w:val="fr-CA"/>
        </w:rPr>
        <w:t>Revoir et améliorer au besoin les processus de gouvernance et de planification du secteur public</w:t>
      </w:r>
      <w:r w:rsidR="004C3F94">
        <w:rPr>
          <w:lang w:val="fr-CA"/>
        </w:rPr>
        <w:t> </w:t>
      </w:r>
      <w:r w:rsidR="00732DDE" w:rsidRPr="00720E01">
        <w:rPr>
          <w:lang w:val="fr-CA"/>
        </w:rPr>
        <w:t>;</w:t>
      </w:r>
    </w:p>
    <w:p w14:paraId="4C212DAF" w14:textId="79A159ED" w:rsidR="0072144E" w:rsidRPr="00720E01" w:rsidRDefault="0050690D" w:rsidP="0094289A">
      <w:pPr>
        <w:tabs>
          <w:tab w:val="left" w:pos="703"/>
        </w:tabs>
        <w:spacing w:after="120"/>
        <w:ind w:left="720"/>
        <w:rPr>
          <w:lang w:val="fr-CA"/>
        </w:rPr>
      </w:pPr>
      <w:r w:rsidRPr="00720E01">
        <w:rPr>
          <w:lang w:val="fr-CA"/>
        </w:rPr>
        <w:t>3</w:t>
      </w:r>
      <w:r w:rsidR="0072144E" w:rsidRPr="00720E01">
        <w:rPr>
          <w:lang w:val="fr-CA"/>
        </w:rPr>
        <w:t>.2</w:t>
      </w:r>
      <w:r w:rsidR="0072144E" w:rsidRPr="00720E01">
        <w:rPr>
          <w:lang w:val="fr-CA"/>
        </w:rPr>
        <w:tab/>
      </w:r>
      <w:r w:rsidR="0094289A" w:rsidRPr="00720E01">
        <w:rPr>
          <w:lang w:val="fr-CA"/>
        </w:rPr>
        <w:t>Créer des partenariats efficaces et des plateformes connexes pour soutenir la cohérence des politiques, un apprentissage commun et l’élaboration et l’application d’approches conjointes, notamment avec les peuples autochtones et les communautés locales</w:t>
      </w:r>
      <w:r w:rsidR="00626479" w:rsidRPr="00720E01">
        <w:rPr>
          <w:lang w:val="fr-CA"/>
        </w:rPr>
        <w:t>, et la société civile</w:t>
      </w:r>
      <w:r w:rsidR="004C3F94">
        <w:rPr>
          <w:lang w:val="fr-CA"/>
        </w:rPr>
        <w:t> </w:t>
      </w:r>
      <w:r w:rsidR="00732DDE" w:rsidRPr="00720E01">
        <w:rPr>
          <w:lang w:val="fr-CA"/>
        </w:rPr>
        <w:t>;</w:t>
      </w:r>
    </w:p>
    <w:p w14:paraId="2FE26BE4" w14:textId="3E03E537" w:rsidR="0072144E" w:rsidRPr="00720E01" w:rsidRDefault="0050690D" w:rsidP="00323613">
      <w:pPr>
        <w:tabs>
          <w:tab w:val="left" w:pos="703"/>
        </w:tabs>
        <w:spacing w:after="120"/>
        <w:ind w:left="720"/>
        <w:rPr>
          <w:lang w:val="fr-CA"/>
        </w:rPr>
      </w:pPr>
      <w:r w:rsidRPr="00720E01">
        <w:rPr>
          <w:lang w:val="fr-CA"/>
        </w:rPr>
        <w:t>3</w:t>
      </w:r>
      <w:r w:rsidR="0072144E" w:rsidRPr="00720E01">
        <w:rPr>
          <w:lang w:val="fr-CA"/>
        </w:rPr>
        <w:t>.3</w:t>
      </w:r>
      <w:r w:rsidR="0072144E" w:rsidRPr="00720E01">
        <w:rPr>
          <w:lang w:val="fr-CA"/>
        </w:rPr>
        <w:tab/>
      </w:r>
      <w:r w:rsidR="00626479" w:rsidRPr="00720E01">
        <w:rPr>
          <w:lang w:val="fr-CA"/>
        </w:rPr>
        <w:t>Accroître le renforcement des capacités, l’assistance technique et la coopération technologique de manière durable</w:t>
      </w:r>
      <w:r w:rsidR="004C3F94">
        <w:rPr>
          <w:lang w:val="fr-CA"/>
        </w:rPr>
        <w:t> </w:t>
      </w:r>
      <w:r w:rsidR="00732DDE" w:rsidRPr="00720E01">
        <w:rPr>
          <w:lang w:val="fr-CA"/>
        </w:rPr>
        <w:t>;</w:t>
      </w:r>
    </w:p>
    <w:p w14:paraId="1C51D116" w14:textId="367D3C3C" w:rsidR="0072144E" w:rsidRPr="00720E01" w:rsidRDefault="0050690D" w:rsidP="00323613">
      <w:pPr>
        <w:tabs>
          <w:tab w:val="left" w:pos="703"/>
        </w:tabs>
        <w:spacing w:after="120"/>
        <w:ind w:left="720"/>
        <w:rPr>
          <w:lang w:val="fr-CA"/>
        </w:rPr>
      </w:pPr>
      <w:r w:rsidRPr="00720E01">
        <w:rPr>
          <w:lang w:val="fr-CA"/>
        </w:rPr>
        <w:t>3</w:t>
      </w:r>
      <w:r w:rsidR="0072144E" w:rsidRPr="00720E01">
        <w:rPr>
          <w:lang w:val="fr-CA"/>
        </w:rPr>
        <w:t>.4</w:t>
      </w:r>
      <w:r w:rsidR="0072144E" w:rsidRPr="00720E01">
        <w:rPr>
          <w:lang w:val="fr-CA"/>
        </w:rPr>
        <w:tab/>
      </w:r>
      <w:r w:rsidR="00626479" w:rsidRPr="00720E01">
        <w:rPr>
          <w:lang w:val="fr-CA"/>
        </w:rPr>
        <w:t>Améliorer l’efficacité et l’efficience des flux et de la mise en application du financement international pour le développement</w:t>
      </w:r>
      <w:r w:rsidR="004C3F94">
        <w:rPr>
          <w:lang w:val="fr-CA"/>
        </w:rPr>
        <w:t> </w:t>
      </w:r>
      <w:r w:rsidR="00732DDE" w:rsidRPr="00720E01">
        <w:rPr>
          <w:lang w:val="fr-CA"/>
        </w:rPr>
        <w:t>;</w:t>
      </w:r>
    </w:p>
    <w:p w14:paraId="09CF08DF" w14:textId="6EBDCD8E" w:rsidR="0072144E" w:rsidRPr="00720E01" w:rsidRDefault="0050690D" w:rsidP="00323613">
      <w:pPr>
        <w:tabs>
          <w:tab w:val="left" w:pos="703"/>
        </w:tabs>
        <w:spacing w:after="120"/>
        <w:ind w:left="720"/>
        <w:rPr>
          <w:lang w:val="fr-CA"/>
        </w:rPr>
      </w:pPr>
      <w:r w:rsidRPr="00720E01">
        <w:rPr>
          <w:lang w:val="fr-CA"/>
        </w:rPr>
        <w:t>3</w:t>
      </w:r>
      <w:r w:rsidR="0072144E" w:rsidRPr="00720E01">
        <w:rPr>
          <w:lang w:val="fr-CA"/>
        </w:rPr>
        <w:t>.5</w:t>
      </w:r>
      <w:r w:rsidR="0072144E" w:rsidRPr="00720E01">
        <w:rPr>
          <w:lang w:val="fr-CA"/>
        </w:rPr>
        <w:tab/>
      </w:r>
      <w:r w:rsidR="00626479" w:rsidRPr="00720E01">
        <w:rPr>
          <w:lang w:val="fr-CA"/>
        </w:rPr>
        <w:t>Améliorer le suivi et le processus de présentation de rapports sur la mobilisation des ressources</w:t>
      </w:r>
      <w:r w:rsidR="0072144E" w:rsidRPr="00720E01">
        <w:rPr>
          <w:lang w:val="fr-CA"/>
        </w:rPr>
        <w:t>.</w:t>
      </w:r>
    </w:p>
    <w:p w14:paraId="18D856CC" w14:textId="7D7C87AF" w:rsidR="0072144E" w:rsidRPr="00720E01" w:rsidRDefault="00626479" w:rsidP="00304215">
      <w:pPr>
        <w:pStyle w:val="Paragraphedeliste"/>
        <w:keepNext/>
        <w:numPr>
          <w:ilvl w:val="0"/>
          <w:numId w:val="7"/>
        </w:numPr>
        <w:spacing w:before="240" w:after="120"/>
        <w:ind w:left="720"/>
        <w:contextualSpacing w:val="0"/>
        <w:jc w:val="center"/>
        <w:outlineLvl w:val="2"/>
        <w:rPr>
          <w:b/>
          <w:bCs/>
          <w:caps/>
          <w:lang w:val="fr-CA"/>
        </w:rPr>
      </w:pPr>
      <w:r w:rsidRPr="00720E01">
        <w:rPr>
          <w:b/>
          <w:bCs/>
          <w:caps/>
          <w:lang w:val="fr-CA"/>
        </w:rPr>
        <w:t>MISE EN œuvre</w:t>
      </w:r>
    </w:p>
    <w:p w14:paraId="733A1A80" w14:textId="7A8515B5" w:rsidR="0072144E" w:rsidRPr="00720E01" w:rsidRDefault="00626479" w:rsidP="00304215">
      <w:pPr>
        <w:pStyle w:val="Paragraphedeliste"/>
        <w:numPr>
          <w:ilvl w:val="0"/>
          <w:numId w:val="8"/>
        </w:numPr>
        <w:tabs>
          <w:tab w:val="clear" w:pos="360"/>
        </w:tabs>
        <w:spacing w:after="120"/>
        <w:contextualSpacing w:val="0"/>
        <w:rPr>
          <w:szCs w:val="22"/>
          <w:lang w:val="fr-CA"/>
        </w:rPr>
      </w:pPr>
      <w:r w:rsidRPr="00720E01">
        <w:rPr>
          <w:szCs w:val="22"/>
          <w:lang w:val="fr-CA"/>
        </w:rPr>
        <w:t xml:space="preserve">La mise en œuvre efficace de la </w:t>
      </w:r>
      <w:r w:rsidR="005A1388">
        <w:rPr>
          <w:szCs w:val="22"/>
          <w:lang w:val="fr-CA"/>
        </w:rPr>
        <w:t>démarche stratégique</w:t>
      </w:r>
      <w:r w:rsidRPr="00720E01">
        <w:rPr>
          <w:szCs w:val="22"/>
          <w:lang w:val="fr-CA"/>
        </w:rPr>
        <w:t xml:space="preserve"> qui remplace</w:t>
      </w:r>
      <w:r w:rsidR="005B0921">
        <w:rPr>
          <w:szCs w:val="22"/>
          <w:lang w:val="fr-CA"/>
        </w:rPr>
        <w:t>ra</w:t>
      </w:r>
      <w:r w:rsidRPr="00720E01">
        <w:rPr>
          <w:szCs w:val="22"/>
          <w:lang w:val="fr-CA"/>
        </w:rPr>
        <w:t xml:space="preserve"> la </w:t>
      </w:r>
      <w:r w:rsidR="00975FC5" w:rsidRPr="00720E01">
        <w:rPr>
          <w:szCs w:val="22"/>
          <w:lang w:val="fr-CA"/>
        </w:rPr>
        <w:t>stratégie actuelle de mobilisatio</w:t>
      </w:r>
      <w:r w:rsidRPr="00720E01">
        <w:rPr>
          <w:szCs w:val="22"/>
          <w:lang w:val="fr-CA"/>
        </w:rPr>
        <w:t>n des ressources exigera un effort perpétuel des Parties, des autres gouvernements et des parties prenantes concernées, à tous les niveaux. La volonté politique et l’engagement à mieux reconnaître l’importance de la diversité biologique</w:t>
      </w:r>
      <w:r w:rsidR="00975FC5" w:rsidRPr="00720E01">
        <w:rPr>
          <w:szCs w:val="22"/>
          <w:lang w:val="fr-CA"/>
        </w:rPr>
        <w:t xml:space="preserve"> dans le cadre du développement durable doivent être renforcés </w:t>
      </w:r>
      <w:r w:rsidR="005B0921" w:rsidRPr="00720E01">
        <w:rPr>
          <w:szCs w:val="22"/>
          <w:lang w:val="fr-CA"/>
        </w:rPr>
        <w:t>en tant que condition préalable essentielle à la mise en œuvre du cadre dans son ensemble</w:t>
      </w:r>
      <w:r w:rsidR="005B0921">
        <w:rPr>
          <w:szCs w:val="22"/>
          <w:lang w:val="fr-CA"/>
        </w:rPr>
        <w:t xml:space="preserve">, </w:t>
      </w:r>
      <w:r w:rsidR="00975FC5" w:rsidRPr="00720E01">
        <w:rPr>
          <w:szCs w:val="22"/>
          <w:lang w:val="fr-CA"/>
        </w:rPr>
        <w:t>afin d’atteindre les objectifs de mobilisation des ressources du cadre mondial de la biodiversité pour l</w:t>
      </w:r>
      <w:r w:rsidR="004C3F94">
        <w:rPr>
          <w:szCs w:val="22"/>
          <w:lang w:val="fr-CA"/>
        </w:rPr>
        <w:t>’</w:t>
      </w:r>
      <w:r w:rsidR="00975FC5" w:rsidRPr="00720E01">
        <w:rPr>
          <w:szCs w:val="22"/>
          <w:lang w:val="fr-CA"/>
        </w:rPr>
        <w:t>après-2020</w:t>
      </w:r>
      <w:r w:rsidR="0072144E" w:rsidRPr="00720E01">
        <w:rPr>
          <w:szCs w:val="22"/>
          <w:lang w:val="fr-CA"/>
        </w:rPr>
        <w:t>.</w:t>
      </w:r>
    </w:p>
    <w:p w14:paraId="17179D1C" w14:textId="0CB91908" w:rsidR="0072144E" w:rsidRPr="00720E01" w:rsidRDefault="00975FC5" w:rsidP="00304215">
      <w:pPr>
        <w:pStyle w:val="Paragraphedeliste"/>
        <w:numPr>
          <w:ilvl w:val="0"/>
          <w:numId w:val="8"/>
        </w:numPr>
        <w:tabs>
          <w:tab w:val="clear" w:pos="360"/>
        </w:tabs>
        <w:spacing w:after="120"/>
        <w:contextualSpacing w:val="0"/>
        <w:rPr>
          <w:szCs w:val="22"/>
          <w:lang w:val="fr-CA"/>
        </w:rPr>
      </w:pPr>
      <w:r w:rsidRPr="00720E01">
        <w:rPr>
          <w:szCs w:val="22"/>
          <w:lang w:val="fr-CA"/>
        </w:rPr>
        <w:t xml:space="preserve">La </w:t>
      </w:r>
      <w:r w:rsidR="005A1388">
        <w:rPr>
          <w:szCs w:val="22"/>
          <w:lang w:val="fr-CA"/>
        </w:rPr>
        <w:t>démarche stratégique</w:t>
      </w:r>
      <w:r w:rsidRPr="00720E01">
        <w:rPr>
          <w:szCs w:val="22"/>
          <w:lang w:val="fr-CA"/>
        </w:rPr>
        <w:t xml:space="preserve"> qui remplacera la stratégie actuelle de mobilisation des ressources aidera les pays à élaborer des plans nationaux de financement de la biodiversité en appui à la mise en œuvre du cadre mondial de la biodiversité pour l</w:t>
      </w:r>
      <w:r w:rsidR="004C3F94">
        <w:rPr>
          <w:szCs w:val="22"/>
          <w:lang w:val="fr-CA"/>
        </w:rPr>
        <w:t>’</w:t>
      </w:r>
      <w:r w:rsidRPr="00720E01">
        <w:rPr>
          <w:szCs w:val="22"/>
          <w:lang w:val="fr-CA"/>
        </w:rPr>
        <w:t>après-202</w:t>
      </w:r>
      <w:r w:rsidR="005A1388">
        <w:rPr>
          <w:szCs w:val="22"/>
          <w:lang w:val="fr-CA"/>
        </w:rPr>
        <w:t xml:space="preserve">0 </w:t>
      </w:r>
      <w:r w:rsidRPr="00720E01">
        <w:rPr>
          <w:szCs w:val="22"/>
          <w:lang w:val="fr-CA"/>
        </w:rPr>
        <w:t>et ses objectifs mondiaux de mobilisation des ressources par les pays</w:t>
      </w:r>
      <w:r w:rsidR="0072144E" w:rsidRPr="00720E01">
        <w:rPr>
          <w:szCs w:val="22"/>
          <w:lang w:val="fr-CA"/>
        </w:rPr>
        <w:t xml:space="preserve">. </w:t>
      </w:r>
      <w:r w:rsidRPr="00720E01">
        <w:rPr>
          <w:szCs w:val="22"/>
          <w:lang w:val="fr-CA"/>
        </w:rPr>
        <w:t>Les principales parties prenantes, telles que les organisations non gouvernementales, les peuples autochtones et les communautés locales, les secteurs des affaires et des finances, et du financement international pour le développement devraient participer à leur élaboration et leur mise en œuvre.</w:t>
      </w:r>
    </w:p>
    <w:p w14:paraId="7FF2F157" w14:textId="4B0750EB" w:rsidR="0072144E" w:rsidRPr="00720E01" w:rsidRDefault="00975FC5" w:rsidP="00304215">
      <w:pPr>
        <w:pStyle w:val="Paragraphedeliste"/>
        <w:numPr>
          <w:ilvl w:val="0"/>
          <w:numId w:val="8"/>
        </w:numPr>
        <w:tabs>
          <w:tab w:val="clear" w:pos="360"/>
        </w:tabs>
        <w:spacing w:after="120"/>
        <w:contextualSpacing w:val="0"/>
        <w:rPr>
          <w:szCs w:val="22"/>
          <w:lang w:val="fr-CA"/>
        </w:rPr>
      </w:pPr>
      <w:r w:rsidRPr="00720E01">
        <w:rPr>
          <w:szCs w:val="22"/>
          <w:lang w:val="fr-CA"/>
        </w:rPr>
        <w:t>La Conférence des Parties et l’</w:t>
      </w:r>
      <w:r w:rsidR="00D57E0C" w:rsidRPr="00720E01">
        <w:rPr>
          <w:szCs w:val="22"/>
          <w:lang w:val="fr-CA"/>
        </w:rPr>
        <w:t>Organe subsidiaire chargé de l</w:t>
      </w:r>
      <w:r w:rsidR="004C3F94">
        <w:rPr>
          <w:szCs w:val="22"/>
          <w:lang w:val="fr-CA"/>
        </w:rPr>
        <w:t>’</w:t>
      </w:r>
      <w:r w:rsidR="00D57E0C" w:rsidRPr="00720E01">
        <w:rPr>
          <w:szCs w:val="22"/>
          <w:lang w:val="fr-CA"/>
        </w:rPr>
        <w:t>application assureront la surveillance de la mise en œuvre de la stratégie sur la mobilisation des ressources, en se fondant sur les rapports des Parties et des organisations et initiatives pertinentes, compilés et analysés par la Secrétaire exécutive, selon qu’il convient</w:t>
      </w:r>
      <w:r w:rsidR="0072144E" w:rsidRPr="00720E01">
        <w:rPr>
          <w:szCs w:val="22"/>
          <w:lang w:val="fr-CA"/>
        </w:rPr>
        <w:t>.</w:t>
      </w:r>
    </w:p>
    <w:p w14:paraId="7546B519" w14:textId="77777777" w:rsidR="00B3369F" w:rsidRPr="001C6487" w:rsidRDefault="00084813" w:rsidP="00323613">
      <w:pPr>
        <w:suppressLineNumbers/>
        <w:suppressAutoHyphens/>
        <w:kinsoku w:val="0"/>
        <w:overflowPunct w:val="0"/>
        <w:autoSpaceDE w:val="0"/>
        <w:autoSpaceDN w:val="0"/>
        <w:adjustRightInd w:val="0"/>
        <w:snapToGrid w:val="0"/>
        <w:spacing w:line="235" w:lineRule="auto"/>
        <w:jc w:val="center"/>
        <w:rPr>
          <w:kern w:val="22"/>
          <w:szCs w:val="22"/>
        </w:rPr>
      </w:pPr>
      <w:r w:rsidRPr="00E96078">
        <w:rPr>
          <w:kern w:val="22"/>
          <w:szCs w:val="22"/>
          <w:lang w:val="fr-CA"/>
        </w:rPr>
        <w:t>____</w:t>
      </w:r>
      <w:r w:rsidR="00B840DD" w:rsidRPr="00E96078">
        <w:rPr>
          <w:kern w:val="22"/>
          <w:szCs w:val="22"/>
          <w:lang w:val="fr-CA"/>
        </w:rPr>
        <w:t>_______</w:t>
      </w:r>
    </w:p>
    <w:sectPr w:rsidR="00B3369F" w:rsidRPr="001C6487" w:rsidSect="0072144E">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B666" w14:textId="77777777" w:rsidR="002A6EBE" w:rsidRDefault="002A6EBE" w:rsidP="00CF1848">
      <w:r>
        <w:separator/>
      </w:r>
    </w:p>
  </w:endnote>
  <w:endnote w:type="continuationSeparator" w:id="0">
    <w:p w14:paraId="4D6AEBA8" w14:textId="77777777" w:rsidR="002A6EBE" w:rsidRDefault="002A6EBE" w:rsidP="00CF1848">
      <w:r>
        <w:continuationSeparator/>
      </w:r>
    </w:p>
  </w:endnote>
  <w:endnote w:type="continuationNotice" w:id="1">
    <w:p w14:paraId="2C031A49" w14:textId="77777777" w:rsidR="002A6EBE" w:rsidRDefault="002A6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BB2D" w14:textId="77777777" w:rsidR="004C3F94" w:rsidRDefault="004C3F94" w:rsidP="001C6487">
    <w:pPr>
      <w:pStyle w:val="Pieddepage"/>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1EAB" w14:textId="77777777" w:rsidR="004C3F94" w:rsidRDefault="004C3F94" w:rsidP="001C6487">
    <w:pPr>
      <w:pStyle w:val="Pieddepage"/>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4595" w14:textId="77777777" w:rsidR="004C3F94" w:rsidRDefault="004C3F94" w:rsidP="001C6487">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EA85" w14:textId="77777777" w:rsidR="002A6EBE" w:rsidRDefault="002A6EBE" w:rsidP="00CF1848">
      <w:r>
        <w:separator/>
      </w:r>
    </w:p>
  </w:footnote>
  <w:footnote w:type="continuationSeparator" w:id="0">
    <w:p w14:paraId="60A0BAFF" w14:textId="77777777" w:rsidR="002A6EBE" w:rsidRDefault="002A6EBE" w:rsidP="00CF1848">
      <w:r>
        <w:continuationSeparator/>
      </w:r>
    </w:p>
  </w:footnote>
  <w:footnote w:type="continuationNotice" w:id="1">
    <w:p w14:paraId="603F2097" w14:textId="77777777" w:rsidR="002A6EBE" w:rsidRDefault="002A6EBE"/>
  </w:footnote>
  <w:footnote w:id="2">
    <w:p w14:paraId="651A0808" w14:textId="77777777" w:rsidR="004C3F94" w:rsidRPr="000B3BC6" w:rsidRDefault="004C3F94" w:rsidP="001C6487">
      <w:pPr>
        <w:pStyle w:val="Notedebasdepage"/>
        <w:suppressLineNumbers/>
        <w:suppressAutoHyphens/>
        <w:kinsoku w:val="0"/>
        <w:overflowPunct w:val="0"/>
        <w:autoSpaceDE w:val="0"/>
        <w:autoSpaceDN w:val="0"/>
        <w:ind w:firstLine="0"/>
        <w:jc w:val="left"/>
        <w:rPr>
          <w:noProof/>
          <w:snapToGrid w:val="0"/>
          <w:kern w:val="18"/>
          <w:szCs w:val="18"/>
          <w:lang w:val="fr-CA"/>
        </w:rPr>
      </w:pPr>
      <w:r w:rsidRPr="000B3BC6">
        <w:rPr>
          <w:rStyle w:val="Appelnotedebasdep"/>
          <w:noProof/>
          <w:snapToGrid w:val="0"/>
          <w:kern w:val="18"/>
          <w:sz w:val="18"/>
          <w:szCs w:val="18"/>
          <w:vertAlign w:val="baseline"/>
          <w:lang w:val="fr-CA"/>
        </w:rPr>
        <w:t>*</w:t>
      </w:r>
      <w:r w:rsidRPr="000B3BC6">
        <w:rPr>
          <w:noProof/>
          <w:snapToGrid w:val="0"/>
          <w:kern w:val="18"/>
          <w:szCs w:val="18"/>
          <w:lang w:val="fr-CA"/>
        </w:rPr>
        <w:t xml:space="preserve"> CBD/SBI/3/1.</w:t>
      </w:r>
    </w:p>
  </w:footnote>
  <w:footnote w:id="3">
    <w:p w14:paraId="35287CC5" w14:textId="421CCEC4" w:rsidR="004C3F94" w:rsidRPr="007D47F5" w:rsidRDefault="004C3F94" w:rsidP="00304215">
      <w:pPr>
        <w:pStyle w:val="Notedebasdepage"/>
        <w:ind w:firstLine="0"/>
        <w:rPr>
          <w:lang w:val="fr-CA"/>
        </w:rPr>
      </w:pPr>
      <w:r>
        <w:rPr>
          <w:rStyle w:val="Appelnotedebasdep"/>
        </w:rPr>
        <w:footnoteRef/>
      </w:r>
      <w:r w:rsidRPr="007D47F5">
        <w:rPr>
          <w:lang w:val="fr-CA"/>
        </w:rPr>
        <w:t xml:space="preserve"> De courtes biographies des experts sont propos</w:t>
      </w:r>
      <w:r>
        <w:rPr>
          <w:lang w:val="fr-CA"/>
        </w:rPr>
        <w:t>é</w:t>
      </w:r>
      <w:r w:rsidRPr="007D47F5">
        <w:rPr>
          <w:lang w:val="fr-CA"/>
        </w:rPr>
        <w:t>es sur le site https://www.</w:t>
      </w:r>
      <w:r>
        <w:rPr>
          <w:lang w:val="fr-CA"/>
        </w:rPr>
        <w:t xml:space="preserve">cbd.int/financial/rm2020.shtml </w:t>
      </w:r>
      <w:r w:rsidR="002A6EBE">
        <w:fldChar w:fldCharType="begin"/>
      </w:r>
      <w:r w:rsidR="002A6EBE" w:rsidRPr="000F5C35">
        <w:rPr>
          <w:lang w:val="fr-CA"/>
        </w:rPr>
        <w:instrText xml:space="preserve"> HYPERLINK "https://www.cbd.int/financial/rm2020.shtml" </w:instrText>
      </w:r>
      <w:r w:rsidR="002A6EBE">
        <w:fldChar w:fldCharType="separate"/>
      </w:r>
      <w:r w:rsidR="002A6EBE">
        <w:fldChar w:fldCharType="end"/>
      </w:r>
    </w:p>
  </w:footnote>
  <w:footnote w:id="4">
    <w:p w14:paraId="6FB3A683" w14:textId="503ACA3B" w:rsidR="004C3F94" w:rsidRPr="007155DC" w:rsidRDefault="004C3F94" w:rsidP="006B1352">
      <w:pPr>
        <w:pStyle w:val="Notedebasdepage"/>
        <w:spacing w:after="0"/>
        <w:ind w:firstLine="0"/>
        <w:rPr>
          <w:lang w:val="fr-CA"/>
        </w:rPr>
      </w:pPr>
      <w:r>
        <w:rPr>
          <w:rStyle w:val="Appelnotedebasdep"/>
        </w:rPr>
        <w:footnoteRef/>
      </w:r>
      <w:r w:rsidRPr="007155DC">
        <w:rPr>
          <w:lang w:val="fr-CA"/>
        </w:rPr>
        <w:t xml:space="preserve"> Les exposés sont publiés sur le site https://www.</w:t>
      </w:r>
      <w:r>
        <w:rPr>
          <w:lang w:val="fr-CA"/>
        </w:rPr>
        <w:t>cbd.int/financial/rm/2020.shtml</w:t>
      </w:r>
      <w:r w:rsidRPr="007155DC">
        <w:rPr>
          <w:lang w:val="fr-CA"/>
        </w:rPr>
        <w:t>.</w:t>
      </w:r>
    </w:p>
  </w:footnote>
  <w:footnote w:id="5">
    <w:p w14:paraId="45A23B3F" w14:textId="175651CD" w:rsidR="004C3F94" w:rsidRPr="007155DC" w:rsidRDefault="004C3F94" w:rsidP="006B1352">
      <w:pPr>
        <w:pStyle w:val="Notedebasdepage"/>
        <w:spacing w:after="0"/>
        <w:ind w:firstLine="0"/>
        <w:rPr>
          <w:lang w:val="fr-CA"/>
        </w:rPr>
      </w:pPr>
      <w:r>
        <w:rPr>
          <w:rStyle w:val="Appelnotedebasdep"/>
        </w:rPr>
        <w:footnoteRef/>
      </w:r>
      <w:r w:rsidRPr="007155DC">
        <w:rPr>
          <w:lang w:val="fr-CA"/>
        </w:rPr>
        <w:t xml:space="preserve"> Parties E et D de l’annexe I au document </w:t>
      </w:r>
      <w:hyperlink r:id="rId1" w:history="1">
        <w:r w:rsidRPr="007155DC">
          <w:rPr>
            <w:rStyle w:val="Lienhypertexte"/>
            <w:lang w:val="fr-CA"/>
          </w:rPr>
          <w:t>CBD/WG2020/</w:t>
        </w:r>
        <w:proofErr w:type="spellStart"/>
        <w:r w:rsidRPr="007155DC">
          <w:rPr>
            <w:rStyle w:val="Lienhypertexte"/>
            <w:lang w:val="fr-CA"/>
          </w:rPr>
          <w:t>REC</w:t>
        </w:r>
        <w:proofErr w:type="spellEnd"/>
        <w:r w:rsidRPr="007155DC">
          <w:rPr>
            <w:rStyle w:val="Lienhypertexte"/>
            <w:lang w:val="fr-CA"/>
          </w:rPr>
          <w:t>/1/1</w:t>
        </w:r>
      </w:hyperlink>
      <w:r w:rsidRPr="007155DC">
        <w:rPr>
          <w:lang w:val="fr-CA"/>
        </w:rPr>
        <w:t>.</w:t>
      </w:r>
    </w:p>
  </w:footnote>
  <w:footnote w:id="6">
    <w:p w14:paraId="4DD23136" w14:textId="1B4A4D09" w:rsidR="004C3F94" w:rsidRPr="002B4427" w:rsidRDefault="004C3F94" w:rsidP="006B1352">
      <w:pPr>
        <w:pStyle w:val="Notedebasdepage"/>
        <w:spacing w:after="0"/>
        <w:ind w:firstLine="0"/>
        <w:rPr>
          <w:lang w:val="en-US"/>
        </w:rPr>
      </w:pPr>
      <w:r>
        <w:rPr>
          <w:rStyle w:val="Appelnotedebasdep"/>
        </w:rPr>
        <w:footnoteRef/>
      </w:r>
      <w:r>
        <w:t xml:space="preserve"> </w:t>
      </w:r>
      <w:hyperlink r:id="rId2" w:history="1">
        <w:r w:rsidRPr="0044138C">
          <w:rPr>
            <w:rStyle w:val="Lienhypertexte"/>
          </w:rPr>
          <w:t>CBD/WG2020/REC/2/1</w:t>
        </w:r>
      </w:hyperlink>
      <w:r>
        <w:t>.</w:t>
      </w:r>
    </w:p>
  </w:footnote>
  <w:footnote w:id="7">
    <w:p w14:paraId="3037AD01" w14:textId="334377AC" w:rsidR="004C3F94" w:rsidRPr="000B3BC6" w:rsidRDefault="004C3F94" w:rsidP="006B1352">
      <w:pPr>
        <w:pStyle w:val="Notedebasdepage"/>
        <w:spacing w:after="0"/>
        <w:ind w:firstLine="0"/>
        <w:rPr>
          <w:lang w:val="en-US"/>
        </w:rPr>
      </w:pPr>
      <w:r>
        <w:rPr>
          <w:rStyle w:val="Appelnotedebasdep"/>
        </w:rPr>
        <w:footnoteRef/>
      </w:r>
      <w:r>
        <w:t xml:space="preserve"> </w:t>
      </w:r>
      <w:r w:rsidRPr="000C5964">
        <w:t>CBD</w:t>
      </w:r>
      <w:r w:rsidRPr="000B3BC6">
        <w:rPr>
          <w:lang w:val="en-US"/>
        </w:rPr>
        <w:t>/COP/14/6.</w:t>
      </w:r>
    </w:p>
  </w:footnote>
  <w:footnote w:id="8">
    <w:p w14:paraId="01CBE584" w14:textId="27DDA678" w:rsidR="004C3F94" w:rsidRPr="00296A8E" w:rsidRDefault="004C3F94" w:rsidP="006B1352">
      <w:pPr>
        <w:pStyle w:val="Notedebasdepage"/>
        <w:spacing w:after="0"/>
        <w:ind w:firstLine="0"/>
        <w:rPr>
          <w:lang w:val="fr-CA"/>
        </w:rPr>
      </w:pPr>
      <w:r w:rsidRPr="00296A8E">
        <w:rPr>
          <w:rStyle w:val="Appelnotedebasdep"/>
          <w:lang w:val="fr-CA"/>
        </w:rPr>
        <w:footnoteRef/>
      </w:r>
      <w:r w:rsidRPr="00296A8E">
        <w:rPr>
          <w:lang w:val="fr-CA"/>
        </w:rPr>
        <w:t xml:space="preserve"> </w:t>
      </w:r>
      <w:r>
        <w:rPr>
          <w:lang w:val="fr-CA"/>
        </w:rPr>
        <w:t xml:space="preserve">Les pays suivants profitant du soutien </w:t>
      </w:r>
      <w:proofErr w:type="spellStart"/>
      <w:r>
        <w:rPr>
          <w:lang w:val="fr-CA"/>
        </w:rPr>
        <w:t>BIOFIN</w:t>
      </w:r>
      <w:proofErr w:type="spellEnd"/>
      <w:r>
        <w:rPr>
          <w:lang w:val="fr-CA"/>
        </w:rPr>
        <w:t xml:space="preserve"> avaient terminé leur cadre de présentation des rapports financiers en mars 2020 : Afrique du Sud, Belize, Bhoutan, Chili, Colombie, Costa Rica, Cuba, Équateur, Géorgie, Guatemala, Inde, Kazakhstan, Mexique, Mozambique, Ouganda, Pérou, Philippines, Rwanda et Thaïlande</w:t>
      </w:r>
      <w:r w:rsidRPr="00296A8E">
        <w:rPr>
          <w:lang w:val="fr-CA"/>
        </w:rPr>
        <w:t>.</w:t>
      </w:r>
    </w:p>
  </w:footnote>
  <w:footnote w:id="9">
    <w:p w14:paraId="6FCA0453" w14:textId="19DCBB84" w:rsidR="004C3F94" w:rsidRPr="00296A8E" w:rsidRDefault="004C3F94" w:rsidP="006B1352">
      <w:pPr>
        <w:pStyle w:val="Notedebasdepage"/>
        <w:spacing w:after="0"/>
        <w:ind w:firstLine="0"/>
        <w:rPr>
          <w:lang w:val="fr-CA"/>
        </w:rPr>
      </w:pPr>
      <w:r w:rsidRPr="00296A8E">
        <w:rPr>
          <w:rStyle w:val="Appelnotedebasdep"/>
          <w:lang w:val="fr-CA"/>
        </w:rPr>
        <w:footnoteRef/>
      </w:r>
      <w:r w:rsidRPr="00296A8E">
        <w:rPr>
          <w:lang w:val="fr-CA"/>
        </w:rPr>
        <w:t xml:space="preserve"> </w:t>
      </w:r>
      <w:r>
        <w:rPr>
          <w:lang w:val="fr-CA"/>
        </w:rPr>
        <w:t xml:space="preserve">https://www.biodiversityfinance.net/finance-solutions </w:t>
      </w:r>
    </w:p>
  </w:footnote>
  <w:footnote w:id="10">
    <w:p w14:paraId="2A969616" w14:textId="7D480A41" w:rsidR="004C3F94" w:rsidRPr="00296A8E" w:rsidRDefault="004C3F94" w:rsidP="006B1352">
      <w:pPr>
        <w:pStyle w:val="Notedebasdepage"/>
        <w:spacing w:after="0"/>
        <w:ind w:firstLine="0"/>
        <w:rPr>
          <w:lang w:val="fr-CA"/>
        </w:rPr>
      </w:pPr>
      <w:r w:rsidRPr="00296A8E">
        <w:rPr>
          <w:rStyle w:val="Appelnotedebasdep"/>
          <w:lang w:val="fr-CA"/>
        </w:rPr>
        <w:footnoteRef/>
      </w:r>
      <w:r w:rsidRPr="00296A8E">
        <w:rPr>
          <w:lang w:val="fr-CA"/>
        </w:rPr>
        <w:t xml:space="preserve"> </w:t>
      </w:r>
      <w:r>
        <w:rPr>
          <w:lang w:val="fr-CA"/>
        </w:rPr>
        <w:t xml:space="preserve">Le cours en ligne est offert sur le site </w:t>
      </w:r>
      <w:hyperlink r:id="rId3" w:history="1">
        <w:r>
          <w:rPr>
            <w:rStyle w:val="Lienhypertexte"/>
            <w:lang w:val="fr-CA"/>
          </w:rPr>
          <w:t>https://www.learningfornature.org/fr/courses/biodiversity-finance/</w:t>
        </w:r>
      </w:hyperlink>
      <w:r w:rsidRPr="00296A8E">
        <w:rPr>
          <w:lang w:val="fr-CA"/>
        </w:rPr>
        <w:t>.</w:t>
      </w:r>
    </w:p>
  </w:footnote>
  <w:footnote w:id="11">
    <w:p w14:paraId="4BEF8051" w14:textId="355D7816" w:rsidR="004C3F94" w:rsidRPr="009418DD" w:rsidRDefault="004C3F94" w:rsidP="00E26E2C">
      <w:pPr>
        <w:pStyle w:val="Notedebasdepage"/>
        <w:spacing w:after="0"/>
        <w:ind w:firstLine="0"/>
        <w:jc w:val="left"/>
        <w:rPr>
          <w:lang w:val="fr-CA"/>
        </w:rPr>
      </w:pPr>
      <w:r>
        <w:rPr>
          <w:rStyle w:val="Appelnotedebasdep"/>
        </w:rPr>
        <w:footnoteRef/>
      </w:r>
      <w:r w:rsidRPr="00304215">
        <w:rPr>
          <w:lang w:val="es-419"/>
        </w:rPr>
        <w:t xml:space="preserve"> </w:t>
      </w:r>
      <w:r>
        <w:rPr>
          <w:lang w:val="fr-CA"/>
        </w:rPr>
        <w:t>Voir le paragraphe 8 de la décision</w:t>
      </w:r>
      <w:r w:rsidRPr="00304215">
        <w:rPr>
          <w:lang w:val="es-419"/>
        </w:rPr>
        <w:t xml:space="preserve"> </w:t>
      </w:r>
      <w:hyperlink r:id="rId4" w:history="1">
        <w:r w:rsidRPr="00304215">
          <w:rPr>
            <w:rStyle w:val="Lienhypertexte"/>
            <w:lang w:val="es-419"/>
          </w:rPr>
          <w:t>XI/4</w:t>
        </w:r>
      </w:hyperlink>
      <w:r>
        <w:rPr>
          <w:rStyle w:val="Lienhypertexte"/>
          <w:lang w:val="fr-CA"/>
        </w:rPr>
        <w:t>,</w:t>
      </w:r>
      <w:r w:rsidRPr="00304215">
        <w:rPr>
          <w:lang w:val="es-419"/>
        </w:rPr>
        <w:t xml:space="preserve"> </w:t>
      </w:r>
      <w:r>
        <w:rPr>
          <w:lang w:val="fr-CA"/>
        </w:rPr>
        <w:t xml:space="preserve">les paragraphes 19 à 23 et l’annexe I à la décision </w:t>
      </w:r>
      <w:hyperlink r:id="rId5" w:history="1">
        <w:r w:rsidRPr="00304215">
          <w:rPr>
            <w:rStyle w:val="Lienhypertexte"/>
            <w:lang w:val="es-419"/>
          </w:rPr>
          <w:t>XII/3</w:t>
        </w:r>
      </w:hyperlink>
      <w:r w:rsidRPr="009418DD">
        <w:rPr>
          <w:lang w:val="fr-CA"/>
        </w:rPr>
        <w:t xml:space="preserve">; les paragraphes 22 </w:t>
      </w:r>
      <w:r>
        <w:rPr>
          <w:lang w:val="fr-CA"/>
        </w:rPr>
        <w:t xml:space="preserve">à 25 de la décision </w:t>
      </w:r>
      <w:hyperlink r:id="rId6" w:history="1">
        <w:r w:rsidRPr="009418DD">
          <w:rPr>
            <w:rStyle w:val="Lienhypertexte"/>
            <w:lang w:val="fr-CA"/>
          </w:rPr>
          <w:t>XIII/20</w:t>
        </w:r>
      </w:hyperlink>
      <w:r w:rsidRPr="009418DD">
        <w:rPr>
          <w:lang w:val="fr-CA"/>
        </w:rPr>
        <w:t xml:space="preserve"> </w:t>
      </w:r>
      <w:r>
        <w:rPr>
          <w:lang w:val="fr-CA"/>
        </w:rPr>
        <w:t>et les paragraphes 8 à 13 de la décision</w:t>
      </w:r>
      <w:r w:rsidRPr="009418DD">
        <w:rPr>
          <w:lang w:val="fr-CA"/>
        </w:rPr>
        <w:t xml:space="preserve"> </w:t>
      </w:r>
      <w:hyperlink r:id="rId7" w:history="1">
        <w:r w:rsidRPr="009418DD">
          <w:rPr>
            <w:rStyle w:val="Lienhypertexte"/>
            <w:lang w:val="fr-CA"/>
          </w:rPr>
          <w:t>14/22</w:t>
        </w:r>
      </w:hyperlink>
      <w:r w:rsidRPr="009418DD">
        <w:rPr>
          <w:lang w:val="fr-CA"/>
        </w:rPr>
        <w:t>.</w:t>
      </w:r>
    </w:p>
  </w:footnote>
  <w:footnote w:id="12">
    <w:p w14:paraId="7EBD7F1A" w14:textId="37D4D7CA" w:rsidR="004C3F94" w:rsidRPr="002B5410" w:rsidRDefault="004C3F94" w:rsidP="00E26E2C">
      <w:pPr>
        <w:pStyle w:val="Notedebasdepage"/>
        <w:spacing w:after="0"/>
        <w:ind w:firstLine="0"/>
        <w:rPr>
          <w:lang w:val="fr-CA"/>
        </w:rPr>
      </w:pPr>
      <w:r w:rsidRPr="00D651EB">
        <w:rPr>
          <w:rStyle w:val="Appelnotedebasdep"/>
        </w:rPr>
        <w:footnoteRef/>
      </w:r>
      <w:r w:rsidRPr="002B5410">
        <w:rPr>
          <w:lang w:val="fr-CA"/>
        </w:rPr>
        <w:t xml:space="preserve"> CBD/</w:t>
      </w:r>
      <w:proofErr w:type="spellStart"/>
      <w:r w:rsidRPr="002B5410">
        <w:rPr>
          <w:lang w:val="fr-CA"/>
        </w:rPr>
        <w:t>SBI</w:t>
      </w:r>
      <w:proofErr w:type="spellEnd"/>
      <w:r w:rsidRPr="002B5410">
        <w:rPr>
          <w:lang w:val="fr-CA"/>
        </w:rPr>
        <w:t>/3/13.</w:t>
      </w:r>
    </w:p>
  </w:footnote>
  <w:footnote w:id="13">
    <w:p w14:paraId="3F2F110A" w14:textId="0D412F86" w:rsidR="004C3F94" w:rsidRPr="002B5410" w:rsidRDefault="004C3F94" w:rsidP="00E26E2C">
      <w:pPr>
        <w:pStyle w:val="Notedebasdepage"/>
        <w:spacing w:after="0"/>
        <w:ind w:firstLine="0"/>
        <w:rPr>
          <w:lang w:val="fr-CA"/>
        </w:rPr>
      </w:pPr>
      <w:r w:rsidRPr="00D651EB">
        <w:rPr>
          <w:rStyle w:val="Appelnotedebasdep"/>
        </w:rPr>
        <w:footnoteRef/>
      </w:r>
      <w:r w:rsidRPr="002B5410">
        <w:rPr>
          <w:lang w:val="fr-CA"/>
        </w:rPr>
        <w:t xml:space="preserve"> CBD/</w:t>
      </w:r>
      <w:proofErr w:type="spellStart"/>
      <w:r w:rsidRPr="002B5410">
        <w:rPr>
          <w:lang w:val="fr-CA"/>
        </w:rPr>
        <w:t>SBI</w:t>
      </w:r>
      <w:proofErr w:type="spellEnd"/>
      <w:r w:rsidRPr="002B5410">
        <w:rPr>
          <w:lang w:val="fr-CA"/>
        </w:rPr>
        <w:t>/3/13/Add.1.</w:t>
      </w:r>
    </w:p>
  </w:footnote>
  <w:footnote w:id="14">
    <w:p w14:paraId="6D036571" w14:textId="38372703" w:rsidR="00E26E2C" w:rsidRPr="00A70D05" w:rsidRDefault="00E26E2C" w:rsidP="00E26E2C">
      <w:pPr>
        <w:pStyle w:val="Notedebasdepage"/>
        <w:suppressLineNumbers/>
        <w:suppressAutoHyphens/>
        <w:ind w:firstLine="0"/>
        <w:jc w:val="left"/>
        <w:rPr>
          <w:kern w:val="18"/>
          <w:szCs w:val="18"/>
        </w:rPr>
      </w:pPr>
      <w:r w:rsidRPr="00A70D05">
        <w:rPr>
          <w:rStyle w:val="Appelnotedebasdep"/>
          <w:kern w:val="18"/>
          <w:sz w:val="18"/>
          <w:szCs w:val="18"/>
        </w:rPr>
        <w:footnoteRef/>
      </w:r>
      <w:r>
        <w:rPr>
          <w:kern w:val="18"/>
          <w:szCs w:val="18"/>
        </w:rPr>
        <w:t xml:space="preserve"> CBD/POST2020/</w:t>
      </w:r>
      <w:proofErr w:type="spellStart"/>
      <w:r>
        <w:rPr>
          <w:kern w:val="18"/>
          <w:szCs w:val="18"/>
        </w:rPr>
        <w:t>WS</w:t>
      </w:r>
      <w:proofErr w:type="spellEnd"/>
      <w:r>
        <w:rPr>
          <w:kern w:val="18"/>
          <w:szCs w:val="18"/>
        </w:rPr>
        <w:t>/2020/3</w:t>
      </w:r>
    </w:p>
  </w:footnote>
  <w:footnote w:id="15">
    <w:p w14:paraId="446A87DE" w14:textId="156BE5AA" w:rsidR="004C3F94" w:rsidRPr="00304215" w:rsidRDefault="004C3F94" w:rsidP="0031173A">
      <w:pPr>
        <w:pStyle w:val="Notedebasdepage"/>
        <w:spacing w:after="0"/>
        <w:ind w:firstLine="0"/>
        <w:rPr>
          <w:lang w:val="es-419"/>
        </w:rPr>
      </w:pPr>
      <w:r>
        <w:rPr>
          <w:rStyle w:val="Appelnotedebasdep"/>
        </w:rPr>
        <w:footnoteRef/>
      </w:r>
      <w:r w:rsidRPr="00304215">
        <w:rPr>
          <w:lang w:val="es-419"/>
        </w:rPr>
        <w:t xml:space="preserve"> CBD/</w:t>
      </w:r>
      <w:proofErr w:type="spellStart"/>
      <w:r w:rsidRPr="00304215">
        <w:rPr>
          <w:lang w:val="es-419"/>
        </w:rPr>
        <w:t>SBI</w:t>
      </w:r>
      <w:proofErr w:type="spellEnd"/>
      <w:r w:rsidRPr="00304215">
        <w:rPr>
          <w:lang w:val="es-419"/>
        </w:rPr>
        <w:t>/3/5/Add.1.</w:t>
      </w:r>
    </w:p>
  </w:footnote>
  <w:footnote w:id="16">
    <w:p w14:paraId="77A30FD0" w14:textId="2207582C" w:rsidR="004C3F94" w:rsidRPr="00304215" w:rsidRDefault="004C3F94" w:rsidP="0031173A">
      <w:pPr>
        <w:pStyle w:val="Commentaire"/>
        <w:spacing w:after="0"/>
        <w:rPr>
          <w:szCs w:val="18"/>
          <w:lang w:val="es-419"/>
        </w:rPr>
      </w:pPr>
      <w:r w:rsidRPr="00304215">
        <w:rPr>
          <w:rStyle w:val="Appelnotedebasdep"/>
          <w:sz w:val="18"/>
          <w:szCs w:val="18"/>
        </w:rPr>
        <w:footnoteRef/>
      </w:r>
      <w:r w:rsidRPr="00B526AB">
        <w:rPr>
          <w:sz w:val="18"/>
          <w:szCs w:val="18"/>
          <w:lang w:val="fr-CA"/>
        </w:rPr>
        <w:t xml:space="preserve"> </w:t>
      </w:r>
      <w:r>
        <w:rPr>
          <w:sz w:val="18"/>
          <w:szCs w:val="18"/>
          <w:lang w:val="fr-CA"/>
        </w:rPr>
        <w:t>Alinéas</w:t>
      </w:r>
      <w:r w:rsidRPr="00B526AB">
        <w:rPr>
          <w:sz w:val="18"/>
          <w:szCs w:val="18"/>
          <w:lang w:val="fr-CA"/>
        </w:rPr>
        <w:t xml:space="preserve"> 1 a) à e) de la décision</w:t>
      </w:r>
      <w:r>
        <w:rPr>
          <w:sz w:val="18"/>
          <w:szCs w:val="18"/>
          <w:lang w:val="fr-CA"/>
        </w:rPr>
        <w:t xml:space="preserve"> XII/3.</w:t>
      </w:r>
    </w:p>
  </w:footnote>
  <w:footnote w:id="17">
    <w:p w14:paraId="585D75B1" w14:textId="76106790" w:rsidR="00CB1385" w:rsidRPr="00CB1385" w:rsidRDefault="00CB1385" w:rsidP="00CB1385">
      <w:pPr>
        <w:pStyle w:val="Notedebasdepage"/>
        <w:suppressLineNumbers/>
        <w:suppressAutoHyphens/>
        <w:spacing w:after="0"/>
        <w:ind w:firstLine="0"/>
        <w:jc w:val="left"/>
        <w:rPr>
          <w:kern w:val="18"/>
          <w:szCs w:val="18"/>
          <w:lang w:val="fr-CA"/>
        </w:rPr>
      </w:pPr>
      <w:r w:rsidRPr="00A70D05">
        <w:rPr>
          <w:rStyle w:val="Appelnotedebasdep"/>
          <w:kern w:val="18"/>
          <w:sz w:val="18"/>
          <w:szCs w:val="18"/>
        </w:rPr>
        <w:footnoteRef/>
      </w:r>
      <w:r w:rsidRPr="00CB1385">
        <w:rPr>
          <w:kern w:val="18"/>
          <w:szCs w:val="18"/>
          <w:lang w:val="fr-CA"/>
        </w:rPr>
        <w:t xml:space="preserve"> V</w:t>
      </w:r>
      <w:r w:rsidR="007D2BC2">
        <w:rPr>
          <w:kern w:val="18"/>
          <w:szCs w:val="18"/>
          <w:lang w:val="fr-CA"/>
        </w:rPr>
        <w:t>oir la partie VI</w:t>
      </w:r>
      <w:r w:rsidRPr="00CB1385">
        <w:rPr>
          <w:kern w:val="18"/>
          <w:szCs w:val="18"/>
          <w:lang w:val="fr-CA"/>
        </w:rPr>
        <w:t xml:space="preserve"> du document</w:t>
      </w:r>
      <w:r>
        <w:rPr>
          <w:kern w:val="18"/>
          <w:szCs w:val="18"/>
          <w:lang w:val="fr-CA"/>
        </w:rPr>
        <w:t xml:space="preserve"> CBD/</w:t>
      </w:r>
      <w:proofErr w:type="spellStart"/>
      <w:r>
        <w:rPr>
          <w:kern w:val="18"/>
          <w:szCs w:val="18"/>
          <w:lang w:val="fr-CA"/>
        </w:rPr>
        <w:t>SBI</w:t>
      </w:r>
      <w:proofErr w:type="spellEnd"/>
      <w:r>
        <w:rPr>
          <w:kern w:val="18"/>
          <w:szCs w:val="18"/>
          <w:lang w:val="fr-CA"/>
        </w:rPr>
        <w:t>/3/5/Add.3</w:t>
      </w:r>
      <w:r w:rsidRPr="00CB1385">
        <w:rPr>
          <w:kern w:val="18"/>
          <w:szCs w:val="18"/>
          <w:lang w:val="fr-CA"/>
        </w:rPr>
        <w:t>.</w:t>
      </w:r>
    </w:p>
  </w:footnote>
  <w:footnote w:id="18">
    <w:p w14:paraId="4EF37630" w14:textId="7C353849" w:rsidR="00B40A9C" w:rsidRPr="00B40A9C" w:rsidRDefault="00B40A9C" w:rsidP="00CB1385">
      <w:pPr>
        <w:pStyle w:val="Notedebasdepage"/>
        <w:suppressLineNumbers/>
        <w:suppressAutoHyphens/>
        <w:spacing w:after="0"/>
        <w:ind w:firstLine="0"/>
        <w:jc w:val="left"/>
        <w:rPr>
          <w:kern w:val="18"/>
          <w:szCs w:val="18"/>
          <w:lang w:val="fr-CA"/>
        </w:rPr>
      </w:pPr>
      <w:r w:rsidRPr="00A70D05">
        <w:rPr>
          <w:rStyle w:val="Appelnotedebasdep"/>
          <w:kern w:val="18"/>
          <w:sz w:val="18"/>
          <w:szCs w:val="18"/>
        </w:rPr>
        <w:footnoteRef/>
      </w:r>
      <w:r w:rsidRPr="00B40A9C">
        <w:rPr>
          <w:kern w:val="18"/>
          <w:szCs w:val="18"/>
          <w:lang w:val="es-419"/>
        </w:rPr>
        <w:t xml:space="preserve"> </w:t>
      </w:r>
      <w:r w:rsidRPr="00B40A9C">
        <w:rPr>
          <w:kern w:val="18"/>
          <w:szCs w:val="18"/>
          <w:lang w:val="fr-CA"/>
        </w:rPr>
        <w:t>Voir le rapport d</w:t>
      </w:r>
      <w:r w:rsidR="00CB1385">
        <w:rPr>
          <w:kern w:val="18"/>
          <w:szCs w:val="18"/>
          <w:lang w:val="fr-CA"/>
        </w:rPr>
        <w:t>e la deuxième réunion d</w:t>
      </w:r>
      <w:r w:rsidRPr="00B40A9C">
        <w:rPr>
          <w:kern w:val="18"/>
          <w:szCs w:val="18"/>
          <w:lang w:val="fr-CA"/>
        </w:rPr>
        <w:t xml:space="preserve">u Groupe de travail sur le </w:t>
      </w:r>
      <w:r w:rsidR="00CB1385">
        <w:rPr>
          <w:kern w:val="18"/>
          <w:szCs w:val="18"/>
          <w:lang w:val="fr-CA"/>
        </w:rPr>
        <w:t>cadre mondial de la biodiversité pour l'après-2020</w:t>
      </w:r>
      <w:r w:rsidRPr="00B40A9C">
        <w:rPr>
          <w:kern w:val="18"/>
          <w:szCs w:val="18"/>
          <w:lang w:val="fr-CA"/>
        </w:rPr>
        <w:t xml:space="preserve"> (</w:t>
      </w:r>
      <w:r w:rsidRPr="00B40A9C">
        <w:rPr>
          <w:bCs/>
          <w:snapToGrid w:val="0"/>
          <w:kern w:val="18"/>
          <w:szCs w:val="18"/>
          <w:lang w:val="fr-CA"/>
        </w:rPr>
        <w:t>CBD/WG2020/2/4).</w:t>
      </w:r>
    </w:p>
  </w:footnote>
  <w:footnote w:id="19">
    <w:p w14:paraId="1B3A12E9" w14:textId="053DDB2B" w:rsidR="004C3F94" w:rsidRPr="00526076" w:rsidRDefault="004C3F94" w:rsidP="00396BE8">
      <w:pPr>
        <w:pStyle w:val="Notedebasdepage"/>
        <w:spacing w:after="0"/>
        <w:ind w:firstLine="0"/>
        <w:rPr>
          <w:lang w:val="fr-CA"/>
        </w:rPr>
      </w:pPr>
      <w:r>
        <w:rPr>
          <w:rStyle w:val="Appelnotedebasdep"/>
        </w:rPr>
        <w:footnoteRef/>
      </w:r>
      <w:r w:rsidRPr="00526076">
        <w:rPr>
          <w:lang w:val="fr-CA"/>
        </w:rPr>
        <w:t xml:space="preserve"> CBD/</w:t>
      </w:r>
      <w:proofErr w:type="spellStart"/>
      <w:r w:rsidRPr="00526076">
        <w:rPr>
          <w:lang w:val="fr-CA"/>
        </w:rPr>
        <w:t>SBI</w:t>
      </w:r>
      <w:proofErr w:type="spellEnd"/>
      <w:r w:rsidRPr="00526076">
        <w:rPr>
          <w:lang w:val="fr-CA"/>
        </w:rPr>
        <w:t>/3/13 et Add.1.</w:t>
      </w:r>
    </w:p>
  </w:footnote>
  <w:footnote w:id="20">
    <w:p w14:paraId="4CAFD324" w14:textId="2258F8D3" w:rsidR="004C3F94" w:rsidRPr="00526076" w:rsidRDefault="004C3F94" w:rsidP="00396BE8">
      <w:pPr>
        <w:pStyle w:val="Notedebasdepage"/>
        <w:spacing w:after="0"/>
        <w:ind w:firstLine="0"/>
        <w:rPr>
          <w:lang w:val="fr-CA"/>
        </w:rPr>
      </w:pPr>
      <w:r>
        <w:rPr>
          <w:rStyle w:val="Appelnotedebasdep"/>
        </w:rPr>
        <w:footnoteRef/>
      </w:r>
      <w:r w:rsidRPr="00526076">
        <w:rPr>
          <w:lang w:val="fr-CA"/>
        </w:rPr>
        <w:t xml:space="preserve"> Voir le programme de travail sur l’article 8 j) et les dispositions connexes, et le secteur stratégique III de l’approche </w:t>
      </w:r>
      <w:r>
        <w:rPr>
          <w:lang w:val="fr-CA"/>
        </w:rPr>
        <w:t>à long terme à l’intégration</w:t>
      </w:r>
      <w:r w:rsidRPr="00526076">
        <w:rPr>
          <w:lang w:val="fr-CA"/>
        </w:rPr>
        <w:t xml:space="preserve"> (CBD/</w:t>
      </w:r>
      <w:proofErr w:type="spellStart"/>
      <w:r w:rsidRPr="00526076">
        <w:rPr>
          <w:lang w:val="fr-CA"/>
        </w:rPr>
        <w:t>SBI</w:t>
      </w:r>
      <w:proofErr w:type="spellEnd"/>
      <w:r w:rsidRPr="00526076">
        <w:rPr>
          <w:lang w:val="fr-CA"/>
        </w:rPr>
        <w:t>/3/13).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5190397" w14:textId="77777777" w:rsidR="004C3F94" w:rsidRPr="001C6487" w:rsidRDefault="004C3F94" w:rsidP="001C6487">
        <w:pPr>
          <w:pStyle w:val="En-tte"/>
          <w:tabs>
            <w:tab w:val="clear" w:pos="4320"/>
            <w:tab w:val="clear" w:pos="8640"/>
          </w:tabs>
          <w:kinsoku w:val="0"/>
          <w:overflowPunct w:val="0"/>
          <w:autoSpaceDE w:val="0"/>
          <w:autoSpaceDN w:val="0"/>
          <w:jc w:val="left"/>
          <w:rPr>
            <w:noProof/>
            <w:kern w:val="22"/>
          </w:rPr>
        </w:pPr>
        <w:r>
          <w:rPr>
            <w:noProof/>
            <w:kern w:val="22"/>
          </w:rPr>
          <w:t>CBD/SBI/3/5</w:t>
        </w:r>
      </w:p>
    </w:sdtContent>
  </w:sdt>
  <w:p w14:paraId="6BAB881A" w14:textId="77777777" w:rsidR="004C3F94" w:rsidRPr="001C6487" w:rsidRDefault="004C3F94" w:rsidP="001C6487">
    <w:pPr>
      <w:pStyle w:val="En-tte"/>
      <w:tabs>
        <w:tab w:val="clear" w:pos="4320"/>
        <w:tab w:val="clear" w:pos="8640"/>
      </w:tabs>
      <w:kinsoku w:val="0"/>
      <w:overflowPunct w:val="0"/>
      <w:autoSpaceDE w:val="0"/>
      <w:autoSpaceDN w:val="0"/>
      <w:spacing w:after="240"/>
      <w:jc w:val="lef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922E77">
      <w:rPr>
        <w:noProof/>
        <w:kern w:val="22"/>
      </w:rPr>
      <w:t>14</w:t>
    </w:r>
    <w:r w:rsidRPr="001C6487">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4B369C8" w14:textId="77777777" w:rsidR="004C3F94" w:rsidRPr="001C6487" w:rsidRDefault="004C3F94" w:rsidP="001C6487">
        <w:pPr>
          <w:pStyle w:val="En-tte"/>
          <w:tabs>
            <w:tab w:val="clear" w:pos="4320"/>
            <w:tab w:val="clear" w:pos="8640"/>
          </w:tabs>
          <w:kinsoku w:val="0"/>
          <w:overflowPunct w:val="0"/>
          <w:autoSpaceDE w:val="0"/>
          <w:autoSpaceDN w:val="0"/>
          <w:jc w:val="right"/>
          <w:rPr>
            <w:noProof/>
            <w:kern w:val="22"/>
          </w:rPr>
        </w:pPr>
        <w:r>
          <w:rPr>
            <w:noProof/>
            <w:kern w:val="22"/>
          </w:rPr>
          <w:t>CBD/SBI/3/5</w:t>
        </w:r>
      </w:p>
    </w:sdtContent>
  </w:sdt>
  <w:p w14:paraId="41EDC9DD" w14:textId="77777777" w:rsidR="004C3F94" w:rsidRPr="001C6487" w:rsidRDefault="004C3F94" w:rsidP="001C6487">
    <w:pPr>
      <w:pStyle w:val="En-tte"/>
      <w:tabs>
        <w:tab w:val="clear" w:pos="4320"/>
        <w:tab w:val="clear" w:pos="8640"/>
      </w:tabs>
      <w:kinsoku w:val="0"/>
      <w:overflowPunct w:val="0"/>
      <w:autoSpaceDE w:val="0"/>
      <w:autoSpaceDN w:val="0"/>
      <w:spacing w:after="240"/>
      <w:jc w:val="righ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922E77">
      <w:rPr>
        <w:noProof/>
        <w:kern w:val="22"/>
      </w:rPr>
      <w:t>15</w:t>
    </w:r>
    <w:r w:rsidRPr="001C6487">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89D8AAA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B0475A"/>
    <w:multiLevelType w:val="hybridMultilevel"/>
    <w:tmpl w:val="497A27C4"/>
    <w:lvl w:ilvl="0" w:tplc="00A8A330">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E61405D"/>
    <w:multiLevelType w:val="hybridMultilevel"/>
    <w:tmpl w:val="C55631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7A92"/>
    <w:multiLevelType w:val="hybridMultilevel"/>
    <w:tmpl w:val="DB948036"/>
    <w:lvl w:ilvl="0" w:tplc="1E506D00">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FE47D1"/>
    <w:multiLevelType w:val="hybridMultilevel"/>
    <w:tmpl w:val="9482B8C6"/>
    <w:lvl w:ilvl="0" w:tplc="0610FA9E">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0"/>
  </w:num>
  <w:num w:numId="5">
    <w:abstractNumId w:val="5"/>
  </w:num>
  <w:num w:numId="6">
    <w:abstractNumId w:val="3"/>
  </w:num>
  <w:num w:numId="7">
    <w:abstractNumId w:val="9"/>
  </w:num>
  <w:num w:numId="8">
    <w:abstractNumId w:val="11"/>
  </w:num>
  <w:num w:numId="9">
    <w:abstractNumId w:val="6"/>
  </w:num>
  <w:num w:numId="10">
    <w:abstractNumId w:val="14"/>
  </w:num>
  <w:num w:numId="11">
    <w:abstractNumId w:val="8"/>
  </w:num>
  <w:num w:numId="12">
    <w:abstractNumId w:val="15"/>
  </w:num>
  <w:num w:numId="13">
    <w:abstractNumId w:val="0"/>
  </w:num>
  <w:num w:numId="14">
    <w:abstractNumId w:val="7"/>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6"/>
  </w:num>
  <w:num w:numId="35">
    <w:abstractNumId w:val="2"/>
  </w:num>
  <w:num w:numId="36">
    <w:abstractNumId w:val="12"/>
  </w:num>
  <w:num w:numId="37">
    <w:abstractNumId w:val="5"/>
    <w:lvlOverride w:ilvl="0">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1A0"/>
    <w:rsid w:val="00003204"/>
    <w:rsid w:val="000032D7"/>
    <w:rsid w:val="00003B30"/>
    <w:rsid w:val="00004C1F"/>
    <w:rsid w:val="000059E3"/>
    <w:rsid w:val="00005B03"/>
    <w:rsid w:val="0000635A"/>
    <w:rsid w:val="00006997"/>
    <w:rsid w:val="00006A2A"/>
    <w:rsid w:val="00007D74"/>
    <w:rsid w:val="00010EEA"/>
    <w:rsid w:val="00011255"/>
    <w:rsid w:val="00012174"/>
    <w:rsid w:val="00012607"/>
    <w:rsid w:val="0001262B"/>
    <w:rsid w:val="00013E58"/>
    <w:rsid w:val="000141A4"/>
    <w:rsid w:val="000146D6"/>
    <w:rsid w:val="0001527D"/>
    <w:rsid w:val="00016729"/>
    <w:rsid w:val="00022279"/>
    <w:rsid w:val="00022379"/>
    <w:rsid w:val="000226F3"/>
    <w:rsid w:val="0002323C"/>
    <w:rsid w:val="0002363B"/>
    <w:rsid w:val="000239CD"/>
    <w:rsid w:val="00023C1D"/>
    <w:rsid w:val="000240FD"/>
    <w:rsid w:val="00024328"/>
    <w:rsid w:val="0002528F"/>
    <w:rsid w:val="000261F8"/>
    <w:rsid w:val="000325AF"/>
    <w:rsid w:val="00032F47"/>
    <w:rsid w:val="00034974"/>
    <w:rsid w:val="00034AD2"/>
    <w:rsid w:val="0003588B"/>
    <w:rsid w:val="00036097"/>
    <w:rsid w:val="00036BD2"/>
    <w:rsid w:val="0003720C"/>
    <w:rsid w:val="00037223"/>
    <w:rsid w:val="000374B2"/>
    <w:rsid w:val="00040383"/>
    <w:rsid w:val="000409AB"/>
    <w:rsid w:val="0004150F"/>
    <w:rsid w:val="00043120"/>
    <w:rsid w:val="000431CB"/>
    <w:rsid w:val="00043671"/>
    <w:rsid w:val="00044B41"/>
    <w:rsid w:val="00044ED8"/>
    <w:rsid w:val="00050FE2"/>
    <w:rsid w:val="00053690"/>
    <w:rsid w:val="00053C7B"/>
    <w:rsid w:val="000569BF"/>
    <w:rsid w:val="00056E42"/>
    <w:rsid w:val="000574E4"/>
    <w:rsid w:val="000633CF"/>
    <w:rsid w:val="00063663"/>
    <w:rsid w:val="00063D99"/>
    <w:rsid w:val="00064EA2"/>
    <w:rsid w:val="00067291"/>
    <w:rsid w:val="000706AB"/>
    <w:rsid w:val="00071FBF"/>
    <w:rsid w:val="0007354D"/>
    <w:rsid w:val="00074136"/>
    <w:rsid w:val="000741C5"/>
    <w:rsid w:val="00074608"/>
    <w:rsid w:val="00080537"/>
    <w:rsid w:val="00081344"/>
    <w:rsid w:val="00081CEB"/>
    <w:rsid w:val="00084813"/>
    <w:rsid w:val="0008566E"/>
    <w:rsid w:val="0008578A"/>
    <w:rsid w:val="00085DE0"/>
    <w:rsid w:val="00090F26"/>
    <w:rsid w:val="000917E0"/>
    <w:rsid w:val="00092695"/>
    <w:rsid w:val="000974AC"/>
    <w:rsid w:val="000A1885"/>
    <w:rsid w:val="000A19E3"/>
    <w:rsid w:val="000A1DF1"/>
    <w:rsid w:val="000A2D2A"/>
    <w:rsid w:val="000A32C5"/>
    <w:rsid w:val="000A4484"/>
    <w:rsid w:val="000A4F7D"/>
    <w:rsid w:val="000A69AB"/>
    <w:rsid w:val="000A7168"/>
    <w:rsid w:val="000A7398"/>
    <w:rsid w:val="000B0FDD"/>
    <w:rsid w:val="000B33D2"/>
    <w:rsid w:val="000B3BC6"/>
    <w:rsid w:val="000B4901"/>
    <w:rsid w:val="000B5A61"/>
    <w:rsid w:val="000B620B"/>
    <w:rsid w:val="000B622E"/>
    <w:rsid w:val="000B660F"/>
    <w:rsid w:val="000B7281"/>
    <w:rsid w:val="000B7D97"/>
    <w:rsid w:val="000C1426"/>
    <w:rsid w:val="000C30CA"/>
    <w:rsid w:val="000C4162"/>
    <w:rsid w:val="000C5292"/>
    <w:rsid w:val="000C5964"/>
    <w:rsid w:val="000C5DB9"/>
    <w:rsid w:val="000C726B"/>
    <w:rsid w:val="000D0A27"/>
    <w:rsid w:val="000D0DFF"/>
    <w:rsid w:val="000D1F55"/>
    <w:rsid w:val="000D2EA4"/>
    <w:rsid w:val="000D3506"/>
    <w:rsid w:val="000D4006"/>
    <w:rsid w:val="000D40D5"/>
    <w:rsid w:val="000D424F"/>
    <w:rsid w:val="000D551A"/>
    <w:rsid w:val="000D5B67"/>
    <w:rsid w:val="000D633D"/>
    <w:rsid w:val="000E44B0"/>
    <w:rsid w:val="000E4512"/>
    <w:rsid w:val="000E48F6"/>
    <w:rsid w:val="000E5967"/>
    <w:rsid w:val="000E5D25"/>
    <w:rsid w:val="000E673A"/>
    <w:rsid w:val="000E75F6"/>
    <w:rsid w:val="000F0871"/>
    <w:rsid w:val="000F0B30"/>
    <w:rsid w:val="000F19A3"/>
    <w:rsid w:val="000F5639"/>
    <w:rsid w:val="000F5C35"/>
    <w:rsid w:val="000F5CB5"/>
    <w:rsid w:val="000F65BD"/>
    <w:rsid w:val="000F6B1C"/>
    <w:rsid w:val="000F6FE2"/>
    <w:rsid w:val="000F7251"/>
    <w:rsid w:val="000F74F5"/>
    <w:rsid w:val="0010011C"/>
    <w:rsid w:val="00100848"/>
    <w:rsid w:val="001009EE"/>
    <w:rsid w:val="00101262"/>
    <w:rsid w:val="0010196E"/>
    <w:rsid w:val="001021EA"/>
    <w:rsid w:val="00103CB5"/>
    <w:rsid w:val="001049D5"/>
    <w:rsid w:val="00104B58"/>
    <w:rsid w:val="00105372"/>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1BE4"/>
    <w:rsid w:val="001226BC"/>
    <w:rsid w:val="001228F2"/>
    <w:rsid w:val="00122D4E"/>
    <w:rsid w:val="00124367"/>
    <w:rsid w:val="00124768"/>
    <w:rsid w:val="00124EC2"/>
    <w:rsid w:val="00124EF9"/>
    <w:rsid w:val="001259BB"/>
    <w:rsid w:val="0012655A"/>
    <w:rsid w:val="001277E3"/>
    <w:rsid w:val="00130239"/>
    <w:rsid w:val="00131DF3"/>
    <w:rsid w:val="00131E7A"/>
    <w:rsid w:val="001323A7"/>
    <w:rsid w:val="001346D9"/>
    <w:rsid w:val="00136234"/>
    <w:rsid w:val="00136632"/>
    <w:rsid w:val="0013667F"/>
    <w:rsid w:val="00136EF9"/>
    <w:rsid w:val="00140AA3"/>
    <w:rsid w:val="00141856"/>
    <w:rsid w:val="00141982"/>
    <w:rsid w:val="0014442A"/>
    <w:rsid w:val="001449D2"/>
    <w:rsid w:val="00144A05"/>
    <w:rsid w:val="00144DB6"/>
    <w:rsid w:val="0014567B"/>
    <w:rsid w:val="00145AC8"/>
    <w:rsid w:val="00146C06"/>
    <w:rsid w:val="00146FDB"/>
    <w:rsid w:val="00147018"/>
    <w:rsid w:val="001505AB"/>
    <w:rsid w:val="0015363F"/>
    <w:rsid w:val="0015565D"/>
    <w:rsid w:val="0015693B"/>
    <w:rsid w:val="00161D2C"/>
    <w:rsid w:val="00163094"/>
    <w:rsid w:val="00163E8F"/>
    <w:rsid w:val="0016415F"/>
    <w:rsid w:val="0016488B"/>
    <w:rsid w:val="00165FC9"/>
    <w:rsid w:val="001661F8"/>
    <w:rsid w:val="0016676E"/>
    <w:rsid w:val="00166EC3"/>
    <w:rsid w:val="00167234"/>
    <w:rsid w:val="00167536"/>
    <w:rsid w:val="00171315"/>
    <w:rsid w:val="00171AE4"/>
    <w:rsid w:val="00171F01"/>
    <w:rsid w:val="00172AF6"/>
    <w:rsid w:val="001734FB"/>
    <w:rsid w:val="00174912"/>
    <w:rsid w:val="00175A99"/>
    <w:rsid w:val="00176247"/>
    <w:rsid w:val="00176357"/>
    <w:rsid w:val="00176CEE"/>
    <w:rsid w:val="00177208"/>
    <w:rsid w:val="00177751"/>
    <w:rsid w:val="00177859"/>
    <w:rsid w:val="00177BE5"/>
    <w:rsid w:val="00180488"/>
    <w:rsid w:val="00181BEC"/>
    <w:rsid w:val="0018211D"/>
    <w:rsid w:val="00182DE7"/>
    <w:rsid w:val="001833AA"/>
    <w:rsid w:val="00184683"/>
    <w:rsid w:val="00184F11"/>
    <w:rsid w:val="00185499"/>
    <w:rsid w:val="00186DD8"/>
    <w:rsid w:val="00187C96"/>
    <w:rsid w:val="00190571"/>
    <w:rsid w:val="00191F0F"/>
    <w:rsid w:val="001938C0"/>
    <w:rsid w:val="00193CC9"/>
    <w:rsid w:val="00194BB1"/>
    <w:rsid w:val="001971FB"/>
    <w:rsid w:val="001A031A"/>
    <w:rsid w:val="001A1535"/>
    <w:rsid w:val="001A1E12"/>
    <w:rsid w:val="001A24B9"/>
    <w:rsid w:val="001A3814"/>
    <w:rsid w:val="001A53D7"/>
    <w:rsid w:val="001A5703"/>
    <w:rsid w:val="001A604B"/>
    <w:rsid w:val="001A61AC"/>
    <w:rsid w:val="001B1D6B"/>
    <w:rsid w:val="001B27C2"/>
    <w:rsid w:val="001B2A3E"/>
    <w:rsid w:val="001B2A53"/>
    <w:rsid w:val="001B30BE"/>
    <w:rsid w:val="001B38D1"/>
    <w:rsid w:val="001B3D7F"/>
    <w:rsid w:val="001B48E7"/>
    <w:rsid w:val="001B7CE3"/>
    <w:rsid w:val="001C2106"/>
    <w:rsid w:val="001C2636"/>
    <w:rsid w:val="001C2864"/>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D7151"/>
    <w:rsid w:val="001E0760"/>
    <w:rsid w:val="001E1637"/>
    <w:rsid w:val="001E400A"/>
    <w:rsid w:val="001E41B6"/>
    <w:rsid w:val="001E4C8F"/>
    <w:rsid w:val="001E4E30"/>
    <w:rsid w:val="001E57AA"/>
    <w:rsid w:val="001E6625"/>
    <w:rsid w:val="001E7490"/>
    <w:rsid w:val="001F0A6D"/>
    <w:rsid w:val="001F18A6"/>
    <w:rsid w:val="001F2D16"/>
    <w:rsid w:val="001F34BD"/>
    <w:rsid w:val="001F423F"/>
    <w:rsid w:val="001F5766"/>
    <w:rsid w:val="001F6963"/>
    <w:rsid w:val="00200576"/>
    <w:rsid w:val="00202E6C"/>
    <w:rsid w:val="00203483"/>
    <w:rsid w:val="002044B0"/>
    <w:rsid w:val="002058A7"/>
    <w:rsid w:val="0021076C"/>
    <w:rsid w:val="00210838"/>
    <w:rsid w:val="0021119B"/>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4D18"/>
    <w:rsid w:val="00227706"/>
    <w:rsid w:val="00227B77"/>
    <w:rsid w:val="0023027F"/>
    <w:rsid w:val="002323EB"/>
    <w:rsid w:val="0023428D"/>
    <w:rsid w:val="0023441A"/>
    <w:rsid w:val="00235149"/>
    <w:rsid w:val="00235E34"/>
    <w:rsid w:val="00236952"/>
    <w:rsid w:val="00236982"/>
    <w:rsid w:val="00236A39"/>
    <w:rsid w:val="002370B9"/>
    <w:rsid w:val="00242C77"/>
    <w:rsid w:val="002442CD"/>
    <w:rsid w:val="0024552A"/>
    <w:rsid w:val="00245559"/>
    <w:rsid w:val="00245D3F"/>
    <w:rsid w:val="00246063"/>
    <w:rsid w:val="00246D89"/>
    <w:rsid w:val="0024774E"/>
    <w:rsid w:val="002505E6"/>
    <w:rsid w:val="00252C21"/>
    <w:rsid w:val="00254238"/>
    <w:rsid w:val="002545EF"/>
    <w:rsid w:val="00255798"/>
    <w:rsid w:val="002560ED"/>
    <w:rsid w:val="002562CD"/>
    <w:rsid w:val="00256684"/>
    <w:rsid w:val="0025725F"/>
    <w:rsid w:val="00261223"/>
    <w:rsid w:val="002614D7"/>
    <w:rsid w:val="00263268"/>
    <w:rsid w:val="00267D41"/>
    <w:rsid w:val="0027116E"/>
    <w:rsid w:val="00271509"/>
    <w:rsid w:val="00271552"/>
    <w:rsid w:val="00271E6F"/>
    <w:rsid w:val="002726D6"/>
    <w:rsid w:val="002730F5"/>
    <w:rsid w:val="00275AE1"/>
    <w:rsid w:val="0028051F"/>
    <w:rsid w:val="00281974"/>
    <w:rsid w:val="00281A53"/>
    <w:rsid w:val="002828FF"/>
    <w:rsid w:val="00282DEF"/>
    <w:rsid w:val="002830A1"/>
    <w:rsid w:val="002841B6"/>
    <w:rsid w:val="0028455B"/>
    <w:rsid w:val="00284CA9"/>
    <w:rsid w:val="00284DB5"/>
    <w:rsid w:val="00285531"/>
    <w:rsid w:val="00285875"/>
    <w:rsid w:val="0028648E"/>
    <w:rsid w:val="00287C5C"/>
    <w:rsid w:val="00287F27"/>
    <w:rsid w:val="00290975"/>
    <w:rsid w:val="00292A05"/>
    <w:rsid w:val="0029397B"/>
    <w:rsid w:val="00295E2C"/>
    <w:rsid w:val="00296A8E"/>
    <w:rsid w:val="00297A52"/>
    <w:rsid w:val="002A177C"/>
    <w:rsid w:val="002A22AA"/>
    <w:rsid w:val="002A2C57"/>
    <w:rsid w:val="002A2FC8"/>
    <w:rsid w:val="002A4F26"/>
    <w:rsid w:val="002A520B"/>
    <w:rsid w:val="002A5C35"/>
    <w:rsid w:val="002A6292"/>
    <w:rsid w:val="002A6AE7"/>
    <w:rsid w:val="002A6EBE"/>
    <w:rsid w:val="002A78C8"/>
    <w:rsid w:val="002A7BDC"/>
    <w:rsid w:val="002A7D69"/>
    <w:rsid w:val="002B020F"/>
    <w:rsid w:val="002B232F"/>
    <w:rsid w:val="002B23D0"/>
    <w:rsid w:val="002B3587"/>
    <w:rsid w:val="002B4388"/>
    <w:rsid w:val="002B4427"/>
    <w:rsid w:val="002B5410"/>
    <w:rsid w:val="002B6129"/>
    <w:rsid w:val="002B6E73"/>
    <w:rsid w:val="002B7174"/>
    <w:rsid w:val="002B75FB"/>
    <w:rsid w:val="002B78A4"/>
    <w:rsid w:val="002C0079"/>
    <w:rsid w:val="002C050E"/>
    <w:rsid w:val="002C1EE7"/>
    <w:rsid w:val="002C3567"/>
    <w:rsid w:val="002C4C48"/>
    <w:rsid w:val="002C5422"/>
    <w:rsid w:val="002C5FD5"/>
    <w:rsid w:val="002C6E58"/>
    <w:rsid w:val="002C737C"/>
    <w:rsid w:val="002C7DAB"/>
    <w:rsid w:val="002D01C6"/>
    <w:rsid w:val="002D0B6E"/>
    <w:rsid w:val="002D1377"/>
    <w:rsid w:val="002D23A9"/>
    <w:rsid w:val="002D473D"/>
    <w:rsid w:val="002D4773"/>
    <w:rsid w:val="002D607C"/>
    <w:rsid w:val="002D637C"/>
    <w:rsid w:val="002D6CCA"/>
    <w:rsid w:val="002D77F2"/>
    <w:rsid w:val="002E038A"/>
    <w:rsid w:val="002E04AB"/>
    <w:rsid w:val="002E23B6"/>
    <w:rsid w:val="002E2C2D"/>
    <w:rsid w:val="002E509F"/>
    <w:rsid w:val="002E5E8E"/>
    <w:rsid w:val="002E6B07"/>
    <w:rsid w:val="002E7E89"/>
    <w:rsid w:val="002F3587"/>
    <w:rsid w:val="002F4993"/>
    <w:rsid w:val="002F5B68"/>
    <w:rsid w:val="003001B8"/>
    <w:rsid w:val="003036C4"/>
    <w:rsid w:val="00304215"/>
    <w:rsid w:val="003046CB"/>
    <w:rsid w:val="00305B2A"/>
    <w:rsid w:val="00307C7A"/>
    <w:rsid w:val="003108CE"/>
    <w:rsid w:val="00310AB5"/>
    <w:rsid w:val="00310DA8"/>
    <w:rsid w:val="00310F43"/>
    <w:rsid w:val="0031173A"/>
    <w:rsid w:val="00312898"/>
    <w:rsid w:val="00312B0C"/>
    <w:rsid w:val="00313B81"/>
    <w:rsid w:val="00313BDA"/>
    <w:rsid w:val="00313F6B"/>
    <w:rsid w:val="00314551"/>
    <w:rsid w:val="00314AF7"/>
    <w:rsid w:val="003151B8"/>
    <w:rsid w:val="00315241"/>
    <w:rsid w:val="00315A85"/>
    <w:rsid w:val="00317851"/>
    <w:rsid w:val="003200AA"/>
    <w:rsid w:val="0032081D"/>
    <w:rsid w:val="00320D21"/>
    <w:rsid w:val="00321FB8"/>
    <w:rsid w:val="003220D4"/>
    <w:rsid w:val="00322118"/>
    <w:rsid w:val="00322132"/>
    <w:rsid w:val="00323613"/>
    <w:rsid w:val="00323F28"/>
    <w:rsid w:val="00325473"/>
    <w:rsid w:val="0032568A"/>
    <w:rsid w:val="00325DEC"/>
    <w:rsid w:val="003262A3"/>
    <w:rsid w:val="00327465"/>
    <w:rsid w:val="0032748D"/>
    <w:rsid w:val="003278AB"/>
    <w:rsid w:val="00330D75"/>
    <w:rsid w:val="0033443E"/>
    <w:rsid w:val="00334531"/>
    <w:rsid w:val="003363DF"/>
    <w:rsid w:val="0033797B"/>
    <w:rsid w:val="00340B82"/>
    <w:rsid w:val="003432AA"/>
    <w:rsid w:val="0034449C"/>
    <w:rsid w:val="00344DEF"/>
    <w:rsid w:val="003458B5"/>
    <w:rsid w:val="003459B9"/>
    <w:rsid w:val="0034603D"/>
    <w:rsid w:val="003464E2"/>
    <w:rsid w:val="00346E2D"/>
    <w:rsid w:val="00350DFB"/>
    <w:rsid w:val="00350DFD"/>
    <w:rsid w:val="00350E6E"/>
    <w:rsid w:val="003517B9"/>
    <w:rsid w:val="00352149"/>
    <w:rsid w:val="00353946"/>
    <w:rsid w:val="00356582"/>
    <w:rsid w:val="00356CE4"/>
    <w:rsid w:val="003571E8"/>
    <w:rsid w:val="00362ACA"/>
    <w:rsid w:val="00362FDF"/>
    <w:rsid w:val="00364E04"/>
    <w:rsid w:val="003667BC"/>
    <w:rsid w:val="00366CE6"/>
    <w:rsid w:val="003675DE"/>
    <w:rsid w:val="00367992"/>
    <w:rsid w:val="00370326"/>
    <w:rsid w:val="003706EC"/>
    <w:rsid w:val="0037095B"/>
    <w:rsid w:val="00370E83"/>
    <w:rsid w:val="00372AC6"/>
    <w:rsid w:val="00372F74"/>
    <w:rsid w:val="00373C8A"/>
    <w:rsid w:val="00373EA6"/>
    <w:rsid w:val="003741C2"/>
    <w:rsid w:val="00374515"/>
    <w:rsid w:val="00374D60"/>
    <w:rsid w:val="00377CE4"/>
    <w:rsid w:val="003821DD"/>
    <w:rsid w:val="003830D1"/>
    <w:rsid w:val="00385D77"/>
    <w:rsid w:val="00387290"/>
    <w:rsid w:val="00390543"/>
    <w:rsid w:val="003907F8"/>
    <w:rsid w:val="00390890"/>
    <w:rsid w:val="003927A4"/>
    <w:rsid w:val="00392943"/>
    <w:rsid w:val="00392E8F"/>
    <w:rsid w:val="003933BF"/>
    <w:rsid w:val="0039355D"/>
    <w:rsid w:val="00395200"/>
    <w:rsid w:val="00395265"/>
    <w:rsid w:val="0039669E"/>
    <w:rsid w:val="003967CE"/>
    <w:rsid w:val="0039691C"/>
    <w:rsid w:val="00396BE8"/>
    <w:rsid w:val="00396EB4"/>
    <w:rsid w:val="0039734C"/>
    <w:rsid w:val="003A0EDC"/>
    <w:rsid w:val="003A0F78"/>
    <w:rsid w:val="003A4060"/>
    <w:rsid w:val="003A4AD1"/>
    <w:rsid w:val="003A67FD"/>
    <w:rsid w:val="003A6940"/>
    <w:rsid w:val="003A6F98"/>
    <w:rsid w:val="003B12C0"/>
    <w:rsid w:val="003B2172"/>
    <w:rsid w:val="003B21FE"/>
    <w:rsid w:val="003B4CCD"/>
    <w:rsid w:val="003B5EB9"/>
    <w:rsid w:val="003B71BF"/>
    <w:rsid w:val="003C0A89"/>
    <w:rsid w:val="003C0FC5"/>
    <w:rsid w:val="003C2700"/>
    <w:rsid w:val="003C2E9A"/>
    <w:rsid w:val="003C3421"/>
    <w:rsid w:val="003C3AD1"/>
    <w:rsid w:val="003C645E"/>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080E"/>
    <w:rsid w:val="003E12DF"/>
    <w:rsid w:val="003E3180"/>
    <w:rsid w:val="003E38D5"/>
    <w:rsid w:val="003E3E80"/>
    <w:rsid w:val="003E4360"/>
    <w:rsid w:val="003E5308"/>
    <w:rsid w:val="003E5B9D"/>
    <w:rsid w:val="003E610E"/>
    <w:rsid w:val="003E67EE"/>
    <w:rsid w:val="003E7230"/>
    <w:rsid w:val="003E798D"/>
    <w:rsid w:val="003F3DDB"/>
    <w:rsid w:val="003F4613"/>
    <w:rsid w:val="003F56AE"/>
    <w:rsid w:val="003F6789"/>
    <w:rsid w:val="003F6AA7"/>
    <w:rsid w:val="003F7224"/>
    <w:rsid w:val="003F79F7"/>
    <w:rsid w:val="004022A5"/>
    <w:rsid w:val="00404519"/>
    <w:rsid w:val="00404982"/>
    <w:rsid w:val="004054E5"/>
    <w:rsid w:val="00407DC6"/>
    <w:rsid w:val="004100F1"/>
    <w:rsid w:val="00411D09"/>
    <w:rsid w:val="00414A79"/>
    <w:rsid w:val="004156C9"/>
    <w:rsid w:val="00417509"/>
    <w:rsid w:val="00417FCB"/>
    <w:rsid w:val="0042190C"/>
    <w:rsid w:val="00421C63"/>
    <w:rsid w:val="00421D00"/>
    <w:rsid w:val="00422200"/>
    <w:rsid w:val="00422E17"/>
    <w:rsid w:val="004231A8"/>
    <w:rsid w:val="00424C6F"/>
    <w:rsid w:val="00425870"/>
    <w:rsid w:val="004258C7"/>
    <w:rsid w:val="00425FAA"/>
    <w:rsid w:val="00427D21"/>
    <w:rsid w:val="00432509"/>
    <w:rsid w:val="004330D2"/>
    <w:rsid w:val="004343F3"/>
    <w:rsid w:val="00434BD7"/>
    <w:rsid w:val="004377B8"/>
    <w:rsid w:val="00437ACC"/>
    <w:rsid w:val="0044138C"/>
    <w:rsid w:val="0044168D"/>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2197"/>
    <w:rsid w:val="004533E8"/>
    <w:rsid w:val="00456A74"/>
    <w:rsid w:val="00457617"/>
    <w:rsid w:val="00460487"/>
    <w:rsid w:val="00460EF9"/>
    <w:rsid w:val="004639E0"/>
    <w:rsid w:val="00463B07"/>
    <w:rsid w:val="004644C2"/>
    <w:rsid w:val="00465063"/>
    <w:rsid w:val="00467E28"/>
    <w:rsid w:val="00467F9C"/>
    <w:rsid w:val="004718B9"/>
    <w:rsid w:val="004722B8"/>
    <w:rsid w:val="00473195"/>
    <w:rsid w:val="00474EA8"/>
    <w:rsid w:val="0047517C"/>
    <w:rsid w:val="004754F2"/>
    <w:rsid w:val="00475A0F"/>
    <w:rsid w:val="00475C08"/>
    <w:rsid w:val="00476EC5"/>
    <w:rsid w:val="00477BB9"/>
    <w:rsid w:val="0048037E"/>
    <w:rsid w:val="004830BB"/>
    <w:rsid w:val="00483A7B"/>
    <w:rsid w:val="00483FC4"/>
    <w:rsid w:val="00491CB6"/>
    <w:rsid w:val="004922C9"/>
    <w:rsid w:val="0049324B"/>
    <w:rsid w:val="004934C5"/>
    <w:rsid w:val="004936F0"/>
    <w:rsid w:val="004952C1"/>
    <w:rsid w:val="004A19A1"/>
    <w:rsid w:val="004A1E0A"/>
    <w:rsid w:val="004A2F4F"/>
    <w:rsid w:val="004A3A7F"/>
    <w:rsid w:val="004A3B86"/>
    <w:rsid w:val="004A4926"/>
    <w:rsid w:val="004A5B47"/>
    <w:rsid w:val="004A5C94"/>
    <w:rsid w:val="004B0114"/>
    <w:rsid w:val="004B0A00"/>
    <w:rsid w:val="004B1504"/>
    <w:rsid w:val="004B1757"/>
    <w:rsid w:val="004B1A70"/>
    <w:rsid w:val="004B438E"/>
    <w:rsid w:val="004B497B"/>
    <w:rsid w:val="004B4BAC"/>
    <w:rsid w:val="004B504F"/>
    <w:rsid w:val="004B6ED4"/>
    <w:rsid w:val="004B6F20"/>
    <w:rsid w:val="004B72DF"/>
    <w:rsid w:val="004B7F53"/>
    <w:rsid w:val="004C13A6"/>
    <w:rsid w:val="004C190D"/>
    <w:rsid w:val="004C19DE"/>
    <w:rsid w:val="004C1AFD"/>
    <w:rsid w:val="004C1B72"/>
    <w:rsid w:val="004C2237"/>
    <w:rsid w:val="004C3903"/>
    <w:rsid w:val="004C3F94"/>
    <w:rsid w:val="004C5218"/>
    <w:rsid w:val="004C6855"/>
    <w:rsid w:val="004C70B4"/>
    <w:rsid w:val="004D084D"/>
    <w:rsid w:val="004D1281"/>
    <w:rsid w:val="004D1297"/>
    <w:rsid w:val="004D1435"/>
    <w:rsid w:val="004D1714"/>
    <w:rsid w:val="004D181D"/>
    <w:rsid w:val="004D2C06"/>
    <w:rsid w:val="004D300D"/>
    <w:rsid w:val="004D45D2"/>
    <w:rsid w:val="004D5CD3"/>
    <w:rsid w:val="004D61D9"/>
    <w:rsid w:val="004D634B"/>
    <w:rsid w:val="004D6558"/>
    <w:rsid w:val="004D662A"/>
    <w:rsid w:val="004E16DC"/>
    <w:rsid w:val="004E1FA7"/>
    <w:rsid w:val="004E1FD9"/>
    <w:rsid w:val="004E274A"/>
    <w:rsid w:val="004E4862"/>
    <w:rsid w:val="004E69BC"/>
    <w:rsid w:val="004E6F72"/>
    <w:rsid w:val="004F1C2B"/>
    <w:rsid w:val="004F36FC"/>
    <w:rsid w:val="004F4756"/>
    <w:rsid w:val="004F496F"/>
    <w:rsid w:val="004F4BC8"/>
    <w:rsid w:val="004F7BEF"/>
    <w:rsid w:val="005006BF"/>
    <w:rsid w:val="005012B8"/>
    <w:rsid w:val="0050431A"/>
    <w:rsid w:val="005051BB"/>
    <w:rsid w:val="0050579D"/>
    <w:rsid w:val="005063A8"/>
    <w:rsid w:val="0050690D"/>
    <w:rsid w:val="005078E6"/>
    <w:rsid w:val="00507F8D"/>
    <w:rsid w:val="00510DD5"/>
    <w:rsid w:val="00511401"/>
    <w:rsid w:val="0051152B"/>
    <w:rsid w:val="00511E2B"/>
    <w:rsid w:val="00511F8B"/>
    <w:rsid w:val="005130C0"/>
    <w:rsid w:val="005135A4"/>
    <w:rsid w:val="00513E9E"/>
    <w:rsid w:val="005140FC"/>
    <w:rsid w:val="005149F9"/>
    <w:rsid w:val="0051664E"/>
    <w:rsid w:val="0051789B"/>
    <w:rsid w:val="00517FCD"/>
    <w:rsid w:val="005212D0"/>
    <w:rsid w:val="005215CA"/>
    <w:rsid w:val="00522339"/>
    <w:rsid w:val="005246E7"/>
    <w:rsid w:val="00526076"/>
    <w:rsid w:val="005260D1"/>
    <w:rsid w:val="00526577"/>
    <w:rsid w:val="00526D07"/>
    <w:rsid w:val="00526E58"/>
    <w:rsid w:val="005271FD"/>
    <w:rsid w:val="00527BF3"/>
    <w:rsid w:val="00531705"/>
    <w:rsid w:val="00531735"/>
    <w:rsid w:val="0053256A"/>
    <w:rsid w:val="00533178"/>
    <w:rsid w:val="005340FC"/>
    <w:rsid w:val="00534681"/>
    <w:rsid w:val="00535A5B"/>
    <w:rsid w:val="00536708"/>
    <w:rsid w:val="00536AD6"/>
    <w:rsid w:val="00536D19"/>
    <w:rsid w:val="00536E1E"/>
    <w:rsid w:val="005420D6"/>
    <w:rsid w:val="00544081"/>
    <w:rsid w:val="00545DEE"/>
    <w:rsid w:val="005462CC"/>
    <w:rsid w:val="005468D1"/>
    <w:rsid w:val="00550535"/>
    <w:rsid w:val="0055113D"/>
    <w:rsid w:val="00551586"/>
    <w:rsid w:val="00552B4C"/>
    <w:rsid w:val="00553353"/>
    <w:rsid w:val="0055410A"/>
    <w:rsid w:val="00554884"/>
    <w:rsid w:val="0055491E"/>
    <w:rsid w:val="00555F4D"/>
    <w:rsid w:val="00556779"/>
    <w:rsid w:val="00556D17"/>
    <w:rsid w:val="00560B34"/>
    <w:rsid w:val="00560C0C"/>
    <w:rsid w:val="00560ED1"/>
    <w:rsid w:val="0056152D"/>
    <w:rsid w:val="0056175F"/>
    <w:rsid w:val="0056277A"/>
    <w:rsid w:val="0056341C"/>
    <w:rsid w:val="00564861"/>
    <w:rsid w:val="00565726"/>
    <w:rsid w:val="00565E37"/>
    <w:rsid w:val="005660A2"/>
    <w:rsid w:val="005668D5"/>
    <w:rsid w:val="00566C62"/>
    <w:rsid w:val="00566CDB"/>
    <w:rsid w:val="00570AC3"/>
    <w:rsid w:val="0057186E"/>
    <w:rsid w:val="00572007"/>
    <w:rsid w:val="0057354C"/>
    <w:rsid w:val="0057384E"/>
    <w:rsid w:val="00573B5B"/>
    <w:rsid w:val="005756CF"/>
    <w:rsid w:val="00575A0F"/>
    <w:rsid w:val="00575F9C"/>
    <w:rsid w:val="0057695B"/>
    <w:rsid w:val="00580076"/>
    <w:rsid w:val="00586001"/>
    <w:rsid w:val="00586319"/>
    <w:rsid w:val="005866F6"/>
    <w:rsid w:val="00587AD4"/>
    <w:rsid w:val="00594DE7"/>
    <w:rsid w:val="00597CD3"/>
    <w:rsid w:val="00597E52"/>
    <w:rsid w:val="005A097D"/>
    <w:rsid w:val="005A1124"/>
    <w:rsid w:val="005A1388"/>
    <w:rsid w:val="005A1505"/>
    <w:rsid w:val="005A2C5F"/>
    <w:rsid w:val="005A3424"/>
    <w:rsid w:val="005A5174"/>
    <w:rsid w:val="005A6F4D"/>
    <w:rsid w:val="005B0921"/>
    <w:rsid w:val="005B0FC5"/>
    <w:rsid w:val="005B127B"/>
    <w:rsid w:val="005B1541"/>
    <w:rsid w:val="005B1723"/>
    <w:rsid w:val="005B1CD9"/>
    <w:rsid w:val="005B3609"/>
    <w:rsid w:val="005B3975"/>
    <w:rsid w:val="005B3B09"/>
    <w:rsid w:val="005B3CBC"/>
    <w:rsid w:val="005B3DEA"/>
    <w:rsid w:val="005B5D82"/>
    <w:rsid w:val="005B7798"/>
    <w:rsid w:val="005C0110"/>
    <w:rsid w:val="005C192F"/>
    <w:rsid w:val="005C201D"/>
    <w:rsid w:val="005C24C0"/>
    <w:rsid w:val="005C6E88"/>
    <w:rsid w:val="005C7576"/>
    <w:rsid w:val="005C76D1"/>
    <w:rsid w:val="005C7807"/>
    <w:rsid w:val="005C7AC4"/>
    <w:rsid w:val="005C7BAD"/>
    <w:rsid w:val="005D01FC"/>
    <w:rsid w:val="005D086D"/>
    <w:rsid w:val="005D09B7"/>
    <w:rsid w:val="005D0C03"/>
    <w:rsid w:val="005D0CF1"/>
    <w:rsid w:val="005D16E5"/>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30C5"/>
    <w:rsid w:val="005E368A"/>
    <w:rsid w:val="005E38D3"/>
    <w:rsid w:val="005E5B1A"/>
    <w:rsid w:val="005E5BD9"/>
    <w:rsid w:val="005F01D3"/>
    <w:rsid w:val="005F096D"/>
    <w:rsid w:val="005F0BA4"/>
    <w:rsid w:val="005F2518"/>
    <w:rsid w:val="005F32C9"/>
    <w:rsid w:val="005F4F4C"/>
    <w:rsid w:val="005F645E"/>
    <w:rsid w:val="006037DE"/>
    <w:rsid w:val="006038E4"/>
    <w:rsid w:val="00604174"/>
    <w:rsid w:val="00607154"/>
    <w:rsid w:val="006102E2"/>
    <w:rsid w:val="00611546"/>
    <w:rsid w:val="006122BA"/>
    <w:rsid w:val="00613813"/>
    <w:rsid w:val="006143BA"/>
    <w:rsid w:val="00614A0A"/>
    <w:rsid w:val="00614F2F"/>
    <w:rsid w:val="0061533B"/>
    <w:rsid w:val="00616891"/>
    <w:rsid w:val="00617587"/>
    <w:rsid w:val="006217EC"/>
    <w:rsid w:val="00623F9A"/>
    <w:rsid w:val="00624226"/>
    <w:rsid w:val="00626479"/>
    <w:rsid w:val="006266D4"/>
    <w:rsid w:val="00626BCA"/>
    <w:rsid w:val="00630BDB"/>
    <w:rsid w:val="00630F77"/>
    <w:rsid w:val="00632A5A"/>
    <w:rsid w:val="0063311D"/>
    <w:rsid w:val="00634160"/>
    <w:rsid w:val="006346A1"/>
    <w:rsid w:val="006349CC"/>
    <w:rsid w:val="00635FDA"/>
    <w:rsid w:val="00640765"/>
    <w:rsid w:val="00640820"/>
    <w:rsid w:val="00640B83"/>
    <w:rsid w:val="00641ED7"/>
    <w:rsid w:val="00641F85"/>
    <w:rsid w:val="00643AC5"/>
    <w:rsid w:val="00644BB1"/>
    <w:rsid w:val="0064508D"/>
    <w:rsid w:val="00645A38"/>
    <w:rsid w:val="006467AB"/>
    <w:rsid w:val="00647370"/>
    <w:rsid w:val="0065103B"/>
    <w:rsid w:val="00651290"/>
    <w:rsid w:val="00651CB7"/>
    <w:rsid w:val="006522EF"/>
    <w:rsid w:val="00653DC3"/>
    <w:rsid w:val="0065522D"/>
    <w:rsid w:val="00655539"/>
    <w:rsid w:val="00660182"/>
    <w:rsid w:val="0066089C"/>
    <w:rsid w:val="00662696"/>
    <w:rsid w:val="00663BA7"/>
    <w:rsid w:val="0066552F"/>
    <w:rsid w:val="00665870"/>
    <w:rsid w:val="00670E93"/>
    <w:rsid w:val="006714FD"/>
    <w:rsid w:val="006736F7"/>
    <w:rsid w:val="00674DCA"/>
    <w:rsid w:val="00677FA5"/>
    <w:rsid w:val="006803CE"/>
    <w:rsid w:val="006805F6"/>
    <w:rsid w:val="00680E57"/>
    <w:rsid w:val="00680F87"/>
    <w:rsid w:val="00681581"/>
    <w:rsid w:val="006824AE"/>
    <w:rsid w:val="0068399F"/>
    <w:rsid w:val="00686850"/>
    <w:rsid w:val="00686E69"/>
    <w:rsid w:val="00686EF5"/>
    <w:rsid w:val="00690791"/>
    <w:rsid w:val="00691FFB"/>
    <w:rsid w:val="00692079"/>
    <w:rsid w:val="00692376"/>
    <w:rsid w:val="0069278F"/>
    <w:rsid w:val="00692D5D"/>
    <w:rsid w:val="006931A3"/>
    <w:rsid w:val="006934B0"/>
    <w:rsid w:val="00694132"/>
    <w:rsid w:val="00694C7B"/>
    <w:rsid w:val="00694D63"/>
    <w:rsid w:val="006957BD"/>
    <w:rsid w:val="00695FB9"/>
    <w:rsid w:val="006A0A15"/>
    <w:rsid w:val="006A0A6F"/>
    <w:rsid w:val="006A1098"/>
    <w:rsid w:val="006A15BE"/>
    <w:rsid w:val="006A2715"/>
    <w:rsid w:val="006A4E37"/>
    <w:rsid w:val="006A570F"/>
    <w:rsid w:val="006A5E69"/>
    <w:rsid w:val="006A67DF"/>
    <w:rsid w:val="006A6B32"/>
    <w:rsid w:val="006A6DE1"/>
    <w:rsid w:val="006A765F"/>
    <w:rsid w:val="006A7753"/>
    <w:rsid w:val="006A78A3"/>
    <w:rsid w:val="006B1352"/>
    <w:rsid w:val="006B1912"/>
    <w:rsid w:val="006B2290"/>
    <w:rsid w:val="006B2750"/>
    <w:rsid w:val="006B3F89"/>
    <w:rsid w:val="006B4377"/>
    <w:rsid w:val="006B7263"/>
    <w:rsid w:val="006B7D0E"/>
    <w:rsid w:val="006C1199"/>
    <w:rsid w:val="006C1647"/>
    <w:rsid w:val="006C2719"/>
    <w:rsid w:val="006C4885"/>
    <w:rsid w:val="006C54BB"/>
    <w:rsid w:val="006C61F7"/>
    <w:rsid w:val="006C6BE0"/>
    <w:rsid w:val="006C6E8E"/>
    <w:rsid w:val="006D2E3C"/>
    <w:rsid w:val="006D36EA"/>
    <w:rsid w:val="006D3C53"/>
    <w:rsid w:val="006D4B10"/>
    <w:rsid w:val="006D5469"/>
    <w:rsid w:val="006D6E37"/>
    <w:rsid w:val="006D7EA9"/>
    <w:rsid w:val="006D7FC1"/>
    <w:rsid w:val="006E0379"/>
    <w:rsid w:val="006E0432"/>
    <w:rsid w:val="006E07A8"/>
    <w:rsid w:val="006E100E"/>
    <w:rsid w:val="006E1C3E"/>
    <w:rsid w:val="006E1C58"/>
    <w:rsid w:val="006E3177"/>
    <w:rsid w:val="006E5074"/>
    <w:rsid w:val="006E5539"/>
    <w:rsid w:val="006E5814"/>
    <w:rsid w:val="006E5EE5"/>
    <w:rsid w:val="006E7625"/>
    <w:rsid w:val="006F04B9"/>
    <w:rsid w:val="006F08C9"/>
    <w:rsid w:val="006F0A50"/>
    <w:rsid w:val="006F1A19"/>
    <w:rsid w:val="006F2004"/>
    <w:rsid w:val="006F218A"/>
    <w:rsid w:val="006F40F5"/>
    <w:rsid w:val="006F42D9"/>
    <w:rsid w:val="006F4B85"/>
    <w:rsid w:val="006F5654"/>
    <w:rsid w:val="006F6C78"/>
    <w:rsid w:val="006F7627"/>
    <w:rsid w:val="00700238"/>
    <w:rsid w:val="007006BF"/>
    <w:rsid w:val="00701766"/>
    <w:rsid w:val="00702666"/>
    <w:rsid w:val="00703278"/>
    <w:rsid w:val="00704C85"/>
    <w:rsid w:val="00704C8F"/>
    <w:rsid w:val="00704DCD"/>
    <w:rsid w:val="00704FB9"/>
    <w:rsid w:val="00710C63"/>
    <w:rsid w:val="00710C82"/>
    <w:rsid w:val="007122FF"/>
    <w:rsid w:val="00714BAF"/>
    <w:rsid w:val="007155DC"/>
    <w:rsid w:val="0071676D"/>
    <w:rsid w:val="00716CCA"/>
    <w:rsid w:val="00717000"/>
    <w:rsid w:val="007174AD"/>
    <w:rsid w:val="00717D88"/>
    <w:rsid w:val="0072089B"/>
    <w:rsid w:val="00720E01"/>
    <w:rsid w:val="0072144E"/>
    <w:rsid w:val="00725ED6"/>
    <w:rsid w:val="00727375"/>
    <w:rsid w:val="00727840"/>
    <w:rsid w:val="00727A2A"/>
    <w:rsid w:val="00730095"/>
    <w:rsid w:val="007301DD"/>
    <w:rsid w:val="00731ECA"/>
    <w:rsid w:val="00732B42"/>
    <w:rsid w:val="00732DDE"/>
    <w:rsid w:val="007342A4"/>
    <w:rsid w:val="0073487C"/>
    <w:rsid w:val="00736916"/>
    <w:rsid w:val="007407B4"/>
    <w:rsid w:val="007409F3"/>
    <w:rsid w:val="007416E0"/>
    <w:rsid w:val="0074226A"/>
    <w:rsid w:val="00742E29"/>
    <w:rsid w:val="00743E61"/>
    <w:rsid w:val="007444B0"/>
    <w:rsid w:val="00744807"/>
    <w:rsid w:val="00744C37"/>
    <w:rsid w:val="007455A7"/>
    <w:rsid w:val="00746688"/>
    <w:rsid w:val="00747126"/>
    <w:rsid w:val="00747659"/>
    <w:rsid w:val="00747DF5"/>
    <w:rsid w:val="00752094"/>
    <w:rsid w:val="00753B10"/>
    <w:rsid w:val="00753B14"/>
    <w:rsid w:val="00754006"/>
    <w:rsid w:val="0075592E"/>
    <w:rsid w:val="00760000"/>
    <w:rsid w:val="007601AD"/>
    <w:rsid w:val="00762DD4"/>
    <w:rsid w:val="007633C7"/>
    <w:rsid w:val="0076349C"/>
    <w:rsid w:val="00763728"/>
    <w:rsid w:val="00764636"/>
    <w:rsid w:val="0076526A"/>
    <w:rsid w:val="007652F3"/>
    <w:rsid w:val="007653DC"/>
    <w:rsid w:val="007662A4"/>
    <w:rsid w:val="0076711F"/>
    <w:rsid w:val="0077179E"/>
    <w:rsid w:val="00771957"/>
    <w:rsid w:val="0077276F"/>
    <w:rsid w:val="00775FF5"/>
    <w:rsid w:val="007776F1"/>
    <w:rsid w:val="0078080E"/>
    <w:rsid w:val="00781066"/>
    <w:rsid w:val="007829BF"/>
    <w:rsid w:val="00783399"/>
    <w:rsid w:val="00783544"/>
    <w:rsid w:val="00784639"/>
    <w:rsid w:val="007853EF"/>
    <w:rsid w:val="00787479"/>
    <w:rsid w:val="00790F48"/>
    <w:rsid w:val="00791182"/>
    <w:rsid w:val="0079181E"/>
    <w:rsid w:val="00791EAE"/>
    <w:rsid w:val="00792500"/>
    <w:rsid w:val="00792711"/>
    <w:rsid w:val="00792E23"/>
    <w:rsid w:val="00794092"/>
    <w:rsid w:val="007942D3"/>
    <w:rsid w:val="007948B7"/>
    <w:rsid w:val="00794D6D"/>
    <w:rsid w:val="00796020"/>
    <w:rsid w:val="00796386"/>
    <w:rsid w:val="007A1581"/>
    <w:rsid w:val="007A192E"/>
    <w:rsid w:val="007A3C89"/>
    <w:rsid w:val="007A54D5"/>
    <w:rsid w:val="007A5C96"/>
    <w:rsid w:val="007A6086"/>
    <w:rsid w:val="007A6DAB"/>
    <w:rsid w:val="007B00A2"/>
    <w:rsid w:val="007B1E16"/>
    <w:rsid w:val="007B1FAB"/>
    <w:rsid w:val="007B2D63"/>
    <w:rsid w:val="007B331D"/>
    <w:rsid w:val="007B4463"/>
    <w:rsid w:val="007B47EC"/>
    <w:rsid w:val="007B4E29"/>
    <w:rsid w:val="007B4EB5"/>
    <w:rsid w:val="007B6307"/>
    <w:rsid w:val="007B6C09"/>
    <w:rsid w:val="007B7C7E"/>
    <w:rsid w:val="007C005F"/>
    <w:rsid w:val="007C0D24"/>
    <w:rsid w:val="007C4171"/>
    <w:rsid w:val="007C4258"/>
    <w:rsid w:val="007C55F6"/>
    <w:rsid w:val="007C7172"/>
    <w:rsid w:val="007D0DD3"/>
    <w:rsid w:val="007D1147"/>
    <w:rsid w:val="007D1998"/>
    <w:rsid w:val="007D24DA"/>
    <w:rsid w:val="007D2644"/>
    <w:rsid w:val="007D2BC2"/>
    <w:rsid w:val="007D453C"/>
    <w:rsid w:val="007D47F5"/>
    <w:rsid w:val="007D4C89"/>
    <w:rsid w:val="007D4FFE"/>
    <w:rsid w:val="007D5077"/>
    <w:rsid w:val="007D51CA"/>
    <w:rsid w:val="007D58CC"/>
    <w:rsid w:val="007D7E88"/>
    <w:rsid w:val="007E09DA"/>
    <w:rsid w:val="007E1182"/>
    <w:rsid w:val="007E2A51"/>
    <w:rsid w:val="007E2C0C"/>
    <w:rsid w:val="007E2DCA"/>
    <w:rsid w:val="007E4CAB"/>
    <w:rsid w:val="007E5C0F"/>
    <w:rsid w:val="007E6D52"/>
    <w:rsid w:val="007E7808"/>
    <w:rsid w:val="007F0F3F"/>
    <w:rsid w:val="007F648A"/>
    <w:rsid w:val="007F6515"/>
    <w:rsid w:val="007F7B89"/>
    <w:rsid w:val="00800845"/>
    <w:rsid w:val="0080360A"/>
    <w:rsid w:val="0080475A"/>
    <w:rsid w:val="00804CEF"/>
    <w:rsid w:val="00806362"/>
    <w:rsid w:val="00806883"/>
    <w:rsid w:val="00806BC8"/>
    <w:rsid w:val="0081016E"/>
    <w:rsid w:val="00810A55"/>
    <w:rsid w:val="00812678"/>
    <w:rsid w:val="00814759"/>
    <w:rsid w:val="008155CE"/>
    <w:rsid w:val="00815FD3"/>
    <w:rsid w:val="00816110"/>
    <w:rsid w:val="0081678A"/>
    <w:rsid w:val="008178B6"/>
    <w:rsid w:val="00817EA3"/>
    <w:rsid w:val="00821347"/>
    <w:rsid w:val="008228AA"/>
    <w:rsid w:val="00822F21"/>
    <w:rsid w:val="0082355D"/>
    <w:rsid w:val="0082358D"/>
    <w:rsid w:val="0082396B"/>
    <w:rsid w:val="00824C10"/>
    <w:rsid w:val="00825306"/>
    <w:rsid w:val="008307ED"/>
    <w:rsid w:val="008308A4"/>
    <w:rsid w:val="00830E6E"/>
    <w:rsid w:val="00831420"/>
    <w:rsid w:val="008318A7"/>
    <w:rsid w:val="00834030"/>
    <w:rsid w:val="008347EC"/>
    <w:rsid w:val="00836987"/>
    <w:rsid w:val="00836E40"/>
    <w:rsid w:val="0083721C"/>
    <w:rsid w:val="0084057D"/>
    <w:rsid w:val="00841DB0"/>
    <w:rsid w:val="00842402"/>
    <w:rsid w:val="00842998"/>
    <w:rsid w:val="008448FE"/>
    <w:rsid w:val="0084617A"/>
    <w:rsid w:val="0084670E"/>
    <w:rsid w:val="0084795B"/>
    <w:rsid w:val="00850553"/>
    <w:rsid w:val="00850AE4"/>
    <w:rsid w:val="00850BA2"/>
    <w:rsid w:val="00851ABE"/>
    <w:rsid w:val="00851AC9"/>
    <w:rsid w:val="00851D11"/>
    <w:rsid w:val="008523AC"/>
    <w:rsid w:val="00852578"/>
    <w:rsid w:val="00852CA9"/>
    <w:rsid w:val="00853906"/>
    <w:rsid w:val="008555C9"/>
    <w:rsid w:val="00855E3E"/>
    <w:rsid w:val="0086263B"/>
    <w:rsid w:val="00862D51"/>
    <w:rsid w:val="008633E3"/>
    <w:rsid w:val="00863730"/>
    <w:rsid w:val="0086459C"/>
    <w:rsid w:val="00864D8E"/>
    <w:rsid w:val="00865100"/>
    <w:rsid w:val="00865B74"/>
    <w:rsid w:val="00866A4E"/>
    <w:rsid w:val="00866E10"/>
    <w:rsid w:val="008700E8"/>
    <w:rsid w:val="0087059A"/>
    <w:rsid w:val="008710CE"/>
    <w:rsid w:val="008712BD"/>
    <w:rsid w:val="0087191F"/>
    <w:rsid w:val="00872020"/>
    <w:rsid w:val="00872D55"/>
    <w:rsid w:val="00873432"/>
    <w:rsid w:val="008737C2"/>
    <w:rsid w:val="0087387C"/>
    <w:rsid w:val="00873D4B"/>
    <w:rsid w:val="00874D53"/>
    <w:rsid w:val="008759A4"/>
    <w:rsid w:val="008763AE"/>
    <w:rsid w:val="00877B7D"/>
    <w:rsid w:val="008802C6"/>
    <w:rsid w:val="00881067"/>
    <w:rsid w:val="00882264"/>
    <w:rsid w:val="0088291C"/>
    <w:rsid w:val="00882D72"/>
    <w:rsid w:val="00883A2F"/>
    <w:rsid w:val="00883E56"/>
    <w:rsid w:val="008852C3"/>
    <w:rsid w:val="00887D6E"/>
    <w:rsid w:val="00890B5B"/>
    <w:rsid w:val="00893EF5"/>
    <w:rsid w:val="008945A3"/>
    <w:rsid w:val="00894CE3"/>
    <w:rsid w:val="0089618C"/>
    <w:rsid w:val="00896F5F"/>
    <w:rsid w:val="008A0342"/>
    <w:rsid w:val="008A07B9"/>
    <w:rsid w:val="008A0D67"/>
    <w:rsid w:val="008A1735"/>
    <w:rsid w:val="008A321F"/>
    <w:rsid w:val="008B0403"/>
    <w:rsid w:val="008B114A"/>
    <w:rsid w:val="008B13EF"/>
    <w:rsid w:val="008B2141"/>
    <w:rsid w:val="008B48DB"/>
    <w:rsid w:val="008C040D"/>
    <w:rsid w:val="008C0A53"/>
    <w:rsid w:val="008C236C"/>
    <w:rsid w:val="008C3195"/>
    <w:rsid w:val="008C319B"/>
    <w:rsid w:val="008C35E3"/>
    <w:rsid w:val="008C6360"/>
    <w:rsid w:val="008C6619"/>
    <w:rsid w:val="008C6F48"/>
    <w:rsid w:val="008D084B"/>
    <w:rsid w:val="008D13F0"/>
    <w:rsid w:val="008D1A71"/>
    <w:rsid w:val="008D2BE6"/>
    <w:rsid w:val="008D3427"/>
    <w:rsid w:val="008D4834"/>
    <w:rsid w:val="008D5C19"/>
    <w:rsid w:val="008D664E"/>
    <w:rsid w:val="008D6F40"/>
    <w:rsid w:val="008D7A7A"/>
    <w:rsid w:val="008D7F1B"/>
    <w:rsid w:val="008E2780"/>
    <w:rsid w:val="008E2C21"/>
    <w:rsid w:val="008E35F5"/>
    <w:rsid w:val="008E5758"/>
    <w:rsid w:val="008E600F"/>
    <w:rsid w:val="008E695C"/>
    <w:rsid w:val="008E7859"/>
    <w:rsid w:val="008F0172"/>
    <w:rsid w:val="008F14A4"/>
    <w:rsid w:val="008F225D"/>
    <w:rsid w:val="008F2CCD"/>
    <w:rsid w:val="008F4906"/>
    <w:rsid w:val="008F4EE5"/>
    <w:rsid w:val="008F5BA7"/>
    <w:rsid w:val="008F6AA7"/>
    <w:rsid w:val="00902053"/>
    <w:rsid w:val="00902DAE"/>
    <w:rsid w:val="009038F6"/>
    <w:rsid w:val="00904179"/>
    <w:rsid w:val="00906338"/>
    <w:rsid w:val="00907763"/>
    <w:rsid w:val="00910279"/>
    <w:rsid w:val="00916521"/>
    <w:rsid w:val="009165D0"/>
    <w:rsid w:val="009168AB"/>
    <w:rsid w:val="00916C7B"/>
    <w:rsid w:val="009171AD"/>
    <w:rsid w:val="009212B8"/>
    <w:rsid w:val="00922E77"/>
    <w:rsid w:val="009238A4"/>
    <w:rsid w:val="00923EBD"/>
    <w:rsid w:val="009246EA"/>
    <w:rsid w:val="00925B6F"/>
    <w:rsid w:val="00926A41"/>
    <w:rsid w:val="00926B2D"/>
    <w:rsid w:val="0092706F"/>
    <w:rsid w:val="0092791B"/>
    <w:rsid w:val="0093059F"/>
    <w:rsid w:val="009308BB"/>
    <w:rsid w:val="00930BA1"/>
    <w:rsid w:val="00931253"/>
    <w:rsid w:val="009314A5"/>
    <w:rsid w:val="0093169E"/>
    <w:rsid w:val="00932B4B"/>
    <w:rsid w:val="0093365F"/>
    <w:rsid w:val="00933EFE"/>
    <w:rsid w:val="0093486E"/>
    <w:rsid w:val="009359AE"/>
    <w:rsid w:val="00936034"/>
    <w:rsid w:val="009413BD"/>
    <w:rsid w:val="009418DD"/>
    <w:rsid w:val="0094289A"/>
    <w:rsid w:val="0094336E"/>
    <w:rsid w:val="00946897"/>
    <w:rsid w:val="00947E88"/>
    <w:rsid w:val="009502F6"/>
    <w:rsid w:val="009505C9"/>
    <w:rsid w:val="00951A4B"/>
    <w:rsid w:val="0095497E"/>
    <w:rsid w:val="00954A77"/>
    <w:rsid w:val="00961BB3"/>
    <w:rsid w:val="00963183"/>
    <w:rsid w:val="009632C7"/>
    <w:rsid w:val="0096551C"/>
    <w:rsid w:val="0096681A"/>
    <w:rsid w:val="00966BA5"/>
    <w:rsid w:val="00966F45"/>
    <w:rsid w:val="009679B3"/>
    <w:rsid w:val="00970D62"/>
    <w:rsid w:val="00970DA9"/>
    <w:rsid w:val="00971388"/>
    <w:rsid w:val="00971C88"/>
    <w:rsid w:val="009726B1"/>
    <w:rsid w:val="00972836"/>
    <w:rsid w:val="00973ECA"/>
    <w:rsid w:val="00974571"/>
    <w:rsid w:val="0097476C"/>
    <w:rsid w:val="00975CB6"/>
    <w:rsid w:val="00975FC5"/>
    <w:rsid w:val="00977120"/>
    <w:rsid w:val="00977465"/>
    <w:rsid w:val="00980AD1"/>
    <w:rsid w:val="00981556"/>
    <w:rsid w:val="00981CEB"/>
    <w:rsid w:val="00981D1B"/>
    <w:rsid w:val="00982FA6"/>
    <w:rsid w:val="00983EEB"/>
    <w:rsid w:val="009852DE"/>
    <w:rsid w:val="00986181"/>
    <w:rsid w:val="00986DBC"/>
    <w:rsid w:val="0099024F"/>
    <w:rsid w:val="009908D2"/>
    <w:rsid w:val="0099196D"/>
    <w:rsid w:val="009939CB"/>
    <w:rsid w:val="00993B4B"/>
    <w:rsid w:val="0099427D"/>
    <w:rsid w:val="00995094"/>
    <w:rsid w:val="00995237"/>
    <w:rsid w:val="00995251"/>
    <w:rsid w:val="009957AD"/>
    <w:rsid w:val="009A035C"/>
    <w:rsid w:val="009A14C9"/>
    <w:rsid w:val="009A1D2A"/>
    <w:rsid w:val="009A2512"/>
    <w:rsid w:val="009A2AF0"/>
    <w:rsid w:val="009A45F6"/>
    <w:rsid w:val="009A573B"/>
    <w:rsid w:val="009A5B38"/>
    <w:rsid w:val="009B1FE8"/>
    <w:rsid w:val="009B21AE"/>
    <w:rsid w:val="009B25F9"/>
    <w:rsid w:val="009B2C05"/>
    <w:rsid w:val="009B2D92"/>
    <w:rsid w:val="009B40E5"/>
    <w:rsid w:val="009B4DAD"/>
    <w:rsid w:val="009B7060"/>
    <w:rsid w:val="009B7E53"/>
    <w:rsid w:val="009C0C1A"/>
    <w:rsid w:val="009C2DD1"/>
    <w:rsid w:val="009C437E"/>
    <w:rsid w:val="009C442C"/>
    <w:rsid w:val="009C69D4"/>
    <w:rsid w:val="009C6A75"/>
    <w:rsid w:val="009C7139"/>
    <w:rsid w:val="009C79FD"/>
    <w:rsid w:val="009D0633"/>
    <w:rsid w:val="009D0A7F"/>
    <w:rsid w:val="009D147B"/>
    <w:rsid w:val="009D40BE"/>
    <w:rsid w:val="009D431B"/>
    <w:rsid w:val="009D483D"/>
    <w:rsid w:val="009D5673"/>
    <w:rsid w:val="009D5C76"/>
    <w:rsid w:val="009D61E6"/>
    <w:rsid w:val="009D6940"/>
    <w:rsid w:val="009D69B3"/>
    <w:rsid w:val="009D72C4"/>
    <w:rsid w:val="009E135D"/>
    <w:rsid w:val="009E2509"/>
    <w:rsid w:val="009E2924"/>
    <w:rsid w:val="009E3CEB"/>
    <w:rsid w:val="009E41AF"/>
    <w:rsid w:val="009E41C9"/>
    <w:rsid w:val="009F3BDB"/>
    <w:rsid w:val="009F3E8A"/>
    <w:rsid w:val="009F5C19"/>
    <w:rsid w:val="00A00D50"/>
    <w:rsid w:val="00A01BA2"/>
    <w:rsid w:val="00A0212B"/>
    <w:rsid w:val="00A04279"/>
    <w:rsid w:val="00A06689"/>
    <w:rsid w:val="00A0751A"/>
    <w:rsid w:val="00A07C08"/>
    <w:rsid w:val="00A13250"/>
    <w:rsid w:val="00A1501F"/>
    <w:rsid w:val="00A1747B"/>
    <w:rsid w:val="00A1789A"/>
    <w:rsid w:val="00A202B0"/>
    <w:rsid w:val="00A239D9"/>
    <w:rsid w:val="00A24FDF"/>
    <w:rsid w:val="00A26C40"/>
    <w:rsid w:val="00A337CB"/>
    <w:rsid w:val="00A35AF0"/>
    <w:rsid w:val="00A35D0D"/>
    <w:rsid w:val="00A403FF"/>
    <w:rsid w:val="00A41A69"/>
    <w:rsid w:val="00A42A6B"/>
    <w:rsid w:val="00A434F6"/>
    <w:rsid w:val="00A44311"/>
    <w:rsid w:val="00A45911"/>
    <w:rsid w:val="00A475AE"/>
    <w:rsid w:val="00A47E03"/>
    <w:rsid w:val="00A47E63"/>
    <w:rsid w:val="00A504A7"/>
    <w:rsid w:val="00A525BA"/>
    <w:rsid w:val="00A552E4"/>
    <w:rsid w:val="00A5598D"/>
    <w:rsid w:val="00A56E63"/>
    <w:rsid w:val="00A612A0"/>
    <w:rsid w:val="00A61AA2"/>
    <w:rsid w:val="00A63223"/>
    <w:rsid w:val="00A63CD4"/>
    <w:rsid w:val="00A63E64"/>
    <w:rsid w:val="00A64375"/>
    <w:rsid w:val="00A67696"/>
    <w:rsid w:val="00A70A97"/>
    <w:rsid w:val="00A71011"/>
    <w:rsid w:val="00A71ABA"/>
    <w:rsid w:val="00A7237D"/>
    <w:rsid w:val="00A72528"/>
    <w:rsid w:val="00A72D1E"/>
    <w:rsid w:val="00A72FDE"/>
    <w:rsid w:val="00A80E90"/>
    <w:rsid w:val="00A81A4C"/>
    <w:rsid w:val="00A83F89"/>
    <w:rsid w:val="00A857B9"/>
    <w:rsid w:val="00A864E0"/>
    <w:rsid w:val="00A90D65"/>
    <w:rsid w:val="00A90ED2"/>
    <w:rsid w:val="00A9145E"/>
    <w:rsid w:val="00A914AB"/>
    <w:rsid w:val="00A91ACC"/>
    <w:rsid w:val="00A92C5C"/>
    <w:rsid w:val="00A93CAA"/>
    <w:rsid w:val="00A97DED"/>
    <w:rsid w:val="00AA1950"/>
    <w:rsid w:val="00AA22AA"/>
    <w:rsid w:val="00AA2F7E"/>
    <w:rsid w:val="00AA30BC"/>
    <w:rsid w:val="00AA30D9"/>
    <w:rsid w:val="00AA346A"/>
    <w:rsid w:val="00AA35BB"/>
    <w:rsid w:val="00AA44D2"/>
    <w:rsid w:val="00AA50A2"/>
    <w:rsid w:val="00AA5187"/>
    <w:rsid w:val="00AA65C3"/>
    <w:rsid w:val="00AB1AB2"/>
    <w:rsid w:val="00AB1DB4"/>
    <w:rsid w:val="00AB27E5"/>
    <w:rsid w:val="00AB2F22"/>
    <w:rsid w:val="00AB3468"/>
    <w:rsid w:val="00AB481A"/>
    <w:rsid w:val="00AB4909"/>
    <w:rsid w:val="00AB6C95"/>
    <w:rsid w:val="00AB7278"/>
    <w:rsid w:val="00AB7FE8"/>
    <w:rsid w:val="00AC05B4"/>
    <w:rsid w:val="00AC1576"/>
    <w:rsid w:val="00AC3E87"/>
    <w:rsid w:val="00AC3EBE"/>
    <w:rsid w:val="00AC6BB7"/>
    <w:rsid w:val="00AC6E4B"/>
    <w:rsid w:val="00AC7719"/>
    <w:rsid w:val="00AD395D"/>
    <w:rsid w:val="00AD3B5E"/>
    <w:rsid w:val="00AD45AF"/>
    <w:rsid w:val="00AD5B11"/>
    <w:rsid w:val="00AD5CE7"/>
    <w:rsid w:val="00AD6BEE"/>
    <w:rsid w:val="00AE3036"/>
    <w:rsid w:val="00AE4DC7"/>
    <w:rsid w:val="00AE6F37"/>
    <w:rsid w:val="00AE756B"/>
    <w:rsid w:val="00AF0E90"/>
    <w:rsid w:val="00AF0EBA"/>
    <w:rsid w:val="00AF14CC"/>
    <w:rsid w:val="00AF185D"/>
    <w:rsid w:val="00AF33C0"/>
    <w:rsid w:val="00AF3D6A"/>
    <w:rsid w:val="00AF59E3"/>
    <w:rsid w:val="00AF5B28"/>
    <w:rsid w:val="00AF6711"/>
    <w:rsid w:val="00AF7CD7"/>
    <w:rsid w:val="00B0017A"/>
    <w:rsid w:val="00B0036B"/>
    <w:rsid w:val="00B0045F"/>
    <w:rsid w:val="00B00A6B"/>
    <w:rsid w:val="00B0107A"/>
    <w:rsid w:val="00B01386"/>
    <w:rsid w:val="00B02022"/>
    <w:rsid w:val="00B03ABB"/>
    <w:rsid w:val="00B04240"/>
    <w:rsid w:val="00B059FA"/>
    <w:rsid w:val="00B07DAE"/>
    <w:rsid w:val="00B100C8"/>
    <w:rsid w:val="00B10F20"/>
    <w:rsid w:val="00B11AC9"/>
    <w:rsid w:val="00B126F4"/>
    <w:rsid w:val="00B12737"/>
    <w:rsid w:val="00B12CFF"/>
    <w:rsid w:val="00B13B10"/>
    <w:rsid w:val="00B13C49"/>
    <w:rsid w:val="00B13E9D"/>
    <w:rsid w:val="00B141E4"/>
    <w:rsid w:val="00B14730"/>
    <w:rsid w:val="00B15DF1"/>
    <w:rsid w:val="00B16EFF"/>
    <w:rsid w:val="00B177C1"/>
    <w:rsid w:val="00B1781C"/>
    <w:rsid w:val="00B17D95"/>
    <w:rsid w:val="00B2012C"/>
    <w:rsid w:val="00B203C1"/>
    <w:rsid w:val="00B20DD6"/>
    <w:rsid w:val="00B227A7"/>
    <w:rsid w:val="00B24666"/>
    <w:rsid w:val="00B249B7"/>
    <w:rsid w:val="00B3252C"/>
    <w:rsid w:val="00B32FFE"/>
    <w:rsid w:val="00B3369F"/>
    <w:rsid w:val="00B337A8"/>
    <w:rsid w:val="00B33C43"/>
    <w:rsid w:val="00B341AA"/>
    <w:rsid w:val="00B34988"/>
    <w:rsid w:val="00B34D58"/>
    <w:rsid w:val="00B355F9"/>
    <w:rsid w:val="00B35BA2"/>
    <w:rsid w:val="00B35D06"/>
    <w:rsid w:val="00B403C9"/>
    <w:rsid w:val="00B40A9C"/>
    <w:rsid w:val="00B421E4"/>
    <w:rsid w:val="00B4249B"/>
    <w:rsid w:val="00B42BA3"/>
    <w:rsid w:val="00B47F29"/>
    <w:rsid w:val="00B500BA"/>
    <w:rsid w:val="00B526AB"/>
    <w:rsid w:val="00B55104"/>
    <w:rsid w:val="00B55668"/>
    <w:rsid w:val="00B56286"/>
    <w:rsid w:val="00B56362"/>
    <w:rsid w:val="00B563F4"/>
    <w:rsid w:val="00B56961"/>
    <w:rsid w:val="00B56E8D"/>
    <w:rsid w:val="00B6080F"/>
    <w:rsid w:val="00B60CE0"/>
    <w:rsid w:val="00B62FAF"/>
    <w:rsid w:val="00B63302"/>
    <w:rsid w:val="00B634EF"/>
    <w:rsid w:val="00B63E3B"/>
    <w:rsid w:val="00B65C0A"/>
    <w:rsid w:val="00B66FAA"/>
    <w:rsid w:val="00B67203"/>
    <w:rsid w:val="00B70CDF"/>
    <w:rsid w:val="00B71CB7"/>
    <w:rsid w:val="00B71FE3"/>
    <w:rsid w:val="00B7281F"/>
    <w:rsid w:val="00B73221"/>
    <w:rsid w:val="00B7629A"/>
    <w:rsid w:val="00B778AB"/>
    <w:rsid w:val="00B80591"/>
    <w:rsid w:val="00B8171F"/>
    <w:rsid w:val="00B8315F"/>
    <w:rsid w:val="00B83E85"/>
    <w:rsid w:val="00B840DD"/>
    <w:rsid w:val="00B84A80"/>
    <w:rsid w:val="00B84EBD"/>
    <w:rsid w:val="00B85D3C"/>
    <w:rsid w:val="00B90F62"/>
    <w:rsid w:val="00B91665"/>
    <w:rsid w:val="00B91C7F"/>
    <w:rsid w:val="00B91F9F"/>
    <w:rsid w:val="00B92185"/>
    <w:rsid w:val="00B93585"/>
    <w:rsid w:val="00B93E19"/>
    <w:rsid w:val="00B956E7"/>
    <w:rsid w:val="00B9770F"/>
    <w:rsid w:val="00BA00AD"/>
    <w:rsid w:val="00BA1458"/>
    <w:rsid w:val="00BA1791"/>
    <w:rsid w:val="00BA215E"/>
    <w:rsid w:val="00BA30E3"/>
    <w:rsid w:val="00BA52B6"/>
    <w:rsid w:val="00BA5415"/>
    <w:rsid w:val="00BA589D"/>
    <w:rsid w:val="00BA6491"/>
    <w:rsid w:val="00BA6752"/>
    <w:rsid w:val="00BA6844"/>
    <w:rsid w:val="00BB38ED"/>
    <w:rsid w:val="00BB4216"/>
    <w:rsid w:val="00BB54A1"/>
    <w:rsid w:val="00BB5702"/>
    <w:rsid w:val="00BB600A"/>
    <w:rsid w:val="00BC18D0"/>
    <w:rsid w:val="00BC1CA6"/>
    <w:rsid w:val="00BC1CD1"/>
    <w:rsid w:val="00BC1EA5"/>
    <w:rsid w:val="00BC2824"/>
    <w:rsid w:val="00BC2B02"/>
    <w:rsid w:val="00BC2DD6"/>
    <w:rsid w:val="00BC2E27"/>
    <w:rsid w:val="00BC3DAE"/>
    <w:rsid w:val="00BC3E0F"/>
    <w:rsid w:val="00BC4774"/>
    <w:rsid w:val="00BC5048"/>
    <w:rsid w:val="00BC5C30"/>
    <w:rsid w:val="00BC5EAC"/>
    <w:rsid w:val="00BC6BBF"/>
    <w:rsid w:val="00BC6EC2"/>
    <w:rsid w:val="00BD0CE7"/>
    <w:rsid w:val="00BD1471"/>
    <w:rsid w:val="00BD233E"/>
    <w:rsid w:val="00BD24FA"/>
    <w:rsid w:val="00BD2B83"/>
    <w:rsid w:val="00BD3E78"/>
    <w:rsid w:val="00BD464A"/>
    <w:rsid w:val="00BD5719"/>
    <w:rsid w:val="00BD6291"/>
    <w:rsid w:val="00BD7994"/>
    <w:rsid w:val="00BE1CF9"/>
    <w:rsid w:val="00BE38DB"/>
    <w:rsid w:val="00BE4B6E"/>
    <w:rsid w:val="00BE6237"/>
    <w:rsid w:val="00BE7EEF"/>
    <w:rsid w:val="00BE7F0B"/>
    <w:rsid w:val="00BF0C63"/>
    <w:rsid w:val="00BF275E"/>
    <w:rsid w:val="00BF4644"/>
    <w:rsid w:val="00BF4975"/>
    <w:rsid w:val="00BF4B71"/>
    <w:rsid w:val="00BF53FF"/>
    <w:rsid w:val="00BF62F7"/>
    <w:rsid w:val="00BF74A8"/>
    <w:rsid w:val="00C0039C"/>
    <w:rsid w:val="00C02AF9"/>
    <w:rsid w:val="00C02CE3"/>
    <w:rsid w:val="00C035B8"/>
    <w:rsid w:val="00C049BB"/>
    <w:rsid w:val="00C05256"/>
    <w:rsid w:val="00C058E9"/>
    <w:rsid w:val="00C0647C"/>
    <w:rsid w:val="00C0696B"/>
    <w:rsid w:val="00C07B59"/>
    <w:rsid w:val="00C103F0"/>
    <w:rsid w:val="00C110C5"/>
    <w:rsid w:val="00C112BC"/>
    <w:rsid w:val="00C12709"/>
    <w:rsid w:val="00C1309A"/>
    <w:rsid w:val="00C137EC"/>
    <w:rsid w:val="00C15037"/>
    <w:rsid w:val="00C15AB6"/>
    <w:rsid w:val="00C15CF0"/>
    <w:rsid w:val="00C200D3"/>
    <w:rsid w:val="00C206EB"/>
    <w:rsid w:val="00C22496"/>
    <w:rsid w:val="00C23857"/>
    <w:rsid w:val="00C246EA"/>
    <w:rsid w:val="00C24C7F"/>
    <w:rsid w:val="00C26184"/>
    <w:rsid w:val="00C27419"/>
    <w:rsid w:val="00C27947"/>
    <w:rsid w:val="00C359A2"/>
    <w:rsid w:val="00C35AA1"/>
    <w:rsid w:val="00C35ACB"/>
    <w:rsid w:val="00C3630C"/>
    <w:rsid w:val="00C37198"/>
    <w:rsid w:val="00C37B96"/>
    <w:rsid w:val="00C414BF"/>
    <w:rsid w:val="00C426C9"/>
    <w:rsid w:val="00C432DD"/>
    <w:rsid w:val="00C4392A"/>
    <w:rsid w:val="00C443BD"/>
    <w:rsid w:val="00C446A2"/>
    <w:rsid w:val="00C4482B"/>
    <w:rsid w:val="00C44B54"/>
    <w:rsid w:val="00C44C59"/>
    <w:rsid w:val="00C44D95"/>
    <w:rsid w:val="00C45CA4"/>
    <w:rsid w:val="00C4668E"/>
    <w:rsid w:val="00C46FA8"/>
    <w:rsid w:val="00C50FC4"/>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EC6"/>
    <w:rsid w:val="00C645B8"/>
    <w:rsid w:val="00C6632D"/>
    <w:rsid w:val="00C66815"/>
    <w:rsid w:val="00C707BC"/>
    <w:rsid w:val="00C70EF6"/>
    <w:rsid w:val="00C723FD"/>
    <w:rsid w:val="00C725EF"/>
    <w:rsid w:val="00C72D53"/>
    <w:rsid w:val="00C72EEF"/>
    <w:rsid w:val="00C73735"/>
    <w:rsid w:val="00C749D9"/>
    <w:rsid w:val="00C75514"/>
    <w:rsid w:val="00C76B45"/>
    <w:rsid w:val="00C76C7C"/>
    <w:rsid w:val="00C77AA2"/>
    <w:rsid w:val="00C77B12"/>
    <w:rsid w:val="00C77F0E"/>
    <w:rsid w:val="00C801BD"/>
    <w:rsid w:val="00C81246"/>
    <w:rsid w:val="00C81E6A"/>
    <w:rsid w:val="00C8301C"/>
    <w:rsid w:val="00C832AF"/>
    <w:rsid w:val="00C850C5"/>
    <w:rsid w:val="00C9161D"/>
    <w:rsid w:val="00C91852"/>
    <w:rsid w:val="00C921A2"/>
    <w:rsid w:val="00C925BC"/>
    <w:rsid w:val="00C92615"/>
    <w:rsid w:val="00C92652"/>
    <w:rsid w:val="00C93284"/>
    <w:rsid w:val="00C93482"/>
    <w:rsid w:val="00C93BC5"/>
    <w:rsid w:val="00C942C4"/>
    <w:rsid w:val="00C95954"/>
    <w:rsid w:val="00C96E40"/>
    <w:rsid w:val="00CA1F0C"/>
    <w:rsid w:val="00CA3404"/>
    <w:rsid w:val="00CA3D7E"/>
    <w:rsid w:val="00CA3EC4"/>
    <w:rsid w:val="00CA4C2C"/>
    <w:rsid w:val="00CA507C"/>
    <w:rsid w:val="00CA5C82"/>
    <w:rsid w:val="00CA6207"/>
    <w:rsid w:val="00CA6354"/>
    <w:rsid w:val="00CA7120"/>
    <w:rsid w:val="00CB11B0"/>
    <w:rsid w:val="00CB11B5"/>
    <w:rsid w:val="00CB1385"/>
    <w:rsid w:val="00CB1D11"/>
    <w:rsid w:val="00CB308F"/>
    <w:rsid w:val="00CB3CD8"/>
    <w:rsid w:val="00CB3D82"/>
    <w:rsid w:val="00CB56EE"/>
    <w:rsid w:val="00CB5B7A"/>
    <w:rsid w:val="00CB5CB1"/>
    <w:rsid w:val="00CB68F8"/>
    <w:rsid w:val="00CB72C3"/>
    <w:rsid w:val="00CB734C"/>
    <w:rsid w:val="00CB784D"/>
    <w:rsid w:val="00CB7C28"/>
    <w:rsid w:val="00CC02D4"/>
    <w:rsid w:val="00CC0416"/>
    <w:rsid w:val="00CC0671"/>
    <w:rsid w:val="00CC102E"/>
    <w:rsid w:val="00CC1DEC"/>
    <w:rsid w:val="00CC39EC"/>
    <w:rsid w:val="00CC5469"/>
    <w:rsid w:val="00CC5FD9"/>
    <w:rsid w:val="00CC6389"/>
    <w:rsid w:val="00CD1702"/>
    <w:rsid w:val="00CD312B"/>
    <w:rsid w:val="00CD37E1"/>
    <w:rsid w:val="00CD414E"/>
    <w:rsid w:val="00CD44A2"/>
    <w:rsid w:val="00CD51D3"/>
    <w:rsid w:val="00CD579F"/>
    <w:rsid w:val="00CD5A11"/>
    <w:rsid w:val="00CD5C8F"/>
    <w:rsid w:val="00CD5E03"/>
    <w:rsid w:val="00CD6167"/>
    <w:rsid w:val="00CD6179"/>
    <w:rsid w:val="00CD676A"/>
    <w:rsid w:val="00CD7034"/>
    <w:rsid w:val="00CE0A79"/>
    <w:rsid w:val="00CE1CC2"/>
    <w:rsid w:val="00CE1D5B"/>
    <w:rsid w:val="00CE25B6"/>
    <w:rsid w:val="00CE2E98"/>
    <w:rsid w:val="00CE3587"/>
    <w:rsid w:val="00CE3AFE"/>
    <w:rsid w:val="00CE417D"/>
    <w:rsid w:val="00CE47A8"/>
    <w:rsid w:val="00CE7994"/>
    <w:rsid w:val="00CF0636"/>
    <w:rsid w:val="00CF0F4A"/>
    <w:rsid w:val="00CF1120"/>
    <w:rsid w:val="00CF127D"/>
    <w:rsid w:val="00CF1848"/>
    <w:rsid w:val="00CF20F0"/>
    <w:rsid w:val="00CF2404"/>
    <w:rsid w:val="00CF2C69"/>
    <w:rsid w:val="00CF2FED"/>
    <w:rsid w:val="00CF3966"/>
    <w:rsid w:val="00CF4175"/>
    <w:rsid w:val="00CF4343"/>
    <w:rsid w:val="00CF4406"/>
    <w:rsid w:val="00CF58F6"/>
    <w:rsid w:val="00CF7692"/>
    <w:rsid w:val="00CF7D9B"/>
    <w:rsid w:val="00D01D7D"/>
    <w:rsid w:val="00D01DB2"/>
    <w:rsid w:val="00D032DE"/>
    <w:rsid w:val="00D106E0"/>
    <w:rsid w:val="00D115A6"/>
    <w:rsid w:val="00D11C41"/>
    <w:rsid w:val="00D12044"/>
    <w:rsid w:val="00D13150"/>
    <w:rsid w:val="00D136CC"/>
    <w:rsid w:val="00D152D6"/>
    <w:rsid w:val="00D16DC1"/>
    <w:rsid w:val="00D17198"/>
    <w:rsid w:val="00D17365"/>
    <w:rsid w:val="00D20307"/>
    <w:rsid w:val="00D22998"/>
    <w:rsid w:val="00D23697"/>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5492"/>
    <w:rsid w:val="00D35A80"/>
    <w:rsid w:val="00D412B8"/>
    <w:rsid w:val="00D41517"/>
    <w:rsid w:val="00D41EE3"/>
    <w:rsid w:val="00D42BC9"/>
    <w:rsid w:val="00D42D04"/>
    <w:rsid w:val="00D43BC3"/>
    <w:rsid w:val="00D44C03"/>
    <w:rsid w:val="00D45630"/>
    <w:rsid w:val="00D46DAE"/>
    <w:rsid w:val="00D47C89"/>
    <w:rsid w:val="00D501C8"/>
    <w:rsid w:val="00D53DAF"/>
    <w:rsid w:val="00D54387"/>
    <w:rsid w:val="00D5475D"/>
    <w:rsid w:val="00D55A06"/>
    <w:rsid w:val="00D57930"/>
    <w:rsid w:val="00D57E0C"/>
    <w:rsid w:val="00D6062C"/>
    <w:rsid w:val="00D60C44"/>
    <w:rsid w:val="00D611B7"/>
    <w:rsid w:val="00D62487"/>
    <w:rsid w:val="00D62BC0"/>
    <w:rsid w:val="00D6439F"/>
    <w:rsid w:val="00D6488C"/>
    <w:rsid w:val="00D64940"/>
    <w:rsid w:val="00D649A2"/>
    <w:rsid w:val="00D64C1C"/>
    <w:rsid w:val="00D64CD2"/>
    <w:rsid w:val="00D64D2E"/>
    <w:rsid w:val="00D651EB"/>
    <w:rsid w:val="00D65955"/>
    <w:rsid w:val="00D6661C"/>
    <w:rsid w:val="00D671A4"/>
    <w:rsid w:val="00D672AA"/>
    <w:rsid w:val="00D70692"/>
    <w:rsid w:val="00D709CA"/>
    <w:rsid w:val="00D70AEF"/>
    <w:rsid w:val="00D71250"/>
    <w:rsid w:val="00D71DC3"/>
    <w:rsid w:val="00D7364F"/>
    <w:rsid w:val="00D73D31"/>
    <w:rsid w:val="00D73E4B"/>
    <w:rsid w:val="00D75B60"/>
    <w:rsid w:val="00D76A18"/>
    <w:rsid w:val="00D771E9"/>
    <w:rsid w:val="00D82ED2"/>
    <w:rsid w:val="00D83EA2"/>
    <w:rsid w:val="00D83F96"/>
    <w:rsid w:val="00D86A15"/>
    <w:rsid w:val="00D86B28"/>
    <w:rsid w:val="00D91ED7"/>
    <w:rsid w:val="00D91EFE"/>
    <w:rsid w:val="00D91F30"/>
    <w:rsid w:val="00D972BC"/>
    <w:rsid w:val="00DA020F"/>
    <w:rsid w:val="00DA1311"/>
    <w:rsid w:val="00DA2080"/>
    <w:rsid w:val="00DA281A"/>
    <w:rsid w:val="00DA2CF0"/>
    <w:rsid w:val="00DA3104"/>
    <w:rsid w:val="00DA4D59"/>
    <w:rsid w:val="00DA67FA"/>
    <w:rsid w:val="00DB0814"/>
    <w:rsid w:val="00DB3F5E"/>
    <w:rsid w:val="00DB4BD9"/>
    <w:rsid w:val="00DB7E18"/>
    <w:rsid w:val="00DC2704"/>
    <w:rsid w:val="00DC2DD8"/>
    <w:rsid w:val="00DC3424"/>
    <w:rsid w:val="00DD118C"/>
    <w:rsid w:val="00DD1682"/>
    <w:rsid w:val="00DD4B67"/>
    <w:rsid w:val="00DD5C27"/>
    <w:rsid w:val="00DD6807"/>
    <w:rsid w:val="00DD701D"/>
    <w:rsid w:val="00DD7420"/>
    <w:rsid w:val="00DE0FB5"/>
    <w:rsid w:val="00DE2705"/>
    <w:rsid w:val="00DE4083"/>
    <w:rsid w:val="00DE4141"/>
    <w:rsid w:val="00DE5ACB"/>
    <w:rsid w:val="00DE7AFB"/>
    <w:rsid w:val="00DF0004"/>
    <w:rsid w:val="00DF02FE"/>
    <w:rsid w:val="00DF11A4"/>
    <w:rsid w:val="00DF12B6"/>
    <w:rsid w:val="00DF2148"/>
    <w:rsid w:val="00DF2815"/>
    <w:rsid w:val="00DF2BB6"/>
    <w:rsid w:val="00DF3393"/>
    <w:rsid w:val="00DF4604"/>
    <w:rsid w:val="00DF5CA4"/>
    <w:rsid w:val="00DF74B2"/>
    <w:rsid w:val="00E04C11"/>
    <w:rsid w:val="00E0525C"/>
    <w:rsid w:val="00E06185"/>
    <w:rsid w:val="00E072BC"/>
    <w:rsid w:val="00E0752B"/>
    <w:rsid w:val="00E1049E"/>
    <w:rsid w:val="00E10D83"/>
    <w:rsid w:val="00E13DFB"/>
    <w:rsid w:val="00E15E14"/>
    <w:rsid w:val="00E15E85"/>
    <w:rsid w:val="00E1769B"/>
    <w:rsid w:val="00E21BE5"/>
    <w:rsid w:val="00E22111"/>
    <w:rsid w:val="00E23544"/>
    <w:rsid w:val="00E236A1"/>
    <w:rsid w:val="00E237E7"/>
    <w:rsid w:val="00E25032"/>
    <w:rsid w:val="00E26E2C"/>
    <w:rsid w:val="00E30C2C"/>
    <w:rsid w:val="00E320E6"/>
    <w:rsid w:val="00E33977"/>
    <w:rsid w:val="00E33DB6"/>
    <w:rsid w:val="00E33E48"/>
    <w:rsid w:val="00E34C11"/>
    <w:rsid w:val="00E35048"/>
    <w:rsid w:val="00E373A3"/>
    <w:rsid w:val="00E37FF5"/>
    <w:rsid w:val="00E415B2"/>
    <w:rsid w:val="00E42C7B"/>
    <w:rsid w:val="00E43910"/>
    <w:rsid w:val="00E440C5"/>
    <w:rsid w:val="00E45F83"/>
    <w:rsid w:val="00E46AEF"/>
    <w:rsid w:val="00E46E72"/>
    <w:rsid w:val="00E50959"/>
    <w:rsid w:val="00E516D5"/>
    <w:rsid w:val="00E51A3F"/>
    <w:rsid w:val="00E532D2"/>
    <w:rsid w:val="00E535A1"/>
    <w:rsid w:val="00E53F03"/>
    <w:rsid w:val="00E546E2"/>
    <w:rsid w:val="00E54AED"/>
    <w:rsid w:val="00E55688"/>
    <w:rsid w:val="00E55731"/>
    <w:rsid w:val="00E55B01"/>
    <w:rsid w:val="00E55C17"/>
    <w:rsid w:val="00E571D3"/>
    <w:rsid w:val="00E62ED2"/>
    <w:rsid w:val="00E6354D"/>
    <w:rsid w:val="00E63CD9"/>
    <w:rsid w:val="00E64CF3"/>
    <w:rsid w:val="00E66235"/>
    <w:rsid w:val="00E666D9"/>
    <w:rsid w:val="00E66E79"/>
    <w:rsid w:val="00E731DB"/>
    <w:rsid w:val="00E73C09"/>
    <w:rsid w:val="00E73EE7"/>
    <w:rsid w:val="00E7558D"/>
    <w:rsid w:val="00E76EA9"/>
    <w:rsid w:val="00E775AD"/>
    <w:rsid w:val="00E77B81"/>
    <w:rsid w:val="00E81EB1"/>
    <w:rsid w:val="00E83C24"/>
    <w:rsid w:val="00E854BE"/>
    <w:rsid w:val="00E869B1"/>
    <w:rsid w:val="00E87517"/>
    <w:rsid w:val="00E92C59"/>
    <w:rsid w:val="00E9318D"/>
    <w:rsid w:val="00E93A80"/>
    <w:rsid w:val="00E93F81"/>
    <w:rsid w:val="00E94434"/>
    <w:rsid w:val="00E94D74"/>
    <w:rsid w:val="00E94F18"/>
    <w:rsid w:val="00E95C96"/>
    <w:rsid w:val="00E95DF2"/>
    <w:rsid w:val="00E96078"/>
    <w:rsid w:val="00E9742C"/>
    <w:rsid w:val="00E97D44"/>
    <w:rsid w:val="00EA056B"/>
    <w:rsid w:val="00EA1B55"/>
    <w:rsid w:val="00EA1F83"/>
    <w:rsid w:val="00EA38CB"/>
    <w:rsid w:val="00EA41AA"/>
    <w:rsid w:val="00EA424D"/>
    <w:rsid w:val="00EA515C"/>
    <w:rsid w:val="00EA634F"/>
    <w:rsid w:val="00EA663A"/>
    <w:rsid w:val="00EA7E09"/>
    <w:rsid w:val="00EB525F"/>
    <w:rsid w:val="00EB5C84"/>
    <w:rsid w:val="00EB6601"/>
    <w:rsid w:val="00EB6A7D"/>
    <w:rsid w:val="00EB75DF"/>
    <w:rsid w:val="00EC0229"/>
    <w:rsid w:val="00EC08C5"/>
    <w:rsid w:val="00EC2A35"/>
    <w:rsid w:val="00EC3356"/>
    <w:rsid w:val="00EC6895"/>
    <w:rsid w:val="00EC70A7"/>
    <w:rsid w:val="00EC75AE"/>
    <w:rsid w:val="00EC7C3A"/>
    <w:rsid w:val="00ED0209"/>
    <w:rsid w:val="00ED1A12"/>
    <w:rsid w:val="00ED2B11"/>
    <w:rsid w:val="00ED4C80"/>
    <w:rsid w:val="00ED55D8"/>
    <w:rsid w:val="00ED646F"/>
    <w:rsid w:val="00ED66AD"/>
    <w:rsid w:val="00ED6808"/>
    <w:rsid w:val="00ED6D2D"/>
    <w:rsid w:val="00EE088D"/>
    <w:rsid w:val="00EE0C48"/>
    <w:rsid w:val="00EE26FF"/>
    <w:rsid w:val="00EE41D7"/>
    <w:rsid w:val="00EE6E79"/>
    <w:rsid w:val="00EE7124"/>
    <w:rsid w:val="00EF0A94"/>
    <w:rsid w:val="00EF1EAC"/>
    <w:rsid w:val="00EF1FA5"/>
    <w:rsid w:val="00EF41CF"/>
    <w:rsid w:val="00EF4297"/>
    <w:rsid w:val="00EF5C30"/>
    <w:rsid w:val="00EF6326"/>
    <w:rsid w:val="00EF6B28"/>
    <w:rsid w:val="00EF74B9"/>
    <w:rsid w:val="00EF7A74"/>
    <w:rsid w:val="00EF7A88"/>
    <w:rsid w:val="00F02542"/>
    <w:rsid w:val="00F051E2"/>
    <w:rsid w:val="00F05AB9"/>
    <w:rsid w:val="00F07ECF"/>
    <w:rsid w:val="00F1013B"/>
    <w:rsid w:val="00F11EF5"/>
    <w:rsid w:val="00F12F85"/>
    <w:rsid w:val="00F142B1"/>
    <w:rsid w:val="00F148D9"/>
    <w:rsid w:val="00F156A3"/>
    <w:rsid w:val="00F15BC5"/>
    <w:rsid w:val="00F15D83"/>
    <w:rsid w:val="00F16933"/>
    <w:rsid w:val="00F171B3"/>
    <w:rsid w:val="00F227D6"/>
    <w:rsid w:val="00F22EA2"/>
    <w:rsid w:val="00F23836"/>
    <w:rsid w:val="00F25539"/>
    <w:rsid w:val="00F25CDF"/>
    <w:rsid w:val="00F276D9"/>
    <w:rsid w:val="00F30612"/>
    <w:rsid w:val="00F31F27"/>
    <w:rsid w:val="00F323E4"/>
    <w:rsid w:val="00F32C36"/>
    <w:rsid w:val="00F32CE8"/>
    <w:rsid w:val="00F34CA2"/>
    <w:rsid w:val="00F4087B"/>
    <w:rsid w:val="00F44520"/>
    <w:rsid w:val="00F4473A"/>
    <w:rsid w:val="00F45555"/>
    <w:rsid w:val="00F460B6"/>
    <w:rsid w:val="00F466A6"/>
    <w:rsid w:val="00F46F5F"/>
    <w:rsid w:val="00F47E33"/>
    <w:rsid w:val="00F5171D"/>
    <w:rsid w:val="00F51CDC"/>
    <w:rsid w:val="00F53A09"/>
    <w:rsid w:val="00F53F03"/>
    <w:rsid w:val="00F5463B"/>
    <w:rsid w:val="00F552E3"/>
    <w:rsid w:val="00F55ECA"/>
    <w:rsid w:val="00F57887"/>
    <w:rsid w:val="00F60F18"/>
    <w:rsid w:val="00F6106D"/>
    <w:rsid w:val="00F61C61"/>
    <w:rsid w:val="00F620D0"/>
    <w:rsid w:val="00F62A00"/>
    <w:rsid w:val="00F66F4E"/>
    <w:rsid w:val="00F67DFB"/>
    <w:rsid w:val="00F716B3"/>
    <w:rsid w:val="00F722F7"/>
    <w:rsid w:val="00F72A01"/>
    <w:rsid w:val="00F72E85"/>
    <w:rsid w:val="00F74E8F"/>
    <w:rsid w:val="00F80D1F"/>
    <w:rsid w:val="00F80E68"/>
    <w:rsid w:val="00F82427"/>
    <w:rsid w:val="00F84E47"/>
    <w:rsid w:val="00F859B3"/>
    <w:rsid w:val="00F874BF"/>
    <w:rsid w:val="00F90860"/>
    <w:rsid w:val="00F90EA0"/>
    <w:rsid w:val="00F91842"/>
    <w:rsid w:val="00F9277F"/>
    <w:rsid w:val="00F94774"/>
    <w:rsid w:val="00F94D16"/>
    <w:rsid w:val="00F961D1"/>
    <w:rsid w:val="00F9687E"/>
    <w:rsid w:val="00FA1427"/>
    <w:rsid w:val="00FA1C1D"/>
    <w:rsid w:val="00FA1EDE"/>
    <w:rsid w:val="00FA24E2"/>
    <w:rsid w:val="00FA26DA"/>
    <w:rsid w:val="00FA288A"/>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107B"/>
    <w:rsid w:val="00FC115D"/>
    <w:rsid w:val="00FC1578"/>
    <w:rsid w:val="00FC237E"/>
    <w:rsid w:val="00FC4064"/>
    <w:rsid w:val="00FC44E1"/>
    <w:rsid w:val="00FC49E4"/>
    <w:rsid w:val="00FC53DB"/>
    <w:rsid w:val="00FC6928"/>
    <w:rsid w:val="00FD1252"/>
    <w:rsid w:val="00FD167F"/>
    <w:rsid w:val="00FD1E07"/>
    <w:rsid w:val="00FD2F46"/>
    <w:rsid w:val="00FD3595"/>
    <w:rsid w:val="00FD3660"/>
    <w:rsid w:val="00FD4172"/>
    <w:rsid w:val="00FD517C"/>
    <w:rsid w:val="00FD56AF"/>
    <w:rsid w:val="00FE0CFA"/>
    <w:rsid w:val="00FE1102"/>
    <w:rsid w:val="00FE156B"/>
    <w:rsid w:val="00FE1BA3"/>
    <w:rsid w:val="00FE1BEC"/>
    <w:rsid w:val="00FE2EDC"/>
    <w:rsid w:val="00FE3224"/>
    <w:rsid w:val="00FE4CE6"/>
    <w:rsid w:val="00FE57D7"/>
    <w:rsid w:val="00FE5A01"/>
    <w:rsid w:val="00FF1085"/>
    <w:rsid w:val="00FF20E4"/>
    <w:rsid w:val="00FF3313"/>
    <w:rsid w:val="00FF34AF"/>
    <w:rsid w:val="00FF5037"/>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13EEA"/>
  <w15:docId w15:val="{04E21142-9E19-4CA6-8D7F-ADC363E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AA30D9"/>
    <w:rPr>
      <w:color w:val="808080"/>
      <w:shd w:val="clear" w:color="auto" w:fill="E6E6E6"/>
    </w:rPr>
  </w:style>
  <w:style w:type="character" w:customStyle="1" w:styleId="UnresolvedMention">
    <w:name w:val="Unresolved Mention"/>
    <w:basedOn w:val="Policepardfau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basedOn w:val="Policepardfaut"/>
    <w:link w:val="Paragraphedeliste"/>
    <w:uiPriority w:val="34"/>
    <w:qFormat/>
    <w:locked/>
    <w:rsid w:val="000D4006"/>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981CE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81CEB"/>
    <w:rPr>
      <w:rFonts w:ascii="Times New Roman" w:eastAsia="Times New Roman" w:hAnsi="Times New Roman" w:cs="Times New Roman"/>
      <w:b/>
      <w:bCs/>
      <w:sz w:val="20"/>
      <w:szCs w:val="20"/>
      <w:lang w:val="en-GB"/>
    </w:rPr>
  </w:style>
  <w:style w:type="paragraph" w:styleId="R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Policepardfaut"/>
    <w:rsid w:val="0002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0-f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22-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arningfornature.org/fr/courses/biodiversity-finance/" TargetMode="External"/><Relationship Id="rId7" Type="http://schemas.openxmlformats.org/officeDocument/2006/relationships/hyperlink" Target="https://www.cbd.int/doc/decisions/cop-14/cop-14-dec-22-fr.pdf" TargetMode="External"/><Relationship Id="rId2" Type="http://schemas.openxmlformats.org/officeDocument/2006/relationships/hyperlink" Target="https://www.cbd.int/doc/recommendations/wg2020-02/wg2020-02-rec-01-fr.pdf" TargetMode="External"/><Relationship Id="rId1" Type="http://schemas.openxmlformats.org/officeDocument/2006/relationships/hyperlink" Target="https://www.cbd.int/doc/recommendations/wg2020-01/wg2020-01-rec-01-fr.pdf" TargetMode="External"/><Relationship Id="rId6" Type="http://schemas.openxmlformats.org/officeDocument/2006/relationships/hyperlink" Target="https://www.cbd.int/doc/decisions/cop-13/cop-13-dec-20-fr.pdf" TargetMode="External"/><Relationship Id="rId5" Type="http://schemas.openxmlformats.org/officeDocument/2006/relationships/hyperlink" Target="https://www.cbd.int/doc/decisions/cop-13/cop-13-dec-20-fr.pdf" TargetMode="External"/><Relationship Id="rId4" Type="http://schemas.openxmlformats.org/officeDocument/2006/relationships/hyperlink" Target="https://www.cbd.int/doc/decisions/cop-11/cop-11-dec-04-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90DB6"/>
    <w:rsid w:val="000F24E4"/>
    <w:rsid w:val="00117C5E"/>
    <w:rsid w:val="00163D44"/>
    <w:rsid w:val="001B3DF0"/>
    <w:rsid w:val="001C4FB0"/>
    <w:rsid w:val="00223543"/>
    <w:rsid w:val="002D728B"/>
    <w:rsid w:val="002F6075"/>
    <w:rsid w:val="00411FB7"/>
    <w:rsid w:val="00424824"/>
    <w:rsid w:val="00430C0D"/>
    <w:rsid w:val="00500A2B"/>
    <w:rsid w:val="0058288D"/>
    <w:rsid w:val="005D28E7"/>
    <w:rsid w:val="00605EB0"/>
    <w:rsid w:val="00634F48"/>
    <w:rsid w:val="0064263B"/>
    <w:rsid w:val="006557D3"/>
    <w:rsid w:val="006801B3"/>
    <w:rsid w:val="00702F2F"/>
    <w:rsid w:val="00726ED1"/>
    <w:rsid w:val="007A4502"/>
    <w:rsid w:val="007C12A2"/>
    <w:rsid w:val="00810A55"/>
    <w:rsid w:val="00843573"/>
    <w:rsid w:val="00854F3C"/>
    <w:rsid w:val="008C6619"/>
    <w:rsid w:val="008D420E"/>
    <w:rsid w:val="00935D0B"/>
    <w:rsid w:val="0098642F"/>
    <w:rsid w:val="00992FC5"/>
    <w:rsid w:val="009A7A2C"/>
    <w:rsid w:val="00A31751"/>
    <w:rsid w:val="00A964F5"/>
    <w:rsid w:val="00AA1CB0"/>
    <w:rsid w:val="00AC55EB"/>
    <w:rsid w:val="00AE6E15"/>
    <w:rsid w:val="00BA56D4"/>
    <w:rsid w:val="00C862F0"/>
    <w:rsid w:val="00CB3D93"/>
    <w:rsid w:val="00CF2773"/>
    <w:rsid w:val="00D56D9D"/>
    <w:rsid w:val="00E466E0"/>
    <w:rsid w:val="00E95D14"/>
    <w:rsid w:val="00E97692"/>
    <w:rsid w:val="00EE4C03"/>
    <w:rsid w:val="00EE61E2"/>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D12D7-126B-4C10-982A-133AD0FF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10174</Words>
  <Characters>55957</Characters>
  <Application>Microsoft Office Word</Application>
  <DocSecurity>0</DocSecurity>
  <Lines>466</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MOBILISATION DES RESSOURCES</vt:lpstr>
      <vt:lpstr>Resource mobilization</vt:lpstr>
    </vt:vector>
  </TitlesOfParts>
  <Company>SCBD</Company>
  <LinksUpToDate>false</LinksUpToDate>
  <CharactersWithSpaces>66000</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MOBILISATION DES RESSOURCES</dc:title>
  <dc:subject>CBD/SBI/3/5</dc:subject>
  <dc:creator>SCBD</dc:creator>
  <cp:keywords>Subsidiary Body on Implementation, third meeting, Convention on Biological Diversity</cp:keywords>
  <cp:lastModifiedBy>Louise</cp:lastModifiedBy>
  <cp:revision>3</cp:revision>
  <cp:lastPrinted>2020-07-09T14:31:00Z</cp:lastPrinted>
  <dcterms:created xsi:type="dcterms:W3CDTF">2020-07-27T11:02:00Z</dcterms:created>
  <dcterms:modified xsi:type="dcterms:W3CDTF">2020-07-28T19:42:00Z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