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3"/>
        <w:gridCol w:w="1524"/>
        <w:gridCol w:w="7689"/>
      </w:tblGrid>
      <w:tr w:rsidR="00B86085" w:rsidRPr="00D658F4" w14:paraId="29063BF1" w14:textId="77777777" w:rsidTr="00072E32">
        <w:trPr>
          <w:trHeight w:val="769"/>
        </w:trPr>
        <w:tc>
          <w:tcPr>
            <w:tcW w:w="993" w:type="dxa"/>
            <w:tcBorders>
              <w:top w:val="nil"/>
              <w:left w:val="nil"/>
              <w:bottom w:val="nil"/>
              <w:right w:val="nil"/>
            </w:tcBorders>
            <w:tcMar>
              <w:top w:w="80" w:type="dxa"/>
              <w:left w:w="80" w:type="dxa"/>
              <w:bottom w:w="80" w:type="dxa"/>
              <w:right w:w="80" w:type="dxa"/>
            </w:tcMar>
            <w:vAlign w:val="bottom"/>
          </w:tcPr>
          <w:p w14:paraId="33EB2C35" w14:textId="77777777" w:rsidR="00B86085" w:rsidRPr="00D658F4" w:rsidRDefault="008C738F">
            <w:pPr>
              <w:pStyle w:val="AASmallLogo"/>
            </w:pPr>
            <w:r w:rsidRPr="00D658F4">
              <w:rPr>
                <w:noProof/>
                <w:sz w:val="22"/>
              </w:rPr>
              <w:drawing>
                <wp:inline distT="0" distB="0" distL="0" distR="0" wp14:anchorId="4529D59A" wp14:editId="70F45A9F">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D658F4">
              <w:t xml:space="preserve"> </w:t>
            </w:r>
          </w:p>
        </w:tc>
        <w:tc>
          <w:tcPr>
            <w:tcW w:w="1524" w:type="dxa"/>
            <w:tcBorders>
              <w:top w:val="nil"/>
              <w:left w:val="nil"/>
              <w:bottom w:val="nil"/>
              <w:right w:val="nil"/>
            </w:tcBorders>
            <w:tcMar>
              <w:top w:w="80" w:type="dxa"/>
              <w:left w:w="80" w:type="dxa"/>
              <w:bottom w:w="80" w:type="dxa"/>
              <w:right w:w="80" w:type="dxa"/>
            </w:tcMar>
            <w:vAlign w:val="bottom"/>
          </w:tcPr>
          <w:p w14:paraId="600BCBBD" w14:textId="7235469D" w:rsidR="00B86085" w:rsidRPr="00D658F4" w:rsidRDefault="009B550F">
            <w:pPr>
              <w:pStyle w:val="AASmallLogo"/>
            </w:pPr>
            <w:r w:rsidRPr="00D658F4">
              <w:rPr>
                <w:noProof/>
              </w:rPr>
              <w:drawing>
                <wp:inline distT="0" distB="0" distL="0" distR="0" wp14:anchorId="00E2E67B" wp14:editId="1BB0B076">
                  <wp:extent cx="736600" cy="398780"/>
                  <wp:effectExtent l="0" t="0" r="635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a:stretch>
                            <a:fillRect/>
                          </a:stretch>
                        </pic:blipFill>
                        <pic:spPr>
                          <a:xfrm>
                            <a:off x="0" y="0"/>
                            <a:ext cx="738004" cy="399540"/>
                          </a:xfrm>
                          <a:prstGeom prst="rect">
                            <a:avLst/>
                          </a:prstGeom>
                        </pic:spPr>
                      </pic:pic>
                    </a:graphicData>
                  </a:graphic>
                </wp:inline>
              </w:drawing>
            </w:r>
            <w:r w:rsidR="008C738F" w:rsidRPr="00D658F4">
              <w:t xml:space="preserve"> </w:t>
            </w:r>
          </w:p>
        </w:tc>
        <w:tc>
          <w:tcPr>
            <w:tcW w:w="7689" w:type="dxa"/>
            <w:tcBorders>
              <w:top w:val="nil"/>
              <w:left w:val="nil"/>
              <w:bottom w:val="nil"/>
              <w:right w:val="nil"/>
            </w:tcBorders>
            <w:tcMar>
              <w:top w:w="80" w:type="dxa"/>
              <w:left w:w="2099" w:type="dxa"/>
              <w:bottom w:w="80" w:type="dxa"/>
              <w:right w:w="80" w:type="dxa"/>
            </w:tcMar>
            <w:vAlign w:val="bottom"/>
          </w:tcPr>
          <w:p w14:paraId="3F93ED5F" w14:textId="77777777" w:rsidR="00B86085" w:rsidRPr="00D658F4" w:rsidRDefault="008C738F">
            <w:pPr>
              <w:pStyle w:val="ABSymbol"/>
            </w:pPr>
            <w:r w:rsidRPr="00D658F4">
              <w:rPr>
                <w:sz w:val="40"/>
              </w:rPr>
              <w:t>CBD</w:t>
            </w:r>
            <w:r w:rsidRPr="00D658F4">
              <w:t>/COP/17/6/Add.2</w:t>
            </w:r>
          </w:p>
        </w:tc>
      </w:tr>
    </w:tbl>
    <w:p w14:paraId="6F364BA3" w14:textId="77777777" w:rsidR="00B86085" w:rsidRPr="00D658F4" w:rsidRDefault="00B86085">
      <w:pPr>
        <w:pStyle w:val="Body"/>
        <w:widowControl w:val="0"/>
        <w:rPr>
          <w:sz w:val="4"/>
          <w:szCs w:val="4"/>
        </w:rPr>
      </w:pPr>
    </w:p>
    <w:p w14:paraId="1100AA2C" w14:textId="77777777" w:rsidR="00B86085" w:rsidRPr="00D658F4" w:rsidRDefault="00B86085">
      <w:pPr>
        <w:pStyle w:val="AISpacer"/>
      </w:pPr>
    </w:p>
    <w:tbl>
      <w:tblPr>
        <w:tblW w:w="10348"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620"/>
        <w:gridCol w:w="2728"/>
      </w:tblGrid>
      <w:tr w:rsidR="00B86085" w:rsidRPr="00D658F4" w14:paraId="7FFC081B" w14:textId="77777777" w:rsidTr="00072E32">
        <w:trPr>
          <w:trHeight w:val="1883"/>
        </w:trPr>
        <w:tc>
          <w:tcPr>
            <w:tcW w:w="7620" w:type="dxa"/>
            <w:tcBorders>
              <w:top w:val="single" w:sz="8" w:space="0" w:color="000000"/>
              <w:left w:val="nil"/>
              <w:bottom w:val="single" w:sz="12" w:space="0" w:color="000000"/>
              <w:right w:val="nil"/>
            </w:tcBorders>
            <w:tcMar>
              <w:top w:w="80" w:type="dxa"/>
              <w:left w:w="80" w:type="dxa"/>
              <w:bottom w:w="80" w:type="dxa"/>
              <w:right w:w="80" w:type="dxa"/>
            </w:tcMar>
          </w:tcPr>
          <w:p w14:paraId="618D1A7F" w14:textId="57BD785B" w:rsidR="00B86085" w:rsidRPr="00D658F4" w:rsidRDefault="009B550F">
            <w:pPr>
              <w:pStyle w:val="ACLargeLogo"/>
            </w:pPr>
            <w:r w:rsidRPr="00D658F4">
              <w:rPr>
                <w:noProof/>
              </w:rPr>
              <w:drawing>
                <wp:inline distT="0" distB="0" distL="0" distR="0" wp14:anchorId="1ABF2E4D" wp14:editId="33600163">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stretch>
                            <a:fillRect/>
                          </a:stretch>
                        </pic:blipFill>
                        <pic:spPr>
                          <a:xfrm>
                            <a:off x="0" y="0"/>
                            <a:ext cx="2755631" cy="1013099"/>
                          </a:xfrm>
                          <a:prstGeom prst="rect">
                            <a:avLst/>
                          </a:prstGeom>
                        </pic:spPr>
                      </pic:pic>
                    </a:graphicData>
                  </a:graphic>
                </wp:inline>
              </w:drawing>
            </w:r>
            <w:r w:rsidR="008C738F" w:rsidRPr="00D658F4">
              <w:t xml:space="preserve"> </w:t>
            </w:r>
          </w:p>
        </w:tc>
        <w:tc>
          <w:tcPr>
            <w:tcW w:w="2728" w:type="dxa"/>
            <w:tcBorders>
              <w:top w:val="single" w:sz="8" w:space="0" w:color="000000"/>
              <w:left w:val="nil"/>
              <w:bottom w:val="single" w:sz="12" w:space="0" w:color="000000"/>
              <w:right w:val="nil"/>
            </w:tcBorders>
            <w:tcMar>
              <w:top w:w="80" w:type="dxa"/>
              <w:left w:w="80" w:type="dxa"/>
              <w:bottom w:w="80" w:type="dxa"/>
              <w:right w:w="80" w:type="dxa"/>
            </w:tcMar>
          </w:tcPr>
          <w:p w14:paraId="7D3E6308" w14:textId="77777777" w:rsidR="00B86085" w:rsidRPr="00D658F4" w:rsidRDefault="008C738F">
            <w:pPr>
              <w:pStyle w:val="AEDistrNormal"/>
            </w:pPr>
            <w:r w:rsidRPr="00D658F4">
              <w:t xml:space="preserve">Distr.: general </w:t>
            </w:r>
          </w:p>
          <w:p w14:paraId="5D6A357F" w14:textId="77777777" w:rsidR="00B86085" w:rsidRPr="00D658F4" w:rsidRDefault="00B56E0E">
            <w:pPr>
              <w:pStyle w:val="AEDistrNormal"/>
            </w:pPr>
            <w:r w:rsidRPr="00D658F4">
              <w:t>2 de septiembre de 2026</w:t>
            </w:r>
          </w:p>
          <w:p w14:paraId="4E933243" w14:textId="77777777" w:rsidR="00B86085" w:rsidRPr="00D658F4" w:rsidRDefault="008C738F">
            <w:pPr>
              <w:pStyle w:val="AEDistrNormal6pt"/>
            </w:pPr>
            <w:r w:rsidRPr="00D658F4">
              <w:t>Español</w:t>
            </w:r>
            <w:r w:rsidRPr="00D658F4">
              <w:br/>
              <w:t xml:space="preserve">Original: inglés </w:t>
            </w:r>
          </w:p>
        </w:tc>
      </w:tr>
    </w:tbl>
    <w:p w14:paraId="02CFF6DD" w14:textId="77777777" w:rsidR="00B86085" w:rsidRPr="00D658F4" w:rsidRDefault="00B86085">
      <w:pPr>
        <w:pStyle w:val="AISpacer"/>
        <w:widowControl w:val="0"/>
      </w:pPr>
    </w:p>
    <w:p w14:paraId="7F3E23EB" w14:textId="77777777" w:rsidR="00B86085" w:rsidRPr="00D658F4" w:rsidRDefault="00B86085">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B86085" w:rsidRPr="00D658F4" w14:paraId="5EA30ABC" w14:textId="77777777" w:rsidTr="00205266">
        <w:trPr>
          <w:trHeight w:val="1551"/>
        </w:trPr>
        <w:tc>
          <w:tcPr>
            <w:tcW w:w="6094" w:type="dxa"/>
            <w:tcBorders>
              <w:top w:val="nil"/>
              <w:left w:val="nil"/>
              <w:bottom w:val="nil"/>
              <w:right w:val="nil"/>
            </w:tcBorders>
            <w:tcMar>
              <w:top w:w="80" w:type="dxa"/>
              <w:left w:w="80" w:type="dxa"/>
              <w:bottom w:w="80" w:type="dxa"/>
              <w:right w:w="80" w:type="dxa"/>
            </w:tcMar>
          </w:tcPr>
          <w:p w14:paraId="0DF4F1F3" w14:textId="77777777" w:rsidR="00B86085" w:rsidRPr="00D658F4" w:rsidRDefault="008C738F">
            <w:pPr>
              <w:pStyle w:val="AFCorN12Bold"/>
            </w:pPr>
            <w:r w:rsidRPr="00D658F4">
              <w:t xml:space="preserve">Conferencia de las Partes en el </w:t>
            </w:r>
            <w:r w:rsidRPr="00D658F4">
              <w:br/>
              <w:t xml:space="preserve">Convenio sobre la Diversidad Biológica </w:t>
            </w:r>
          </w:p>
          <w:p w14:paraId="08F2C056" w14:textId="77777777" w:rsidR="00B86085" w:rsidRPr="00D658F4" w:rsidRDefault="008C738F">
            <w:pPr>
              <w:pStyle w:val="AFCorNBold"/>
            </w:pPr>
            <w:r w:rsidRPr="00D658F4">
              <w:t xml:space="preserve">Decimoséptima reunión </w:t>
            </w:r>
          </w:p>
          <w:p w14:paraId="63C95A8A" w14:textId="77777777" w:rsidR="00B86085" w:rsidRPr="00D658F4" w:rsidRDefault="008C738F">
            <w:pPr>
              <w:pStyle w:val="AFCorNNormal"/>
            </w:pPr>
            <w:r w:rsidRPr="00D658F4">
              <w:t>Ereván (Armenia), 19 a 30 de octubre de 2026</w:t>
            </w:r>
          </w:p>
          <w:p w14:paraId="3EA33BEC" w14:textId="77777777" w:rsidR="00B86085" w:rsidRPr="00D658F4" w:rsidRDefault="008C738F">
            <w:pPr>
              <w:pStyle w:val="AFCorNNormal"/>
            </w:pPr>
            <w:r w:rsidRPr="00D658F4">
              <w:t>Tema 11 del programa provisional</w:t>
            </w:r>
            <w:r w:rsidRPr="00D658F4">
              <w:rPr>
                <w:rStyle w:val="FootnoteReference"/>
              </w:rPr>
              <w:footnoteReference w:customMarkFollows="1" w:id="2"/>
              <w:t>*</w:t>
            </w:r>
            <w:r w:rsidRPr="00D658F4">
              <w:t xml:space="preserve"> </w:t>
            </w:r>
          </w:p>
          <w:p w14:paraId="173E93C5" w14:textId="77777777" w:rsidR="00B86085" w:rsidRPr="00D658F4" w:rsidRDefault="008C738F">
            <w:pPr>
              <w:pStyle w:val="AFCorNBold"/>
            </w:pPr>
            <w:r w:rsidRPr="00D658F4">
              <w:t xml:space="preserve">Información digital sobre secuencias de recursos genéticos </w:t>
            </w:r>
          </w:p>
        </w:tc>
        <w:tc>
          <w:tcPr>
            <w:tcW w:w="4004" w:type="dxa"/>
            <w:tcBorders>
              <w:top w:val="nil"/>
              <w:left w:val="nil"/>
              <w:bottom w:val="nil"/>
              <w:right w:val="nil"/>
            </w:tcBorders>
            <w:tcMar>
              <w:top w:w="80" w:type="dxa"/>
              <w:left w:w="80" w:type="dxa"/>
              <w:bottom w:w="80" w:type="dxa"/>
              <w:right w:w="80" w:type="dxa"/>
            </w:tcMar>
          </w:tcPr>
          <w:p w14:paraId="56B7A789" w14:textId="77777777" w:rsidR="00B86085" w:rsidRPr="00D658F4" w:rsidRDefault="00B86085" w:rsidP="00265B78">
            <w:pPr>
              <w:pStyle w:val="CBDNormal"/>
              <w:jc w:val="left"/>
            </w:pPr>
          </w:p>
        </w:tc>
      </w:tr>
    </w:tbl>
    <w:p w14:paraId="2FDFB194" w14:textId="77777777" w:rsidR="00B86085" w:rsidRPr="00D658F4" w:rsidRDefault="00B86085">
      <w:pPr>
        <w:pStyle w:val="AISpacer"/>
        <w:widowControl w:val="0"/>
      </w:pPr>
    </w:p>
    <w:p w14:paraId="33AC4818" w14:textId="59E863ED" w:rsidR="00B86085" w:rsidRPr="00D658F4" w:rsidRDefault="008C738F">
      <w:pPr>
        <w:pStyle w:val="CBDTitle"/>
        <w:rPr>
          <w:caps/>
        </w:rPr>
      </w:pPr>
      <w:r w:rsidRPr="00D658F4">
        <w:t>Resultados de la labor del Grupo Especial de Expertos Técnicos sobre Metodología de Asignación para el Desembolso de Financiación del Fondo Cali</w:t>
      </w:r>
      <w:r w:rsidRPr="00D658F4">
        <w:rPr>
          <w:caps/>
        </w:rPr>
        <w:t xml:space="preserve"> </w:t>
      </w:r>
    </w:p>
    <w:p w14:paraId="73568593" w14:textId="77777777" w:rsidR="00B86085" w:rsidRPr="00D658F4" w:rsidRDefault="008C738F">
      <w:pPr>
        <w:pStyle w:val="CBDSubTitle"/>
      </w:pPr>
      <w:r w:rsidRPr="00D658F4">
        <w:t>Nota de la Secretaría</w:t>
      </w:r>
    </w:p>
    <w:p w14:paraId="594F55D5" w14:textId="77777777" w:rsidR="00B86085" w:rsidRPr="00D658F4" w:rsidRDefault="008C738F" w:rsidP="00994698">
      <w:pPr>
        <w:pStyle w:val="CBDNormalNumber"/>
        <w:numPr>
          <w:ilvl w:val="0"/>
          <w:numId w:val="2"/>
        </w:numPr>
      </w:pPr>
      <w:r w:rsidRPr="00D658F4">
        <w:t xml:space="preserve">En la decisión </w:t>
      </w:r>
      <w:hyperlink r:id="rId14" w:history="1">
        <w:r w:rsidRPr="00D658F4">
          <w:rPr>
            <w:rStyle w:val="Hyperlink0"/>
            <w:rFonts w:eastAsia="SimSun"/>
          </w:rPr>
          <w:t>16/2</w:t>
        </w:r>
      </w:hyperlink>
      <w:r w:rsidRPr="00D658F4">
        <w:t xml:space="preserve"> de su 16ª reunión, la Conferencia de las Partes en el Convenio sobre la Diversidad Biológica estableció el </w:t>
      </w:r>
      <w:bookmarkStart w:id="0" w:name="_Hlk239323182"/>
      <w:r w:rsidRPr="00D658F4">
        <w:t>Grupo Especial de Expertos Técnicos sobre Metodología de Asignación</w:t>
      </w:r>
      <w:bookmarkEnd w:id="0"/>
      <w:r w:rsidRPr="00D658F4">
        <w:t xml:space="preserve"> para que trabajara en la metodología de asignación del Fondo de Cali para la Participación Justa y Equitativa en los Beneficios que se Deriven de la Utilización de Información Digital sobre Secuencias de Recursos Genéticos, cuyo mandato figura en el adjunto III del anexo de la misma decisión. Se encomendó al Grupo de Expertos la tarea de proporcionar orientación y asesoramiento técnicos sobre cuestiones pendientes y sin resolver relacionadas con el desembolso de financiación del Fondo de Cali, sobre la base del párrafo 20 del anexo de la decisión </w:t>
      </w:r>
      <w:hyperlink r:id="rId15" w:history="1">
        <w:r w:rsidRPr="00D658F4">
          <w:rPr>
            <w:rStyle w:val="Hyperlink0"/>
            <w:rFonts w:eastAsia="SimSun"/>
          </w:rPr>
          <w:t>16/2</w:t>
        </w:r>
      </w:hyperlink>
      <w:r w:rsidRPr="00D658F4">
        <w:t xml:space="preserve">, en el que se trata la cuestión de las asignaciones directas a las Partes. En particular, se encomendó al Grupo de Expertos la tarea de elaborar una metodología de asignación para el desembolso de financiación del Fondo de Cali sobre la base de los criterios establecidos en el adjunto II del anexo de la decisión </w:t>
      </w:r>
      <w:hyperlink r:id="rId16" w:history="1">
        <w:r w:rsidRPr="00D658F4">
          <w:rPr>
            <w:rStyle w:val="Hyperlink"/>
          </w:rPr>
          <w:t>16/2</w:t>
        </w:r>
      </w:hyperlink>
      <w:r w:rsidRPr="00D658F4">
        <w:t>, para someterla a la consideración de la Conferencia de las Partes en su 17ª reunión.</w:t>
      </w:r>
    </w:p>
    <w:p w14:paraId="539CA8EA" w14:textId="77777777" w:rsidR="00B86085" w:rsidRPr="00D658F4" w:rsidRDefault="008C738F">
      <w:pPr>
        <w:pStyle w:val="CBDNormalNumber"/>
        <w:numPr>
          <w:ilvl w:val="0"/>
          <w:numId w:val="2"/>
        </w:numPr>
      </w:pPr>
      <w:r w:rsidRPr="00D658F4">
        <w:t xml:space="preserve">De conformidad con el párrafo 19 de las modalidades para la puesta en funcionamiento del mecanismo multilateral para la participación justa y equitativa en los beneficios que se deriven de la utilización de información digital sobre secuencias de recursos genéticos, del que forma parte el Fondo de Cali, según figuran en el anexo de la decisión </w:t>
      </w:r>
      <w:hyperlink r:id="rId17" w:history="1">
        <w:r w:rsidRPr="00D658F4">
          <w:rPr>
            <w:rStyle w:val="Hyperlink"/>
          </w:rPr>
          <w:t>16/2</w:t>
        </w:r>
      </w:hyperlink>
      <w:r w:rsidRPr="00D658F4">
        <w:t>, se espera que en su 17ª reunión la Conferencia de las Partes determine una fórmula de asignación basándose en la labor del Grupo de Expertos. Por consiguiente, se ha incluido un texto a este efecto en los elementos de un proyecto de decisión que figura en el documento CBD/COP/17/6, para someterlo a la consideración de la Conferencia de las Partes en su 17ª reunión.</w:t>
      </w:r>
    </w:p>
    <w:p w14:paraId="3C08FF5C" w14:textId="77777777" w:rsidR="005F2945" w:rsidRPr="00D658F4" w:rsidRDefault="00813FD8" w:rsidP="00242CB7">
      <w:pPr>
        <w:pStyle w:val="CBDNormalNumber"/>
        <w:numPr>
          <w:ilvl w:val="0"/>
          <w:numId w:val="2"/>
        </w:numPr>
        <w:rPr>
          <w:rFonts w:ascii="Arial Unicode MS" w:hAnsi="Arial Unicode MS"/>
        </w:rPr>
        <w:sectPr w:rsidR="005F2945" w:rsidRPr="00D658F4" w:rsidSect="00DA06F6">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20"/>
          <w:titlePg/>
          <w:docGrid w:linePitch="326"/>
        </w:sectPr>
      </w:pPr>
      <w:r w:rsidRPr="00D658F4">
        <w:lastRenderedPageBreak/>
        <w:t>La metodología de asignación elaborada por el Grupo de Expertos figura en el anexo del presente documento</w:t>
      </w:r>
      <w:r w:rsidR="00CB204A" w:rsidRPr="00D658F4">
        <w:rPr>
          <w:rStyle w:val="FootnoteReference"/>
        </w:rPr>
        <w:footnoteReference w:id="3"/>
      </w:r>
      <w:r w:rsidRPr="00D658F4">
        <w:t>. Los informes y documentos conexos de las dos reuniones del Grupo de Expertos pueden consultarse en línea</w:t>
      </w:r>
      <w:r w:rsidR="008C738F" w:rsidRPr="00D658F4">
        <w:rPr>
          <w:rFonts w:eastAsia="Times New Roman"/>
          <w:vertAlign w:val="superscript"/>
        </w:rPr>
        <w:footnoteReference w:id="4"/>
      </w:r>
      <w:r w:rsidRPr="00D658F4">
        <w:t>.</w:t>
      </w:r>
    </w:p>
    <w:p w14:paraId="40394AE8" w14:textId="77777777" w:rsidR="000315B5" w:rsidRPr="00D658F4" w:rsidRDefault="00600ADE" w:rsidP="007E534A">
      <w:pPr>
        <w:pStyle w:val="CBDAnnex"/>
      </w:pPr>
      <w:r w:rsidRPr="00D658F4">
        <w:lastRenderedPageBreak/>
        <w:t>Anexo</w:t>
      </w:r>
    </w:p>
    <w:p w14:paraId="70FB81FE" w14:textId="77777777" w:rsidR="00B86085" w:rsidRPr="00D658F4" w:rsidRDefault="00600ADE" w:rsidP="007E534A">
      <w:pPr>
        <w:pStyle w:val="CBDTitle"/>
      </w:pPr>
      <w:r w:rsidRPr="00D658F4">
        <w:t>Metodología de asignación para el desembolso de financiación del Fondo de Cali</w:t>
      </w:r>
    </w:p>
    <w:p w14:paraId="7BB6D3B2" w14:textId="77777777" w:rsidR="00B86085" w:rsidRPr="00D658F4" w:rsidRDefault="00667F66" w:rsidP="007E534A">
      <w:pPr>
        <w:pStyle w:val="CBDH1"/>
      </w:pPr>
      <w:r w:rsidRPr="00D658F4">
        <w:t>I.</w:t>
      </w:r>
      <w:r w:rsidRPr="00D658F4">
        <w:tab/>
        <w:t xml:space="preserve">Principios de diseño </w:t>
      </w:r>
    </w:p>
    <w:p w14:paraId="2FE45F8E" w14:textId="77777777" w:rsidR="00B86085" w:rsidRPr="00D658F4" w:rsidRDefault="008C738F" w:rsidP="007E534A">
      <w:pPr>
        <w:pStyle w:val="CBDNormalNumber"/>
      </w:pPr>
      <w:r w:rsidRPr="00D658F4">
        <w:t xml:space="preserve">Se pretende que los principios de diseño que se resumen a continuación se apliquen de manera holística en apoyo de la elaboración de una metodología de asignación, reconociendo la variedad de vías de desembolso y sus vínculos con las posibles escalas de financiación del Fondo de Cali para la Participación Justa y Equitativa en los Beneficios que se Deriven de la Utilización de Información Digital sobre Secuencias de Recursos Genéticos. </w:t>
      </w:r>
    </w:p>
    <w:p w14:paraId="6732A938" w14:textId="77777777" w:rsidR="00B86085" w:rsidRPr="00D658F4" w:rsidRDefault="008C738F" w:rsidP="007E534A">
      <w:pPr>
        <w:pStyle w:val="CBDNormalNumber"/>
      </w:pPr>
      <w:r w:rsidRPr="00D658F4">
        <w:t xml:space="preserve">Los principios están diseñados teniendo en cuenta el contexto de las modalidades y objetivos del Fondo de Cali, establecidos en las decisiones </w:t>
      </w:r>
      <w:hyperlink r:id="rId23" w:history="1">
        <w:r w:rsidRPr="00D658F4">
          <w:rPr>
            <w:rStyle w:val="Hyperlink"/>
          </w:rPr>
          <w:t>15/9</w:t>
        </w:r>
      </w:hyperlink>
      <w:r w:rsidRPr="00D658F4">
        <w:t xml:space="preserve"> y </w:t>
      </w:r>
      <w:hyperlink r:id="rId24" w:history="1">
        <w:r w:rsidRPr="00D658F4">
          <w:rPr>
            <w:rStyle w:val="Hyperlink"/>
          </w:rPr>
          <w:t>16/2</w:t>
        </w:r>
      </w:hyperlink>
      <w:r w:rsidRPr="00D658F4">
        <w:t xml:space="preserve">. Además, están concebidos de manera que apoyen la consecución de los objetivos del Convenio sobre la Diversidad Biológica en Partes que son países en desarrollo, entre otras formas, mediante la realización de las actividades descritas en las estrategias y planes de acción nacionales en materia de diversidad biológica, y están basados en la premisa de que al menos la mitad de la financiación debería apoyar las necesidades de los pueblos indígenas y las comunidades locales determinadas por ellos mismos. Por último, también están diseñados teniendo en cuenta la decisión </w:t>
      </w:r>
      <w:hyperlink r:id="rId25" w:history="1">
        <w:r w:rsidRPr="00D658F4">
          <w:rPr>
            <w:rStyle w:val="Hyperlink"/>
          </w:rPr>
          <w:t>16/4</w:t>
        </w:r>
      </w:hyperlink>
      <w:r w:rsidRPr="00D658F4">
        <w:t xml:space="preserve"> referente al programa de trabajo sobre el artículo 8 j) y otras disposiciones del Convenio relativas a los pueblos indígenas y las comunidades locales hasta 2030, así como otras decisiones pertinentes actuales y futuras de la Conferencia de las Partes. </w:t>
      </w:r>
    </w:p>
    <w:p w14:paraId="1D92B2FF" w14:textId="77777777" w:rsidR="00B86085" w:rsidRPr="00D658F4" w:rsidRDefault="00BD5F35" w:rsidP="007E534A">
      <w:pPr>
        <w:pStyle w:val="CBDH3"/>
      </w:pPr>
      <w:r w:rsidRPr="00D658F4">
        <w:t>A.</w:t>
      </w:r>
      <w:r w:rsidRPr="00D658F4">
        <w:tab/>
        <w:t>Equidad, justicia e impacto</w:t>
      </w:r>
    </w:p>
    <w:p w14:paraId="1FE99876" w14:textId="77777777" w:rsidR="00B86085" w:rsidRPr="00D658F4" w:rsidRDefault="008C738F" w:rsidP="007E534A">
      <w:pPr>
        <w:pStyle w:val="CBDNormalNumber"/>
      </w:pPr>
      <w:r w:rsidRPr="00D658F4">
        <w:t>La metodología debería garantizar que los resultados sustantivos de las asignaciones a Partes que son países en desarrollo, en particular los países menos adelantados y los pequeños Estados insulares en desarrollo, así como las Partes con economías en transición, y las asignaciones a pueblos indígenas y comunidades locales, incluidas las mujeres y los jóvenes de esas comunidades, sean justos y equitativos.</w:t>
      </w:r>
    </w:p>
    <w:p w14:paraId="5F8AA6B4" w14:textId="77777777" w:rsidR="00B86085" w:rsidRPr="00D658F4" w:rsidRDefault="00BD5F35" w:rsidP="007E534A">
      <w:pPr>
        <w:pStyle w:val="CBDH3"/>
      </w:pPr>
      <w:r w:rsidRPr="00D658F4">
        <w:t>B.</w:t>
      </w:r>
      <w:r w:rsidRPr="00D658F4">
        <w:tab/>
        <w:t xml:space="preserve">Eficiencia </w:t>
      </w:r>
    </w:p>
    <w:p w14:paraId="652A3E4D" w14:textId="77777777" w:rsidR="00B86085" w:rsidRPr="00D658F4" w:rsidRDefault="008C738F" w:rsidP="007E534A">
      <w:pPr>
        <w:pStyle w:val="CBDNormalNumber"/>
      </w:pPr>
      <w:r w:rsidRPr="00D658F4">
        <w:t>Es preferible utilizar los conjuntos de datos e indicadores disponibles según proceda y sea aplique para cada criterio, sobre todo los ya aprobados por la Conferencia de las Partes, teniendo debidamente en cuenta la sostenibilidad y la custodia. La elaboración de nuevos conjuntos de datos tendría que contar con recursos suficientes.</w:t>
      </w:r>
    </w:p>
    <w:p w14:paraId="20A4F3EE" w14:textId="77777777" w:rsidR="00B86085" w:rsidRPr="00D658F4" w:rsidRDefault="00BD5F35" w:rsidP="007E534A">
      <w:pPr>
        <w:pStyle w:val="CBDH3"/>
      </w:pPr>
      <w:r w:rsidRPr="00D658F4">
        <w:t>C.</w:t>
      </w:r>
      <w:r w:rsidRPr="00D658F4">
        <w:tab/>
        <w:t xml:space="preserve">Transparencia y confianza </w:t>
      </w:r>
    </w:p>
    <w:p w14:paraId="732EB0C6" w14:textId="77777777" w:rsidR="00B86085" w:rsidRPr="00D658F4" w:rsidRDefault="008C738F" w:rsidP="007E534A">
      <w:pPr>
        <w:pStyle w:val="CBDNormalNumber"/>
      </w:pPr>
      <w:r w:rsidRPr="00D658F4">
        <w:t xml:space="preserve">La metodología debería ser fácil de comunicar y estar a disposición del público, contribuyendo así a la transparencia del mecanismo de financiación. También debería ser comprensible para los contribuyentes al Fondo de Cali del sector privado, así como para las Partes en el Convenio, los pueblos indígenas y las comunidades locales, incluidas las mujeres y los jóvenes de esas comunidades, y para el resto de los interesados pertinentes para el mecanismo multilateral y su Fondo de Cali. </w:t>
      </w:r>
    </w:p>
    <w:p w14:paraId="6140886D" w14:textId="77777777" w:rsidR="00B86085" w:rsidRPr="00D658F4" w:rsidRDefault="00BD5F35" w:rsidP="007E534A">
      <w:pPr>
        <w:pStyle w:val="CBDH3"/>
      </w:pPr>
      <w:r w:rsidRPr="00D658F4">
        <w:t>D.</w:t>
      </w:r>
      <w:r w:rsidRPr="00D658F4">
        <w:tab/>
        <w:t xml:space="preserve">Escalabilidad y longevidad </w:t>
      </w:r>
    </w:p>
    <w:p w14:paraId="03BE980A" w14:textId="77777777" w:rsidR="00B86085" w:rsidRPr="00D658F4" w:rsidRDefault="008C738F" w:rsidP="007E534A">
      <w:pPr>
        <w:pStyle w:val="CBDNormalNumber"/>
      </w:pPr>
      <w:r w:rsidRPr="00D658F4">
        <w:t>En la metodología se debería tener en cuenta el crecimiento y la adaptación del Fondo de Cali a lo largo del tiempo, reconociendo que es innovador y evolutivo y que podría requerir la reconsideración de criterios, pesos de ponderación, límites mínimos y máximos y otras posibles modificaciones y ajustes a su debido tiempo, incluida la inclusión de datos pertinentes a medida que su utilización resulte apropiada.</w:t>
      </w:r>
    </w:p>
    <w:p w14:paraId="41DB7453" w14:textId="77777777" w:rsidR="00B86085" w:rsidRPr="00D658F4" w:rsidRDefault="00E74054" w:rsidP="007E534A">
      <w:pPr>
        <w:pStyle w:val="CBDH1"/>
      </w:pPr>
      <w:r w:rsidRPr="00D658F4">
        <w:lastRenderedPageBreak/>
        <w:t>II.</w:t>
      </w:r>
      <w:r w:rsidRPr="00D658F4">
        <w:tab/>
        <w:t>Metodología de asignación</w:t>
      </w:r>
    </w:p>
    <w:p w14:paraId="1B0A72F0" w14:textId="77777777" w:rsidR="00B86085" w:rsidRPr="00D658F4" w:rsidRDefault="008C738F" w:rsidP="007E534A">
      <w:pPr>
        <w:pStyle w:val="CBDNormalNumber"/>
      </w:pPr>
      <w:r w:rsidRPr="00D658F4">
        <w:t xml:space="preserve">La presente metodología de asignación sigue los principios de diseño acordados por el Grupo Especial de Expertos Técnicos sobre Metodología de Asignación y los criterios establecidos por la Conferencia de las Partes. Teniendo en cuenta el contexto del establecimiento del Fondo de Cali y los objetivos de este, el Grupo de </w:t>
      </w:r>
      <w:bookmarkStart w:id="1" w:name="_Hlk239323203"/>
      <w:proofErr w:type="gramStart"/>
      <w:r w:rsidRPr="00D658F4">
        <w:t xml:space="preserve">Expertos  </w:t>
      </w:r>
      <w:bookmarkEnd w:id="1"/>
      <w:r w:rsidRPr="00D658F4">
        <w:t>decidió</w:t>
      </w:r>
      <w:proofErr w:type="gramEnd"/>
      <w:r w:rsidRPr="00D658F4">
        <w:t xml:space="preserve"> añadir un cuarto criterio para reconocer la contribución de los conocimientos tradicionales y de los pueblos indígenas y las comunidades locales a la conservación y la utilización sostenible de la diversidad biológica. Al elaborar la metodología se prestó la máxima atención a los objetivos del Fondo de Cali y a la disponibilidad de datos. </w:t>
      </w:r>
    </w:p>
    <w:p w14:paraId="7AE83268" w14:textId="77777777" w:rsidR="00B86085" w:rsidRPr="00D658F4" w:rsidRDefault="008C738F" w:rsidP="007E534A">
      <w:pPr>
        <w:pStyle w:val="CBDNormalNumber"/>
      </w:pPr>
      <w:r w:rsidRPr="00D658F4">
        <w:t xml:space="preserve">Cuando proceda, y con sujeción a las circunstancias nacionales, al menos la mitad de la financiación del Fondo de Cali debería apoyar las necesidades de los pueblos indígenas y las comunidades locales determinadas por ellos mismos, como se indica en el párrafo 21 del anexo de la decisión </w:t>
      </w:r>
      <w:hyperlink r:id="rId26" w:history="1">
        <w:r w:rsidRPr="00D658F4">
          <w:rPr>
            <w:rStyle w:val="Hyperlink"/>
          </w:rPr>
          <w:t>16/2</w:t>
        </w:r>
      </w:hyperlink>
      <w:r w:rsidRPr="00D658F4">
        <w:t xml:space="preserve">. En la elaboración de la presente metodología de asignación se tuvo en consideración el párrafo 20 del anexo de la decisión </w:t>
      </w:r>
      <w:hyperlink r:id="rId27" w:history="1">
        <w:r w:rsidRPr="00D658F4">
          <w:rPr>
            <w:rStyle w:val="Hyperlink"/>
          </w:rPr>
          <w:t>16/2</w:t>
        </w:r>
      </w:hyperlink>
      <w:r w:rsidRPr="00D658F4">
        <w:t xml:space="preserve"> relativo a las asignaciones a las Partes, pero con la flexibilidad necesaria para una aplicación más amplia, según proceda.</w:t>
      </w:r>
    </w:p>
    <w:p w14:paraId="38E2BC17" w14:textId="77777777" w:rsidR="00B86085" w:rsidRPr="00D658F4" w:rsidRDefault="008C738F" w:rsidP="007E534A">
      <w:pPr>
        <w:pStyle w:val="CBDNormalNumber"/>
      </w:pPr>
      <w:r w:rsidRPr="00D658F4">
        <w:t>La fórmula es:</w:t>
      </w:r>
    </w:p>
    <w:p w14:paraId="6D567F04" w14:textId="77777777" w:rsidR="00B86085" w:rsidRPr="00D658F4" w:rsidRDefault="008C738F">
      <w:pPr>
        <w:pStyle w:val="Para1"/>
        <w:ind w:left="567"/>
        <w:jc w:val="center"/>
        <w:rPr>
          <w:b/>
          <w:bCs/>
        </w:rPr>
      </w:pPr>
      <w:r w:rsidRPr="00D658F4">
        <w:rPr>
          <w:b/>
        </w:rPr>
        <w:t xml:space="preserve">B </w:t>
      </w:r>
      <w:r w:rsidRPr="00D658F4">
        <w:t>+</w:t>
      </w:r>
      <w:r w:rsidRPr="00D658F4">
        <w:rPr>
          <w:b/>
        </w:rPr>
        <w:t xml:space="preserve"> w1*C</w:t>
      </w:r>
      <w:r w:rsidRPr="00D658F4">
        <w:rPr>
          <w:b/>
          <w:vertAlign w:val="subscript"/>
        </w:rPr>
        <w:t>A</w:t>
      </w:r>
      <w:r w:rsidRPr="00D658F4">
        <w:rPr>
          <w:b/>
        </w:rPr>
        <w:t xml:space="preserve"> + w2*C</w:t>
      </w:r>
      <w:r w:rsidRPr="00D658F4">
        <w:rPr>
          <w:b/>
          <w:vertAlign w:val="subscript"/>
        </w:rPr>
        <w:t>B</w:t>
      </w:r>
      <w:r w:rsidRPr="00D658F4">
        <w:rPr>
          <w:b/>
        </w:rPr>
        <w:t xml:space="preserve"> + w3*C</w:t>
      </w:r>
      <w:r w:rsidRPr="00D658F4">
        <w:rPr>
          <w:b/>
          <w:vertAlign w:val="subscript"/>
        </w:rPr>
        <w:t>C</w:t>
      </w:r>
      <w:r w:rsidRPr="00D658F4">
        <w:rPr>
          <w:b/>
        </w:rPr>
        <w:t xml:space="preserve"> + w4*C</w:t>
      </w:r>
      <w:r w:rsidRPr="00D658F4">
        <w:rPr>
          <w:b/>
          <w:vertAlign w:val="subscript"/>
        </w:rPr>
        <w:t xml:space="preserve">D </w:t>
      </w:r>
      <w:r w:rsidRPr="00D658F4">
        <w:rPr>
          <w:vertAlign w:val="superscript"/>
        </w:rPr>
        <w:footnoteReference w:id="5"/>
      </w:r>
    </w:p>
    <w:p w14:paraId="2A53B34B" w14:textId="77777777" w:rsidR="00B86085" w:rsidRPr="00D658F4" w:rsidRDefault="008C738F" w:rsidP="007E534A">
      <w:pPr>
        <w:pStyle w:val="CBDNormalNumber"/>
      </w:pPr>
      <w:r w:rsidRPr="00D658F4">
        <w:t xml:space="preserve">La base de igualdad, o B, se aplicará como primer paso en el cálculo de la asignación. El cálculo de la base de igualdad o B depende de la opción que se elija para el conjunto de datos del criterio c) como se explica a continuación. Después del cálculo de la base de igualdad, se aplican los conjuntos de datos siguientes con pesos iguales. A </w:t>
      </w:r>
      <w:proofErr w:type="gramStart"/>
      <w:r w:rsidRPr="00D658F4">
        <w:t>continuación</w:t>
      </w:r>
      <w:proofErr w:type="gramEnd"/>
      <w:r w:rsidRPr="00D658F4">
        <w:t xml:space="preserve"> se suman los dos importes de cada mitad para formar la asignación de cada país receptor.</w:t>
      </w:r>
    </w:p>
    <w:p w14:paraId="6811FB04" w14:textId="77777777" w:rsidR="00B86085" w:rsidRPr="00D658F4" w:rsidRDefault="008C738F" w:rsidP="007E534A">
      <w:pPr>
        <w:pStyle w:val="CBDNormalNumber"/>
      </w:pPr>
      <w:r w:rsidRPr="00D658F4">
        <w:t>Los conjuntos de datos para los criterios son:</w:t>
      </w:r>
    </w:p>
    <w:p w14:paraId="14D7C031" w14:textId="77777777" w:rsidR="00B86085" w:rsidRPr="00D658F4" w:rsidRDefault="008C738F" w:rsidP="009B550F">
      <w:pPr>
        <w:pStyle w:val="CBDNormalNumber"/>
        <w:numPr>
          <w:ilvl w:val="1"/>
          <w:numId w:val="40"/>
        </w:numPr>
      </w:pPr>
      <w:r w:rsidRPr="00D658F4">
        <w:t xml:space="preserve">Criterio a): índice de beneficios para la diversidad biológica establecido por el Fondo para el Medio Ambiente Mundial (datos del octavo período de reposición del Fondo Fiduciario del Fondo para el Medio Ambiente Mundial, a nivel mundial). </w:t>
      </w:r>
    </w:p>
    <w:p w14:paraId="33F4D551" w14:textId="77777777" w:rsidR="00B86085" w:rsidRPr="00D658F4" w:rsidRDefault="008C738F" w:rsidP="007E534A">
      <w:pPr>
        <w:pStyle w:val="CBDNormalNumber"/>
        <w:numPr>
          <w:ilvl w:val="1"/>
          <w:numId w:val="40"/>
        </w:numPr>
      </w:pPr>
      <w:r w:rsidRPr="00D658F4">
        <w:t xml:space="preserve">Criterio b): actualmente nulo e incluido como marcador de posición hasta el momento en que los datos sean aplicables. A </w:t>
      </w:r>
      <w:proofErr w:type="gramStart"/>
      <w:r w:rsidRPr="00D658F4">
        <w:t>continuación</w:t>
      </w:r>
      <w:proofErr w:type="gramEnd"/>
      <w:r w:rsidRPr="00D658F4">
        <w:t xml:space="preserve"> se ajusta la fórmula para ponderar los criterios por igual. </w:t>
      </w:r>
    </w:p>
    <w:p w14:paraId="52A86322" w14:textId="77777777" w:rsidR="00B86085" w:rsidRPr="00D658F4" w:rsidRDefault="008C738F" w:rsidP="007E534A">
      <w:pPr>
        <w:pStyle w:val="CBDNormalNumber"/>
        <w:numPr>
          <w:ilvl w:val="1"/>
          <w:numId w:val="40"/>
        </w:numPr>
      </w:pPr>
      <w:r w:rsidRPr="00D658F4">
        <w:t xml:space="preserve">Criterio c): dos fuentes de datos que se someterán a la consideración de la Conferencia de las Partes para que tome una decisión, observando la diferencia en los cálculos de la base de igualdad: </w:t>
      </w:r>
    </w:p>
    <w:p w14:paraId="20EFFFF9" w14:textId="77777777" w:rsidR="00B86085" w:rsidRPr="00D658F4" w:rsidRDefault="008C738F" w:rsidP="009B550F">
      <w:pPr>
        <w:pStyle w:val="CBDNormalNumber"/>
        <w:numPr>
          <w:ilvl w:val="2"/>
          <w:numId w:val="40"/>
        </w:numPr>
      </w:pPr>
      <w:r w:rsidRPr="00D658F4">
        <w:t>Opción 1: ingreso nacional bruto per cápita normalizado e invertido, con una asignación de base en la que se considere una medida correctiva para los países menos adelantados y los pequeños Estados insulares en desarrollo.</w:t>
      </w:r>
    </w:p>
    <w:p w14:paraId="323BA729" w14:textId="77777777" w:rsidR="00B86085" w:rsidRPr="00D658F4" w:rsidRDefault="008C738F" w:rsidP="00181CFD">
      <w:pPr>
        <w:pStyle w:val="CBDNormalNumber"/>
        <w:numPr>
          <w:ilvl w:val="2"/>
          <w:numId w:val="40"/>
        </w:numPr>
      </w:pPr>
      <w:r w:rsidRPr="00D658F4">
        <w:t>Opción 2: fórmula de inversión de la escala de cuotas de las Naciones Unidas, aplicando un enfoque por bandas como se indica en un documento de trabajo</w:t>
      </w:r>
      <w:r w:rsidRPr="00D658F4">
        <w:rPr>
          <w:vertAlign w:val="superscript"/>
        </w:rPr>
        <w:footnoteReference w:id="6"/>
      </w:r>
      <w:r w:rsidRPr="00D658F4">
        <w:t xml:space="preserve"> y se presenta en el cuadro 1; </w:t>
      </w:r>
    </w:p>
    <w:p w14:paraId="3588901C" w14:textId="77777777" w:rsidR="00D47825" w:rsidRPr="00D658F4" w:rsidRDefault="00D47825" w:rsidP="007E534A">
      <w:pPr>
        <w:pStyle w:val="CBDTableTitle"/>
      </w:pPr>
      <w:r w:rsidRPr="00D658F4">
        <w:rPr>
          <w:b w:val="0"/>
        </w:rPr>
        <w:lastRenderedPageBreak/>
        <w:t>Cuadro 1</w:t>
      </w:r>
      <w:r w:rsidRPr="00D658F4">
        <w:br/>
        <w:t>Configuración de seis bandas a partir de la fórmula de inversión de la escala de cuotas de las Naciones Unidas</w:t>
      </w:r>
    </w:p>
    <w:tbl>
      <w:tblPr>
        <w:tblW w:w="0" w:type="auto"/>
        <w:tblInd w:w="375" w:type="dxa"/>
        <w:shd w:val="clear" w:color="auto" w:fill="CED7E7"/>
        <w:tblLayout w:type="fixed"/>
        <w:tblLook w:val="04A0" w:firstRow="1" w:lastRow="0" w:firstColumn="1" w:lastColumn="0" w:noHBand="0" w:noVBand="1"/>
      </w:tblPr>
      <w:tblGrid>
        <w:gridCol w:w="2070"/>
        <w:gridCol w:w="2700"/>
        <w:gridCol w:w="2506"/>
        <w:gridCol w:w="1811"/>
      </w:tblGrid>
      <w:tr w:rsidR="00B86085" w:rsidRPr="00D658F4" w14:paraId="2AB1C620" w14:textId="77777777" w:rsidTr="007E534A">
        <w:tc>
          <w:tcPr>
            <w:tcW w:w="2070" w:type="dxa"/>
            <w:tcBorders>
              <w:top w:val="single" w:sz="4" w:space="0" w:color="auto"/>
              <w:bottom w:val="single" w:sz="4" w:space="0" w:color="auto"/>
            </w:tcBorders>
            <w:tcMar>
              <w:top w:w="80" w:type="dxa"/>
              <w:left w:w="80" w:type="dxa"/>
              <w:bottom w:w="80" w:type="dxa"/>
              <w:right w:w="80" w:type="dxa"/>
            </w:tcMar>
          </w:tcPr>
          <w:p w14:paraId="530D4F33" w14:textId="77777777" w:rsidR="00B86085" w:rsidRPr="00D658F4" w:rsidRDefault="008C738F" w:rsidP="007E534A">
            <w:pPr>
              <w:pStyle w:val="CBDTableNormal"/>
              <w:spacing w:after="40"/>
              <w:jc w:val="right"/>
              <w:rPr>
                <w:i/>
                <w:iCs/>
              </w:rPr>
            </w:pPr>
            <w:r w:rsidRPr="00D658F4">
              <w:rPr>
                <w:i/>
              </w:rPr>
              <w:t>Banda</w:t>
            </w:r>
          </w:p>
        </w:tc>
        <w:tc>
          <w:tcPr>
            <w:tcW w:w="2700" w:type="dxa"/>
            <w:tcBorders>
              <w:top w:val="single" w:sz="4" w:space="0" w:color="auto"/>
              <w:bottom w:val="single" w:sz="4" w:space="0" w:color="auto"/>
            </w:tcBorders>
            <w:tcMar>
              <w:top w:w="80" w:type="dxa"/>
              <w:left w:w="80" w:type="dxa"/>
              <w:bottom w:w="80" w:type="dxa"/>
              <w:right w:w="80" w:type="dxa"/>
            </w:tcMar>
          </w:tcPr>
          <w:p w14:paraId="40A426E0" w14:textId="77777777" w:rsidR="00B86085" w:rsidRPr="00D658F4" w:rsidRDefault="008C738F" w:rsidP="007E534A">
            <w:pPr>
              <w:pStyle w:val="CBDTableNormal"/>
              <w:spacing w:after="40"/>
              <w:jc w:val="right"/>
              <w:rPr>
                <w:i/>
                <w:iCs/>
              </w:rPr>
            </w:pPr>
            <w:r w:rsidRPr="00D658F4">
              <w:rPr>
                <w:i/>
              </w:rPr>
              <w:t>Rango de cuotas de las Naciones Unidas (porcentaje)</w:t>
            </w:r>
          </w:p>
        </w:tc>
        <w:tc>
          <w:tcPr>
            <w:tcW w:w="2506" w:type="dxa"/>
            <w:tcBorders>
              <w:top w:val="single" w:sz="4" w:space="0" w:color="auto"/>
              <w:bottom w:val="single" w:sz="4" w:space="0" w:color="auto"/>
            </w:tcBorders>
            <w:tcMar>
              <w:top w:w="80" w:type="dxa"/>
              <w:left w:w="80" w:type="dxa"/>
              <w:bottom w:w="80" w:type="dxa"/>
              <w:right w:w="80" w:type="dxa"/>
            </w:tcMar>
          </w:tcPr>
          <w:p w14:paraId="747446EC" w14:textId="77777777" w:rsidR="00B86085" w:rsidRPr="00D658F4" w:rsidRDefault="008C738F" w:rsidP="007E534A">
            <w:pPr>
              <w:pStyle w:val="CBDTableNormal"/>
              <w:spacing w:after="40"/>
              <w:jc w:val="right"/>
              <w:rPr>
                <w:i/>
                <w:iCs/>
              </w:rPr>
            </w:pPr>
            <w:r w:rsidRPr="00D658F4">
              <w:rPr>
                <w:i/>
              </w:rPr>
              <w:t>Peso de ponderación</w:t>
            </w:r>
          </w:p>
        </w:tc>
        <w:tc>
          <w:tcPr>
            <w:tcW w:w="1811" w:type="dxa"/>
            <w:tcBorders>
              <w:top w:val="single" w:sz="4" w:space="0" w:color="auto"/>
              <w:bottom w:val="single" w:sz="4" w:space="0" w:color="auto"/>
            </w:tcBorders>
            <w:tcMar>
              <w:top w:w="80" w:type="dxa"/>
              <w:left w:w="80" w:type="dxa"/>
              <w:bottom w:w="80" w:type="dxa"/>
              <w:right w:w="80" w:type="dxa"/>
            </w:tcMar>
          </w:tcPr>
          <w:p w14:paraId="2BD1CCFD" w14:textId="77777777" w:rsidR="00B86085" w:rsidRPr="00D658F4" w:rsidRDefault="008C738F" w:rsidP="007E534A">
            <w:pPr>
              <w:pStyle w:val="CBDTableNormal"/>
              <w:spacing w:after="40"/>
              <w:jc w:val="right"/>
              <w:rPr>
                <w:i/>
                <w:iCs/>
              </w:rPr>
            </w:pPr>
            <w:r w:rsidRPr="00D658F4">
              <w:rPr>
                <w:i/>
              </w:rPr>
              <w:t>Coeficiente con respecto a la banda 1</w:t>
            </w:r>
          </w:p>
        </w:tc>
      </w:tr>
      <w:tr w:rsidR="00B86085" w:rsidRPr="00D658F4" w14:paraId="21F4F3E7" w14:textId="77777777" w:rsidTr="007E534A">
        <w:tc>
          <w:tcPr>
            <w:tcW w:w="2070" w:type="dxa"/>
            <w:tcBorders>
              <w:top w:val="single" w:sz="4" w:space="0" w:color="auto"/>
            </w:tcBorders>
            <w:tcMar>
              <w:top w:w="80" w:type="dxa"/>
              <w:left w:w="80" w:type="dxa"/>
              <w:bottom w:w="80" w:type="dxa"/>
              <w:right w:w="80" w:type="dxa"/>
            </w:tcMar>
          </w:tcPr>
          <w:p w14:paraId="010A86A8" w14:textId="77777777" w:rsidR="00B86085" w:rsidRPr="00D658F4" w:rsidRDefault="008C738F" w:rsidP="007E534A">
            <w:pPr>
              <w:pStyle w:val="CBDTableNormal"/>
              <w:spacing w:before="0" w:after="0"/>
              <w:jc w:val="right"/>
            </w:pPr>
            <w:r w:rsidRPr="00D658F4">
              <w:t>1</w:t>
            </w:r>
          </w:p>
        </w:tc>
        <w:tc>
          <w:tcPr>
            <w:tcW w:w="2700" w:type="dxa"/>
            <w:tcBorders>
              <w:top w:val="single" w:sz="4" w:space="0" w:color="auto"/>
            </w:tcBorders>
            <w:shd w:val="clear" w:color="auto" w:fill="FFFFFF"/>
            <w:tcMar>
              <w:top w:w="80" w:type="dxa"/>
              <w:left w:w="80" w:type="dxa"/>
              <w:bottom w:w="80" w:type="dxa"/>
              <w:right w:w="80" w:type="dxa"/>
            </w:tcMar>
          </w:tcPr>
          <w:p w14:paraId="0BDC8405" w14:textId="77777777" w:rsidR="00B86085" w:rsidRPr="00D658F4" w:rsidRDefault="008C738F" w:rsidP="007E534A">
            <w:pPr>
              <w:pStyle w:val="CBDTableNormal"/>
              <w:spacing w:before="0" w:after="0"/>
              <w:jc w:val="right"/>
            </w:pPr>
            <w:r w:rsidRPr="00D658F4">
              <w:t>≤ 0,001</w:t>
            </w:r>
          </w:p>
        </w:tc>
        <w:tc>
          <w:tcPr>
            <w:tcW w:w="2506" w:type="dxa"/>
            <w:tcBorders>
              <w:top w:val="single" w:sz="4" w:space="0" w:color="auto"/>
            </w:tcBorders>
            <w:shd w:val="clear" w:color="auto" w:fill="FFFFFF"/>
            <w:tcMar>
              <w:top w:w="80" w:type="dxa"/>
              <w:left w:w="80" w:type="dxa"/>
              <w:bottom w:w="80" w:type="dxa"/>
              <w:right w:w="80" w:type="dxa"/>
            </w:tcMar>
          </w:tcPr>
          <w:p w14:paraId="25C17502" w14:textId="77777777" w:rsidR="00B86085" w:rsidRPr="00D658F4" w:rsidRDefault="008C738F" w:rsidP="007E534A">
            <w:pPr>
              <w:pStyle w:val="CBDTableNormal"/>
              <w:spacing w:before="0" w:after="0"/>
              <w:jc w:val="right"/>
            </w:pPr>
            <w:r w:rsidRPr="00D658F4">
              <w:t>1,50</w:t>
            </w:r>
          </w:p>
        </w:tc>
        <w:tc>
          <w:tcPr>
            <w:tcW w:w="1811" w:type="dxa"/>
            <w:tcBorders>
              <w:top w:val="single" w:sz="4" w:space="0" w:color="auto"/>
            </w:tcBorders>
            <w:shd w:val="clear" w:color="auto" w:fill="FFFFFF"/>
            <w:tcMar>
              <w:top w:w="80" w:type="dxa"/>
              <w:left w:w="80" w:type="dxa"/>
              <w:bottom w:w="80" w:type="dxa"/>
              <w:right w:w="80" w:type="dxa"/>
            </w:tcMar>
          </w:tcPr>
          <w:p w14:paraId="09B28DC2" w14:textId="77777777" w:rsidR="00B86085" w:rsidRPr="00D658F4" w:rsidRDefault="008C738F" w:rsidP="007E534A">
            <w:pPr>
              <w:pStyle w:val="CBDTableNormal"/>
              <w:spacing w:before="0" w:after="0"/>
              <w:jc w:val="right"/>
            </w:pPr>
            <w:r w:rsidRPr="00D658F4">
              <w:t>1,00</w:t>
            </w:r>
          </w:p>
        </w:tc>
      </w:tr>
      <w:tr w:rsidR="00B86085" w:rsidRPr="00D658F4" w14:paraId="08306B41" w14:textId="77777777" w:rsidTr="007E534A">
        <w:tc>
          <w:tcPr>
            <w:tcW w:w="2070" w:type="dxa"/>
            <w:tcMar>
              <w:top w:w="80" w:type="dxa"/>
              <w:left w:w="80" w:type="dxa"/>
              <w:bottom w:w="80" w:type="dxa"/>
              <w:right w:w="80" w:type="dxa"/>
            </w:tcMar>
          </w:tcPr>
          <w:p w14:paraId="4D3DAB63" w14:textId="77777777" w:rsidR="00B86085" w:rsidRPr="00D658F4" w:rsidRDefault="008C738F" w:rsidP="007E534A">
            <w:pPr>
              <w:pStyle w:val="CBDTableNormal"/>
              <w:spacing w:before="0" w:after="0"/>
              <w:jc w:val="right"/>
            </w:pPr>
            <w:r w:rsidRPr="00D658F4">
              <w:t>2</w:t>
            </w:r>
          </w:p>
        </w:tc>
        <w:tc>
          <w:tcPr>
            <w:tcW w:w="2700" w:type="dxa"/>
            <w:shd w:val="clear" w:color="auto" w:fill="FFFFFF"/>
            <w:tcMar>
              <w:top w:w="80" w:type="dxa"/>
              <w:left w:w="80" w:type="dxa"/>
              <w:bottom w:w="80" w:type="dxa"/>
              <w:right w:w="80" w:type="dxa"/>
            </w:tcMar>
          </w:tcPr>
          <w:p w14:paraId="51E4DB94" w14:textId="77777777" w:rsidR="00B86085" w:rsidRPr="00D658F4" w:rsidRDefault="008C738F" w:rsidP="007E534A">
            <w:pPr>
              <w:pStyle w:val="CBDTableNormal"/>
              <w:spacing w:before="0" w:after="0"/>
              <w:jc w:val="right"/>
            </w:pPr>
            <w:r w:rsidRPr="00D658F4">
              <w:t>0,001–0,010</w:t>
            </w:r>
          </w:p>
        </w:tc>
        <w:tc>
          <w:tcPr>
            <w:tcW w:w="2506" w:type="dxa"/>
            <w:shd w:val="clear" w:color="auto" w:fill="FFFFFF"/>
            <w:tcMar>
              <w:top w:w="80" w:type="dxa"/>
              <w:left w:w="80" w:type="dxa"/>
              <w:bottom w:w="80" w:type="dxa"/>
              <w:right w:w="80" w:type="dxa"/>
            </w:tcMar>
          </w:tcPr>
          <w:p w14:paraId="53C8A06B" w14:textId="77777777" w:rsidR="00B86085" w:rsidRPr="00D658F4" w:rsidRDefault="008C738F" w:rsidP="007E534A">
            <w:pPr>
              <w:pStyle w:val="CBDTableNormal"/>
              <w:spacing w:before="0" w:after="0"/>
              <w:jc w:val="right"/>
            </w:pPr>
            <w:r w:rsidRPr="00D658F4">
              <w:t>1,30</w:t>
            </w:r>
          </w:p>
        </w:tc>
        <w:tc>
          <w:tcPr>
            <w:tcW w:w="1811" w:type="dxa"/>
            <w:shd w:val="clear" w:color="auto" w:fill="FFFFFF"/>
            <w:tcMar>
              <w:top w:w="80" w:type="dxa"/>
              <w:left w:w="80" w:type="dxa"/>
              <w:bottom w:w="80" w:type="dxa"/>
              <w:right w:w="80" w:type="dxa"/>
            </w:tcMar>
          </w:tcPr>
          <w:p w14:paraId="52BF190A" w14:textId="77777777" w:rsidR="00B86085" w:rsidRPr="00D658F4" w:rsidRDefault="008C738F" w:rsidP="007E534A">
            <w:pPr>
              <w:pStyle w:val="CBDTableNormal"/>
              <w:spacing w:before="0" w:after="0"/>
              <w:jc w:val="right"/>
            </w:pPr>
            <w:r w:rsidRPr="00D658F4">
              <w:t>0,87</w:t>
            </w:r>
          </w:p>
        </w:tc>
      </w:tr>
      <w:tr w:rsidR="00B86085" w:rsidRPr="00D658F4" w14:paraId="2963DA0D" w14:textId="77777777" w:rsidTr="007E534A">
        <w:tc>
          <w:tcPr>
            <w:tcW w:w="2070" w:type="dxa"/>
            <w:tcMar>
              <w:top w:w="80" w:type="dxa"/>
              <w:left w:w="80" w:type="dxa"/>
              <w:bottom w:w="80" w:type="dxa"/>
              <w:right w:w="80" w:type="dxa"/>
            </w:tcMar>
          </w:tcPr>
          <w:p w14:paraId="448F4F31" w14:textId="77777777" w:rsidR="00B86085" w:rsidRPr="00D658F4" w:rsidRDefault="008C738F" w:rsidP="007E534A">
            <w:pPr>
              <w:pStyle w:val="CBDTableNormal"/>
              <w:spacing w:before="0" w:after="0"/>
              <w:jc w:val="right"/>
            </w:pPr>
            <w:r w:rsidRPr="00D658F4">
              <w:t>3</w:t>
            </w:r>
          </w:p>
        </w:tc>
        <w:tc>
          <w:tcPr>
            <w:tcW w:w="2700" w:type="dxa"/>
            <w:shd w:val="clear" w:color="auto" w:fill="FFFFFF"/>
            <w:tcMar>
              <w:top w:w="80" w:type="dxa"/>
              <w:left w:w="80" w:type="dxa"/>
              <w:bottom w:w="80" w:type="dxa"/>
              <w:right w:w="80" w:type="dxa"/>
            </w:tcMar>
          </w:tcPr>
          <w:p w14:paraId="48DDD594" w14:textId="77777777" w:rsidR="00B86085" w:rsidRPr="00D658F4" w:rsidRDefault="008C738F" w:rsidP="007E534A">
            <w:pPr>
              <w:pStyle w:val="CBDTableNormal"/>
              <w:spacing w:before="0" w:after="0"/>
              <w:jc w:val="right"/>
            </w:pPr>
            <w:r w:rsidRPr="00D658F4">
              <w:t>0,01–0,100</w:t>
            </w:r>
          </w:p>
        </w:tc>
        <w:tc>
          <w:tcPr>
            <w:tcW w:w="2506" w:type="dxa"/>
            <w:shd w:val="clear" w:color="auto" w:fill="FFFFFF"/>
            <w:tcMar>
              <w:top w:w="80" w:type="dxa"/>
              <w:left w:w="80" w:type="dxa"/>
              <w:bottom w:w="80" w:type="dxa"/>
              <w:right w:w="80" w:type="dxa"/>
            </w:tcMar>
          </w:tcPr>
          <w:p w14:paraId="01577340" w14:textId="77777777" w:rsidR="00B86085" w:rsidRPr="00D658F4" w:rsidRDefault="008C738F" w:rsidP="007E534A">
            <w:pPr>
              <w:pStyle w:val="CBDTableNormal"/>
              <w:spacing w:before="0" w:after="0"/>
              <w:jc w:val="right"/>
            </w:pPr>
            <w:r w:rsidRPr="00D658F4">
              <w:t>1,10</w:t>
            </w:r>
          </w:p>
        </w:tc>
        <w:tc>
          <w:tcPr>
            <w:tcW w:w="1811" w:type="dxa"/>
            <w:shd w:val="clear" w:color="auto" w:fill="FFFFFF"/>
            <w:tcMar>
              <w:top w:w="80" w:type="dxa"/>
              <w:left w:w="80" w:type="dxa"/>
              <w:bottom w:w="80" w:type="dxa"/>
              <w:right w:w="80" w:type="dxa"/>
            </w:tcMar>
          </w:tcPr>
          <w:p w14:paraId="12ED019F" w14:textId="77777777" w:rsidR="00B86085" w:rsidRPr="00D658F4" w:rsidRDefault="008C738F" w:rsidP="007E534A">
            <w:pPr>
              <w:pStyle w:val="CBDTableNormal"/>
              <w:spacing w:before="0" w:after="0"/>
              <w:jc w:val="right"/>
            </w:pPr>
            <w:r w:rsidRPr="00D658F4">
              <w:t>0,73</w:t>
            </w:r>
          </w:p>
        </w:tc>
      </w:tr>
      <w:tr w:rsidR="00B86085" w:rsidRPr="00D658F4" w14:paraId="5173240C" w14:textId="77777777" w:rsidTr="007E534A">
        <w:tc>
          <w:tcPr>
            <w:tcW w:w="2070" w:type="dxa"/>
            <w:tcMar>
              <w:top w:w="80" w:type="dxa"/>
              <w:left w:w="80" w:type="dxa"/>
              <w:bottom w:w="80" w:type="dxa"/>
              <w:right w:w="80" w:type="dxa"/>
            </w:tcMar>
          </w:tcPr>
          <w:p w14:paraId="76B0E6EB" w14:textId="77777777" w:rsidR="00B86085" w:rsidRPr="00D658F4" w:rsidRDefault="008C738F" w:rsidP="007E534A">
            <w:pPr>
              <w:pStyle w:val="CBDTableNormal"/>
              <w:spacing w:before="0" w:after="0"/>
              <w:jc w:val="right"/>
            </w:pPr>
            <w:r w:rsidRPr="00D658F4">
              <w:t>4</w:t>
            </w:r>
          </w:p>
        </w:tc>
        <w:tc>
          <w:tcPr>
            <w:tcW w:w="2700" w:type="dxa"/>
            <w:shd w:val="clear" w:color="auto" w:fill="FFFFFF"/>
            <w:tcMar>
              <w:top w:w="80" w:type="dxa"/>
              <w:left w:w="80" w:type="dxa"/>
              <w:bottom w:w="80" w:type="dxa"/>
              <w:right w:w="80" w:type="dxa"/>
            </w:tcMar>
          </w:tcPr>
          <w:p w14:paraId="7B97C4C9" w14:textId="77777777" w:rsidR="00B86085" w:rsidRPr="00D658F4" w:rsidRDefault="008C738F" w:rsidP="007E534A">
            <w:pPr>
              <w:pStyle w:val="CBDTableNormal"/>
              <w:spacing w:before="0" w:after="0"/>
              <w:jc w:val="right"/>
            </w:pPr>
            <w:r w:rsidRPr="00D658F4">
              <w:t>0,1–1,000</w:t>
            </w:r>
          </w:p>
        </w:tc>
        <w:tc>
          <w:tcPr>
            <w:tcW w:w="2506" w:type="dxa"/>
            <w:shd w:val="clear" w:color="auto" w:fill="FFFFFF"/>
            <w:tcMar>
              <w:top w:w="80" w:type="dxa"/>
              <w:left w:w="80" w:type="dxa"/>
              <w:bottom w:w="80" w:type="dxa"/>
              <w:right w:w="80" w:type="dxa"/>
            </w:tcMar>
          </w:tcPr>
          <w:p w14:paraId="08653B8C" w14:textId="77777777" w:rsidR="00B86085" w:rsidRPr="00D658F4" w:rsidRDefault="008C738F" w:rsidP="007E534A">
            <w:pPr>
              <w:pStyle w:val="CBDTableNormal"/>
              <w:spacing w:before="0" w:after="0"/>
              <w:jc w:val="right"/>
            </w:pPr>
            <w:r w:rsidRPr="00D658F4">
              <w:t>0,95</w:t>
            </w:r>
          </w:p>
        </w:tc>
        <w:tc>
          <w:tcPr>
            <w:tcW w:w="1811" w:type="dxa"/>
            <w:shd w:val="clear" w:color="auto" w:fill="FFFFFF"/>
            <w:tcMar>
              <w:top w:w="80" w:type="dxa"/>
              <w:left w:w="80" w:type="dxa"/>
              <w:bottom w:w="80" w:type="dxa"/>
              <w:right w:w="80" w:type="dxa"/>
            </w:tcMar>
          </w:tcPr>
          <w:p w14:paraId="2EAA2C52" w14:textId="77777777" w:rsidR="00B86085" w:rsidRPr="00D658F4" w:rsidRDefault="008C738F" w:rsidP="007E534A">
            <w:pPr>
              <w:pStyle w:val="CBDTableNormal"/>
              <w:spacing w:before="0" w:after="0"/>
              <w:jc w:val="right"/>
            </w:pPr>
            <w:r w:rsidRPr="00D658F4">
              <w:t>0,63</w:t>
            </w:r>
          </w:p>
        </w:tc>
      </w:tr>
      <w:tr w:rsidR="00B86085" w:rsidRPr="00D658F4" w14:paraId="602CC468" w14:textId="77777777" w:rsidTr="007E534A">
        <w:tc>
          <w:tcPr>
            <w:tcW w:w="2070" w:type="dxa"/>
            <w:tcMar>
              <w:top w:w="80" w:type="dxa"/>
              <w:left w:w="80" w:type="dxa"/>
              <w:bottom w:w="80" w:type="dxa"/>
              <w:right w:w="80" w:type="dxa"/>
            </w:tcMar>
          </w:tcPr>
          <w:p w14:paraId="493ACD88" w14:textId="77777777" w:rsidR="00B86085" w:rsidRPr="00D658F4" w:rsidRDefault="008C738F" w:rsidP="007E534A">
            <w:pPr>
              <w:pStyle w:val="CBDTableNormal"/>
              <w:spacing w:before="0" w:after="0"/>
              <w:jc w:val="right"/>
            </w:pPr>
            <w:r w:rsidRPr="00D658F4">
              <w:t>5</w:t>
            </w:r>
          </w:p>
        </w:tc>
        <w:tc>
          <w:tcPr>
            <w:tcW w:w="2700" w:type="dxa"/>
            <w:shd w:val="clear" w:color="auto" w:fill="FFFFFF"/>
            <w:tcMar>
              <w:top w:w="80" w:type="dxa"/>
              <w:left w:w="80" w:type="dxa"/>
              <w:bottom w:w="80" w:type="dxa"/>
              <w:right w:w="80" w:type="dxa"/>
            </w:tcMar>
          </w:tcPr>
          <w:p w14:paraId="6FEBA6D5" w14:textId="77777777" w:rsidR="00B86085" w:rsidRPr="00D658F4" w:rsidRDefault="008C738F" w:rsidP="007E534A">
            <w:pPr>
              <w:pStyle w:val="CBDTableNormal"/>
              <w:spacing w:before="0" w:after="0"/>
              <w:jc w:val="right"/>
            </w:pPr>
            <w:r w:rsidRPr="00D658F4">
              <w:t>1,0–10,000</w:t>
            </w:r>
          </w:p>
        </w:tc>
        <w:tc>
          <w:tcPr>
            <w:tcW w:w="2506" w:type="dxa"/>
            <w:shd w:val="clear" w:color="auto" w:fill="FFFFFF"/>
            <w:tcMar>
              <w:top w:w="80" w:type="dxa"/>
              <w:left w:w="80" w:type="dxa"/>
              <w:bottom w:w="80" w:type="dxa"/>
              <w:right w:w="80" w:type="dxa"/>
            </w:tcMar>
          </w:tcPr>
          <w:p w14:paraId="3E6C1DB5" w14:textId="77777777" w:rsidR="00B86085" w:rsidRPr="00D658F4" w:rsidRDefault="008C738F" w:rsidP="007E534A">
            <w:pPr>
              <w:pStyle w:val="CBDTableNormal"/>
              <w:spacing w:before="0" w:after="0"/>
              <w:jc w:val="right"/>
            </w:pPr>
            <w:r w:rsidRPr="00D658F4">
              <w:t>0,75</w:t>
            </w:r>
          </w:p>
        </w:tc>
        <w:tc>
          <w:tcPr>
            <w:tcW w:w="1811" w:type="dxa"/>
            <w:shd w:val="clear" w:color="auto" w:fill="FFFFFF"/>
            <w:tcMar>
              <w:top w:w="80" w:type="dxa"/>
              <w:left w:w="80" w:type="dxa"/>
              <w:bottom w:w="80" w:type="dxa"/>
              <w:right w:w="80" w:type="dxa"/>
            </w:tcMar>
          </w:tcPr>
          <w:p w14:paraId="54BC8AFC" w14:textId="77777777" w:rsidR="00B86085" w:rsidRPr="00D658F4" w:rsidRDefault="008C738F" w:rsidP="007E534A">
            <w:pPr>
              <w:pStyle w:val="CBDTableNormal"/>
              <w:spacing w:before="0" w:after="0"/>
              <w:jc w:val="right"/>
            </w:pPr>
            <w:r w:rsidRPr="00D658F4">
              <w:t>0,50</w:t>
            </w:r>
          </w:p>
        </w:tc>
      </w:tr>
      <w:tr w:rsidR="00B86085" w:rsidRPr="00D658F4" w14:paraId="6E663A55" w14:textId="77777777" w:rsidTr="007E534A">
        <w:tc>
          <w:tcPr>
            <w:tcW w:w="2070" w:type="dxa"/>
            <w:tcBorders>
              <w:bottom w:val="single" w:sz="4" w:space="0" w:color="auto"/>
            </w:tcBorders>
            <w:tcMar>
              <w:top w:w="80" w:type="dxa"/>
              <w:left w:w="80" w:type="dxa"/>
              <w:bottom w:w="80" w:type="dxa"/>
              <w:right w:w="80" w:type="dxa"/>
            </w:tcMar>
          </w:tcPr>
          <w:p w14:paraId="3077A1F9" w14:textId="77777777" w:rsidR="00B86085" w:rsidRPr="00D658F4" w:rsidRDefault="008C738F" w:rsidP="007E534A">
            <w:pPr>
              <w:pStyle w:val="CBDTableNormal"/>
              <w:spacing w:before="0" w:after="0"/>
              <w:jc w:val="right"/>
            </w:pPr>
            <w:r w:rsidRPr="00D658F4">
              <w:t>6</w:t>
            </w:r>
          </w:p>
        </w:tc>
        <w:tc>
          <w:tcPr>
            <w:tcW w:w="2700" w:type="dxa"/>
            <w:tcBorders>
              <w:bottom w:val="single" w:sz="4" w:space="0" w:color="auto"/>
            </w:tcBorders>
            <w:shd w:val="clear" w:color="auto" w:fill="FFFFFF"/>
            <w:tcMar>
              <w:top w:w="80" w:type="dxa"/>
              <w:left w:w="80" w:type="dxa"/>
              <w:bottom w:w="80" w:type="dxa"/>
              <w:right w:w="80" w:type="dxa"/>
            </w:tcMar>
          </w:tcPr>
          <w:p w14:paraId="788D9F47" w14:textId="77777777" w:rsidR="00B86085" w:rsidRPr="00D658F4" w:rsidRDefault="008C738F" w:rsidP="007E534A">
            <w:pPr>
              <w:pStyle w:val="CBDTableNormal"/>
              <w:spacing w:before="0" w:after="0"/>
              <w:jc w:val="right"/>
            </w:pPr>
            <w:r w:rsidRPr="00D658F4">
              <w:t>&gt; 10,000</w:t>
            </w:r>
          </w:p>
        </w:tc>
        <w:tc>
          <w:tcPr>
            <w:tcW w:w="2506" w:type="dxa"/>
            <w:tcBorders>
              <w:bottom w:val="single" w:sz="4" w:space="0" w:color="auto"/>
            </w:tcBorders>
            <w:shd w:val="clear" w:color="auto" w:fill="FFFFFF"/>
            <w:tcMar>
              <w:top w:w="80" w:type="dxa"/>
              <w:left w:w="80" w:type="dxa"/>
              <w:bottom w:w="80" w:type="dxa"/>
              <w:right w:w="80" w:type="dxa"/>
            </w:tcMar>
          </w:tcPr>
          <w:p w14:paraId="6C244E1E" w14:textId="77777777" w:rsidR="00B86085" w:rsidRPr="00D658F4" w:rsidRDefault="008C738F" w:rsidP="007E534A">
            <w:pPr>
              <w:pStyle w:val="CBDTableNormal"/>
              <w:spacing w:before="0" w:after="0"/>
              <w:jc w:val="right"/>
            </w:pPr>
            <w:r w:rsidRPr="00D658F4">
              <w:t>0,40</w:t>
            </w:r>
          </w:p>
        </w:tc>
        <w:tc>
          <w:tcPr>
            <w:tcW w:w="1811" w:type="dxa"/>
            <w:tcBorders>
              <w:bottom w:val="single" w:sz="4" w:space="0" w:color="auto"/>
            </w:tcBorders>
            <w:shd w:val="clear" w:color="auto" w:fill="FFFFFF"/>
            <w:tcMar>
              <w:top w:w="80" w:type="dxa"/>
              <w:left w:w="80" w:type="dxa"/>
              <w:bottom w:w="80" w:type="dxa"/>
              <w:right w:w="80" w:type="dxa"/>
            </w:tcMar>
          </w:tcPr>
          <w:p w14:paraId="47D5C152" w14:textId="77777777" w:rsidR="00B86085" w:rsidRPr="00D658F4" w:rsidRDefault="008C738F" w:rsidP="007E534A">
            <w:pPr>
              <w:pStyle w:val="CBDTableNormal"/>
              <w:spacing w:before="0" w:after="0"/>
              <w:jc w:val="right"/>
            </w:pPr>
            <w:r w:rsidRPr="00D658F4">
              <w:t>0,27</w:t>
            </w:r>
          </w:p>
        </w:tc>
      </w:tr>
    </w:tbl>
    <w:p w14:paraId="62D8BD06" w14:textId="77777777" w:rsidR="00B86085" w:rsidRPr="00D658F4" w:rsidRDefault="008C738F" w:rsidP="007E534A">
      <w:pPr>
        <w:pStyle w:val="CBDNormalNumber"/>
        <w:numPr>
          <w:ilvl w:val="1"/>
          <w:numId w:val="40"/>
        </w:numPr>
      </w:pPr>
      <w:r w:rsidRPr="00D658F4">
        <w:t>Los diferentes enfoques de la base de igualdad son los siguientes:</w:t>
      </w:r>
    </w:p>
    <w:p w14:paraId="2FD8699F" w14:textId="77777777" w:rsidR="00B86085" w:rsidRPr="00D658F4" w:rsidRDefault="008C738F" w:rsidP="007E534A">
      <w:pPr>
        <w:pStyle w:val="CBDNormalNumber"/>
        <w:numPr>
          <w:ilvl w:val="2"/>
          <w:numId w:val="40"/>
        </w:numPr>
      </w:pPr>
      <w:r w:rsidRPr="00D658F4">
        <w:t>Para la opción 1: Si la metodología utiliza el ingreso nacional bruto per cápita normalizado e invertido, la base de la igualdad tiene una consideración específica para los pequeños Estados insulares en desarrollo y los países menos adelantados. La utilización del ingreso nacional bruto para el criterio c) da resultados que están sesgados en detrimento de los países menos adelantados y los pequeños Estados insulares en desarrollo, por lo que se introduce un factor de corrección en el cálculo de la base de igualdad. Para este cálculo, el cálculo de la base de igualdad se divide en dos: B = la mitad de los fondos disponibles se dividen a partes iguales entre todas las Partes que sean países receptores, como es habitual. A continuación, los países menos adelantados y los pequeños Estados insulares en desarrollo reciben un 25 % de valor adicional de ese valor de base</w:t>
      </w:r>
      <w:r w:rsidRPr="00D658F4">
        <w:rPr>
          <w:vertAlign w:val="superscript"/>
        </w:rPr>
        <w:footnoteReference w:id="7"/>
      </w:r>
      <w:r w:rsidRPr="00D658F4">
        <w:t xml:space="preserve">. </w:t>
      </w:r>
    </w:p>
    <w:p w14:paraId="1C58B575" w14:textId="77777777" w:rsidR="00B86085" w:rsidRPr="00D658F4" w:rsidRDefault="008C738F" w:rsidP="007E534A">
      <w:pPr>
        <w:pStyle w:val="CBDNormalNumber"/>
        <w:numPr>
          <w:ilvl w:val="2"/>
          <w:numId w:val="40"/>
        </w:numPr>
      </w:pPr>
      <w:r w:rsidRPr="00D658F4">
        <w:t>Para la opción 2: Si en la metodología se utiliza la fórmula invertida de la escala de cuotas, el monto total de los fondos disponibles se dividirá por dos, y la primera mitad de los fondos se dividirá por igual entre todas las Partes que sean países receptores, lo que representa la base de igualdad o B = la mitad de los fondos disponibles/número total de Partes que son países receptores</w:t>
      </w:r>
      <w:r w:rsidRPr="00D658F4">
        <w:rPr>
          <w:vertAlign w:val="superscript"/>
        </w:rPr>
        <w:footnoteReference w:id="8"/>
      </w:r>
      <w:r w:rsidRPr="00D658F4">
        <w:t>.</w:t>
      </w:r>
    </w:p>
    <w:p w14:paraId="123601EE" w14:textId="77777777" w:rsidR="00B86085" w:rsidRPr="00D658F4" w:rsidRDefault="008C738F" w:rsidP="007E534A">
      <w:pPr>
        <w:pStyle w:val="CBDNormalNumber"/>
      </w:pPr>
      <w:r w:rsidRPr="00D658F4">
        <w:t xml:space="preserve">Después de cualquiera de esos cálculos de la base de igualdad, se pasa a someter el resto de los fondos al resto de la fórmula. A </w:t>
      </w:r>
      <w:proofErr w:type="gramStart"/>
      <w:r w:rsidRPr="00D658F4">
        <w:t>continuación</w:t>
      </w:r>
      <w:proofErr w:type="gramEnd"/>
      <w:r w:rsidRPr="00D658F4">
        <w:t xml:space="preserve"> los dos importes correspondientes a cada parte se suman para formar la asignación de cada país receptor:</w:t>
      </w:r>
    </w:p>
    <w:p w14:paraId="3CF4B252" w14:textId="535053D9" w:rsidR="00B86085" w:rsidRPr="00D658F4" w:rsidRDefault="008C738F" w:rsidP="007E534A">
      <w:pPr>
        <w:pStyle w:val="CBDNormalNumber"/>
        <w:numPr>
          <w:ilvl w:val="1"/>
          <w:numId w:val="40"/>
        </w:numPr>
      </w:pPr>
      <w:r w:rsidRPr="00D658F4">
        <w:t>Criterio d)</w:t>
      </w:r>
      <w:r w:rsidRPr="00D658F4">
        <w:rPr>
          <w:vertAlign w:val="superscript"/>
        </w:rPr>
        <w:footnoteReference w:id="9"/>
      </w:r>
      <w:r w:rsidR="00CB23C6" w:rsidRPr="00D658F4">
        <w:t>:</w:t>
      </w:r>
      <w:r w:rsidRPr="00D658F4">
        <w:t xml:space="preserve"> indicador 21.CT.3 (datos subyacentes al </w:t>
      </w:r>
      <w:bookmarkStart w:id="2" w:name="_Hlk239327268"/>
      <w:r w:rsidRPr="00D658F4">
        <w:t>índice de diversidad lingüística</w:t>
      </w:r>
      <w:bookmarkEnd w:id="2"/>
      <w:r w:rsidRPr="00D658F4">
        <w:t xml:space="preserve">); se aplicarán pesos de ponderación iguales a todos los criterios. </w:t>
      </w:r>
    </w:p>
    <w:p w14:paraId="1269C9BC" w14:textId="77777777" w:rsidR="00B86085" w:rsidRPr="00D658F4" w:rsidRDefault="008C738F" w:rsidP="007E534A">
      <w:pPr>
        <w:pStyle w:val="CBDNormalNumber"/>
        <w:numPr>
          <w:ilvl w:val="1"/>
          <w:numId w:val="40"/>
        </w:numPr>
      </w:pPr>
      <w:r w:rsidRPr="00D658F4">
        <w:t xml:space="preserve">El resultado de la fórmula, añadido a la asignación de la base de igualdad, se considera la asignación total para cada Parte que sea país receptor, como se ilustra en el cuadro 2. </w:t>
      </w:r>
    </w:p>
    <w:p w14:paraId="7F6CF1E2" w14:textId="77777777" w:rsidR="00B86085" w:rsidRPr="00D658F4" w:rsidRDefault="008C738F" w:rsidP="007E534A">
      <w:pPr>
        <w:pStyle w:val="CBDNormalNumber"/>
        <w:numPr>
          <w:ilvl w:val="1"/>
          <w:numId w:val="40"/>
        </w:numPr>
      </w:pPr>
      <w:r w:rsidRPr="00D658F4">
        <w:t>En la sección que figura a continuación se trata la labor futura.</w:t>
      </w:r>
    </w:p>
    <w:p w14:paraId="11885AF9" w14:textId="77777777" w:rsidR="00B86085" w:rsidRPr="00D658F4" w:rsidRDefault="008C738F" w:rsidP="007E534A">
      <w:pPr>
        <w:pStyle w:val="CBDNormalNumber"/>
      </w:pPr>
      <w:r w:rsidRPr="00D658F4">
        <w:t xml:space="preserve">Los resultados de ambas opciones del modelo se ilustran en el cuadro 2. </w:t>
      </w:r>
    </w:p>
    <w:p w14:paraId="3716BD47" w14:textId="77777777" w:rsidR="002E749E" w:rsidRPr="00D658F4" w:rsidRDefault="002E749E" w:rsidP="007E534A">
      <w:pPr>
        <w:pStyle w:val="CBDTableTitle"/>
        <w:tabs>
          <w:tab w:val="clear" w:pos="1134"/>
        </w:tabs>
        <w:spacing w:after="0"/>
        <w:rPr>
          <w:b w:val="0"/>
          <w:bCs/>
        </w:rPr>
      </w:pPr>
      <w:r w:rsidRPr="00D658F4">
        <w:rPr>
          <w:b w:val="0"/>
        </w:rPr>
        <w:lastRenderedPageBreak/>
        <w:t xml:space="preserve">Cuadro 2 </w:t>
      </w:r>
    </w:p>
    <w:p w14:paraId="7E6816D2" w14:textId="77777777" w:rsidR="002E749E" w:rsidRPr="00D658F4" w:rsidRDefault="002E749E" w:rsidP="007E534A">
      <w:pPr>
        <w:pStyle w:val="CBDTableTitle"/>
        <w:tabs>
          <w:tab w:val="clear" w:pos="1134"/>
        </w:tabs>
        <w:spacing w:before="0"/>
      </w:pPr>
      <w:r w:rsidRPr="00D658F4">
        <w:t>Resultados de la fórmula para un nivel de fondos destinados a los gobiernos de 200 millones de dólares, utilizando la opción 1 o la opción 2 para el criterio c), siendo iguales los criterios a), b) y c)</w:t>
      </w:r>
    </w:p>
    <w:tbl>
      <w:tblPr>
        <w:tblW w:w="5000"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1152"/>
        <w:gridCol w:w="2790"/>
        <w:gridCol w:w="1440"/>
        <w:gridCol w:w="1170"/>
        <w:gridCol w:w="1620"/>
        <w:gridCol w:w="1188"/>
      </w:tblGrid>
      <w:tr w:rsidR="00406269" w:rsidRPr="00D658F4" w14:paraId="098C45D2" w14:textId="77777777" w:rsidTr="007E534A">
        <w:trPr>
          <w:trHeight w:val="222"/>
        </w:trPr>
        <w:tc>
          <w:tcPr>
            <w:tcW w:w="1152" w:type="dxa"/>
            <w:tcBorders>
              <w:bottom w:val="nil"/>
            </w:tcBorders>
            <w:tcMar>
              <w:top w:w="80" w:type="dxa"/>
              <w:left w:w="80" w:type="dxa"/>
              <w:bottom w:w="80" w:type="dxa"/>
              <w:right w:w="80" w:type="dxa"/>
            </w:tcMar>
          </w:tcPr>
          <w:p w14:paraId="7A4061CF" w14:textId="77777777" w:rsidR="00406269" w:rsidRPr="00D658F4" w:rsidRDefault="00406269" w:rsidP="007E534A">
            <w:pPr>
              <w:pStyle w:val="CBDTableNormal"/>
              <w:spacing w:before="0" w:after="0"/>
              <w:jc w:val="right"/>
              <w:rPr>
                <w:i/>
                <w:iCs/>
              </w:rPr>
            </w:pPr>
            <w:r w:rsidRPr="00D658F4">
              <w:rPr>
                <w:i/>
              </w:rPr>
              <w:t>País</w:t>
            </w:r>
            <w:r w:rsidRPr="00D658F4">
              <w:rPr>
                <w:vertAlign w:val="superscript"/>
              </w:rPr>
              <w:t>a</w:t>
            </w:r>
          </w:p>
        </w:tc>
        <w:tc>
          <w:tcPr>
            <w:tcW w:w="2790" w:type="dxa"/>
            <w:tcBorders>
              <w:bottom w:val="nil"/>
            </w:tcBorders>
            <w:tcMar>
              <w:top w:w="80" w:type="dxa"/>
              <w:left w:w="80" w:type="dxa"/>
              <w:bottom w:w="80" w:type="dxa"/>
              <w:right w:w="80" w:type="dxa"/>
            </w:tcMar>
          </w:tcPr>
          <w:p w14:paraId="12F53538" w14:textId="77777777" w:rsidR="00406269" w:rsidRPr="00D658F4" w:rsidRDefault="00406269" w:rsidP="007E534A">
            <w:pPr>
              <w:pStyle w:val="CBDTableNormal"/>
              <w:spacing w:before="0" w:after="0"/>
              <w:jc w:val="right"/>
              <w:rPr>
                <w:i/>
                <w:iCs/>
              </w:rPr>
            </w:pPr>
            <w:r w:rsidRPr="00D658F4">
              <w:rPr>
                <w:i/>
              </w:rPr>
              <w:t>Característica</w:t>
            </w:r>
          </w:p>
        </w:tc>
        <w:tc>
          <w:tcPr>
            <w:tcW w:w="2610" w:type="dxa"/>
            <w:gridSpan w:val="2"/>
            <w:tcBorders>
              <w:top w:val="single" w:sz="4" w:space="0" w:color="auto"/>
              <w:bottom w:val="single" w:sz="4" w:space="0" w:color="auto"/>
            </w:tcBorders>
            <w:tcMar>
              <w:top w:w="80" w:type="dxa"/>
              <w:left w:w="80" w:type="dxa"/>
              <w:bottom w:w="80" w:type="dxa"/>
              <w:right w:w="80" w:type="dxa"/>
            </w:tcMar>
          </w:tcPr>
          <w:p w14:paraId="640751ED" w14:textId="77777777" w:rsidR="00406269" w:rsidRPr="00D658F4" w:rsidRDefault="00406269" w:rsidP="007E534A">
            <w:pPr>
              <w:pStyle w:val="CBDTableNormal"/>
              <w:spacing w:before="0" w:after="0"/>
              <w:jc w:val="center"/>
              <w:rPr>
                <w:i/>
                <w:iCs/>
              </w:rPr>
            </w:pPr>
            <w:r w:rsidRPr="00D658F4">
              <w:rPr>
                <w:i/>
              </w:rPr>
              <w:t>Fórmula con opción 1</w:t>
            </w:r>
            <w:r w:rsidRPr="00D658F4">
              <w:rPr>
                <w:vertAlign w:val="superscript"/>
              </w:rPr>
              <w:t>b</w:t>
            </w:r>
          </w:p>
        </w:tc>
        <w:tc>
          <w:tcPr>
            <w:tcW w:w="2808" w:type="dxa"/>
            <w:gridSpan w:val="2"/>
            <w:tcBorders>
              <w:top w:val="single" w:sz="4" w:space="0" w:color="auto"/>
              <w:bottom w:val="single" w:sz="4" w:space="0" w:color="auto"/>
            </w:tcBorders>
            <w:tcMar>
              <w:top w:w="80" w:type="dxa"/>
              <w:left w:w="80" w:type="dxa"/>
              <w:bottom w:w="80" w:type="dxa"/>
              <w:right w:w="80" w:type="dxa"/>
            </w:tcMar>
          </w:tcPr>
          <w:p w14:paraId="07DECDDD" w14:textId="77777777" w:rsidR="00406269" w:rsidRPr="00D658F4" w:rsidRDefault="00406269" w:rsidP="00B430F9">
            <w:pPr>
              <w:pStyle w:val="CBDTableNormal"/>
              <w:spacing w:before="0" w:after="0"/>
              <w:jc w:val="right"/>
              <w:rPr>
                <w:i/>
                <w:iCs/>
              </w:rPr>
            </w:pPr>
            <w:r w:rsidRPr="00D658F4">
              <w:rPr>
                <w:i/>
              </w:rPr>
              <w:t>Fórmula con opción 2</w:t>
            </w:r>
            <w:r w:rsidRPr="00D658F4">
              <w:rPr>
                <w:vertAlign w:val="superscript"/>
              </w:rPr>
              <w:t>b</w:t>
            </w:r>
          </w:p>
        </w:tc>
      </w:tr>
      <w:tr w:rsidR="00406269" w:rsidRPr="00D658F4" w14:paraId="2FF9E77A" w14:textId="77777777" w:rsidTr="007E534A">
        <w:trPr>
          <w:trHeight w:val="222"/>
        </w:trPr>
        <w:tc>
          <w:tcPr>
            <w:tcW w:w="1152" w:type="dxa"/>
            <w:tcBorders>
              <w:top w:val="nil"/>
              <w:bottom w:val="single" w:sz="4" w:space="0" w:color="auto"/>
            </w:tcBorders>
            <w:tcMar>
              <w:top w:w="80" w:type="dxa"/>
              <w:left w:w="80" w:type="dxa"/>
              <w:bottom w:w="80" w:type="dxa"/>
              <w:right w:w="80" w:type="dxa"/>
            </w:tcMar>
          </w:tcPr>
          <w:p w14:paraId="655F350C" w14:textId="77777777" w:rsidR="00406269" w:rsidRPr="00D658F4" w:rsidRDefault="00406269" w:rsidP="00B430F9">
            <w:pPr>
              <w:pStyle w:val="CBDTableNormal"/>
              <w:spacing w:before="0" w:after="0"/>
              <w:jc w:val="right"/>
            </w:pPr>
          </w:p>
        </w:tc>
        <w:tc>
          <w:tcPr>
            <w:tcW w:w="2790" w:type="dxa"/>
            <w:tcBorders>
              <w:top w:val="nil"/>
              <w:bottom w:val="single" w:sz="4" w:space="0" w:color="auto"/>
            </w:tcBorders>
            <w:tcMar>
              <w:top w:w="80" w:type="dxa"/>
              <w:left w:w="80" w:type="dxa"/>
              <w:bottom w:w="80" w:type="dxa"/>
              <w:right w:w="80" w:type="dxa"/>
            </w:tcMar>
          </w:tcPr>
          <w:p w14:paraId="1082EA33" w14:textId="77777777" w:rsidR="00406269" w:rsidRPr="00D658F4" w:rsidRDefault="00406269" w:rsidP="00B430F9">
            <w:pPr>
              <w:pStyle w:val="CBDTableNormal"/>
              <w:spacing w:before="0" w:after="0"/>
              <w:jc w:val="right"/>
            </w:pPr>
          </w:p>
        </w:tc>
        <w:tc>
          <w:tcPr>
            <w:tcW w:w="1440" w:type="dxa"/>
            <w:tcBorders>
              <w:top w:val="single" w:sz="4" w:space="0" w:color="auto"/>
              <w:bottom w:val="single" w:sz="4" w:space="0" w:color="auto"/>
            </w:tcBorders>
            <w:tcMar>
              <w:top w:w="80" w:type="dxa"/>
              <w:left w:w="80" w:type="dxa"/>
              <w:bottom w:w="80" w:type="dxa"/>
              <w:right w:w="80" w:type="dxa"/>
            </w:tcMar>
          </w:tcPr>
          <w:p w14:paraId="095F5C08" w14:textId="77777777" w:rsidR="00406269" w:rsidRPr="00D658F4" w:rsidRDefault="00406269" w:rsidP="00B430F9">
            <w:pPr>
              <w:pStyle w:val="CBDTableNormal"/>
              <w:spacing w:before="0" w:after="0"/>
              <w:jc w:val="right"/>
              <w:rPr>
                <w:i/>
                <w:iCs/>
              </w:rPr>
            </w:pPr>
            <w:r w:rsidRPr="00D658F4">
              <w:rPr>
                <w:i/>
              </w:rPr>
              <w:t>Dólares de los EE. UU.</w:t>
            </w:r>
          </w:p>
        </w:tc>
        <w:tc>
          <w:tcPr>
            <w:tcW w:w="1170" w:type="dxa"/>
            <w:tcBorders>
              <w:top w:val="single" w:sz="4" w:space="0" w:color="auto"/>
              <w:bottom w:val="single" w:sz="4" w:space="0" w:color="auto"/>
            </w:tcBorders>
          </w:tcPr>
          <w:p w14:paraId="2A5A468C" w14:textId="77777777" w:rsidR="00406269" w:rsidRPr="00D658F4" w:rsidRDefault="00406269" w:rsidP="00B430F9">
            <w:pPr>
              <w:pStyle w:val="CBDTableNormal"/>
              <w:spacing w:before="0" w:after="0"/>
              <w:jc w:val="right"/>
              <w:rPr>
                <w:i/>
                <w:iCs/>
              </w:rPr>
            </w:pPr>
            <w:r w:rsidRPr="00D658F4">
              <w:rPr>
                <w:i/>
              </w:rPr>
              <w:t>Porcentaje</w:t>
            </w:r>
          </w:p>
        </w:tc>
        <w:tc>
          <w:tcPr>
            <w:tcW w:w="1620" w:type="dxa"/>
            <w:tcBorders>
              <w:top w:val="single" w:sz="4" w:space="0" w:color="auto"/>
              <w:bottom w:val="single" w:sz="4" w:space="0" w:color="auto"/>
            </w:tcBorders>
            <w:tcMar>
              <w:top w:w="80" w:type="dxa"/>
              <w:left w:w="80" w:type="dxa"/>
              <w:bottom w:w="80" w:type="dxa"/>
              <w:right w:w="80" w:type="dxa"/>
            </w:tcMar>
          </w:tcPr>
          <w:p w14:paraId="64511FB4" w14:textId="77777777" w:rsidR="00406269" w:rsidRPr="00D658F4" w:rsidRDefault="00406269" w:rsidP="00B430F9">
            <w:pPr>
              <w:pStyle w:val="CBDTableNormal"/>
              <w:spacing w:before="0" w:after="0"/>
              <w:jc w:val="right"/>
              <w:rPr>
                <w:i/>
                <w:iCs/>
              </w:rPr>
            </w:pPr>
            <w:r w:rsidRPr="00D658F4">
              <w:rPr>
                <w:i/>
              </w:rPr>
              <w:t>Dólares de los EE. UU.</w:t>
            </w:r>
          </w:p>
        </w:tc>
        <w:tc>
          <w:tcPr>
            <w:tcW w:w="1188" w:type="dxa"/>
            <w:tcBorders>
              <w:top w:val="single" w:sz="4" w:space="0" w:color="auto"/>
              <w:bottom w:val="single" w:sz="4" w:space="0" w:color="auto"/>
            </w:tcBorders>
          </w:tcPr>
          <w:p w14:paraId="173A3B19" w14:textId="77777777" w:rsidR="00406269" w:rsidRPr="00D658F4" w:rsidRDefault="00406269" w:rsidP="00B430F9">
            <w:pPr>
              <w:pStyle w:val="CBDTableNormal"/>
              <w:spacing w:before="0" w:after="0"/>
              <w:jc w:val="right"/>
              <w:rPr>
                <w:i/>
                <w:iCs/>
              </w:rPr>
            </w:pPr>
            <w:r w:rsidRPr="00D658F4">
              <w:rPr>
                <w:i/>
              </w:rPr>
              <w:t>Porcentaje</w:t>
            </w:r>
          </w:p>
        </w:tc>
      </w:tr>
      <w:tr w:rsidR="00406269" w:rsidRPr="00D658F4" w14:paraId="3E612C10" w14:textId="77777777" w:rsidTr="007E534A">
        <w:trPr>
          <w:trHeight w:val="222"/>
        </w:trPr>
        <w:tc>
          <w:tcPr>
            <w:tcW w:w="1152" w:type="dxa"/>
            <w:tcBorders>
              <w:top w:val="single" w:sz="4" w:space="0" w:color="auto"/>
            </w:tcBorders>
            <w:tcMar>
              <w:top w:w="80" w:type="dxa"/>
              <w:left w:w="80" w:type="dxa"/>
              <w:bottom w:w="80" w:type="dxa"/>
              <w:right w:w="80" w:type="dxa"/>
            </w:tcMar>
          </w:tcPr>
          <w:p w14:paraId="21321268" w14:textId="77777777" w:rsidR="00406269" w:rsidRPr="00D658F4" w:rsidRDefault="00406269" w:rsidP="007E534A">
            <w:pPr>
              <w:pStyle w:val="CBDTableNormal"/>
              <w:spacing w:before="0" w:after="0"/>
              <w:jc w:val="right"/>
            </w:pPr>
            <w:r w:rsidRPr="00D658F4">
              <w:t>País A</w:t>
            </w:r>
          </w:p>
        </w:tc>
        <w:tc>
          <w:tcPr>
            <w:tcW w:w="2790" w:type="dxa"/>
            <w:tcBorders>
              <w:top w:val="single" w:sz="4" w:space="0" w:color="auto"/>
            </w:tcBorders>
            <w:tcMar>
              <w:top w:w="80" w:type="dxa"/>
              <w:left w:w="80" w:type="dxa"/>
              <w:bottom w:w="80" w:type="dxa"/>
              <w:right w:w="80" w:type="dxa"/>
            </w:tcMar>
          </w:tcPr>
          <w:p w14:paraId="18F8E684" w14:textId="77777777" w:rsidR="00406269" w:rsidRPr="00D658F4" w:rsidRDefault="00406269" w:rsidP="007E534A">
            <w:pPr>
              <w:pStyle w:val="CBDTableNormal"/>
              <w:spacing w:before="0" w:after="0"/>
              <w:jc w:val="right"/>
            </w:pPr>
            <w:r w:rsidRPr="00D658F4">
              <w:t>Ingresos altos/gran diversidad biológica</w:t>
            </w:r>
          </w:p>
        </w:tc>
        <w:tc>
          <w:tcPr>
            <w:tcW w:w="1440" w:type="dxa"/>
            <w:tcBorders>
              <w:top w:val="single" w:sz="4" w:space="0" w:color="auto"/>
            </w:tcBorders>
            <w:tcMar>
              <w:top w:w="80" w:type="dxa"/>
              <w:left w:w="80" w:type="dxa"/>
              <w:bottom w:w="80" w:type="dxa"/>
              <w:right w:w="80" w:type="dxa"/>
            </w:tcMar>
          </w:tcPr>
          <w:p w14:paraId="1FB01B6A" w14:textId="77777777" w:rsidR="00406269" w:rsidRPr="00D658F4" w:rsidRDefault="00406269" w:rsidP="007E534A">
            <w:pPr>
              <w:pStyle w:val="CBDTableNormal"/>
              <w:spacing w:before="0" w:after="0"/>
              <w:jc w:val="right"/>
            </w:pPr>
            <w:r w:rsidRPr="00D658F4">
              <w:t>3 172 049</w:t>
            </w:r>
          </w:p>
        </w:tc>
        <w:tc>
          <w:tcPr>
            <w:tcW w:w="1170" w:type="dxa"/>
            <w:tcBorders>
              <w:top w:val="single" w:sz="4" w:space="0" w:color="auto"/>
            </w:tcBorders>
          </w:tcPr>
          <w:p w14:paraId="42187398" w14:textId="77777777" w:rsidR="00406269" w:rsidRPr="00D658F4" w:rsidRDefault="00406269" w:rsidP="00B430F9">
            <w:pPr>
              <w:pStyle w:val="CBDTableNormal"/>
              <w:spacing w:before="0" w:after="0"/>
              <w:jc w:val="right"/>
            </w:pPr>
            <w:r w:rsidRPr="00D658F4">
              <w:t>1,59</w:t>
            </w:r>
          </w:p>
        </w:tc>
        <w:tc>
          <w:tcPr>
            <w:tcW w:w="1620" w:type="dxa"/>
            <w:tcBorders>
              <w:top w:val="single" w:sz="4" w:space="0" w:color="auto"/>
            </w:tcBorders>
            <w:tcMar>
              <w:top w:w="80" w:type="dxa"/>
              <w:left w:w="80" w:type="dxa"/>
              <w:bottom w:w="80" w:type="dxa"/>
              <w:right w:w="80" w:type="dxa"/>
            </w:tcMar>
          </w:tcPr>
          <w:p w14:paraId="3F177000" w14:textId="77777777" w:rsidR="00406269" w:rsidRPr="00D658F4" w:rsidRDefault="00406269" w:rsidP="007E534A">
            <w:pPr>
              <w:pStyle w:val="CBDTableNormal"/>
              <w:spacing w:before="0" w:after="0"/>
              <w:jc w:val="right"/>
            </w:pPr>
            <w:r w:rsidRPr="00D658F4">
              <w:t xml:space="preserve">1 743 925 </w:t>
            </w:r>
          </w:p>
        </w:tc>
        <w:tc>
          <w:tcPr>
            <w:tcW w:w="1188" w:type="dxa"/>
            <w:tcBorders>
              <w:top w:val="single" w:sz="4" w:space="0" w:color="auto"/>
            </w:tcBorders>
          </w:tcPr>
          <w:p w14:paraId="01308B6B" w14:textId="77777777" w:rsidR="00406269" w:rsidRPr="00D658F4" w:rsidRDefault="00406269" w:rsidP="00B430F9">
            <w:pPr>
              <w:pStyle w:val="CBDTableNormal"/>
              <w:spacing w:before="0" w:after="0"/>
              <w:jc w:val="right"/>
            </w:pPr>
            <w:r w:rsidRPr="00D658F4">
              <w:t>0,87</w:t>
            </w:r>
          </w:p>
        </w:tc>
      </w:tr>
      <w:tr w:rsidR="00406269" w:rsidRPr="00D658F4" w14:paraId="5B5AB314" w14:textId="77777777" w:rsidTr="007E534A">
        <w:trPr>
          <w:trHeight w:val="222"/>
        </w:trPr>
        <w:tc>
          <w:tcPr>
            <w:tcW w:w="1152" w:type="dxa"/>
            <w:tcMar>
              <w:top w:w="80" w:type="dxa"/>
              <w:left w:w="80" w:type="dxa"/>
              <w:bottom w:w="80" w:type="dxa"/>
              <w:right w:w="80" w:type="dxa"/>
            </w:tcMar>
          </w:tcPr>
          <w:p w14:paraId="30E43164" w14:textId="77777777" w:rsidR="00406269" w:rsidRPr="00D658F4" w:rsidRDefault="00406269" w:rsidP="007E534A">
            <w:pPr>
              <w:pStyle w:val="CBDTableNormal"/>
              <w:spacing w:before="0" w:after="0"/>
              <w:jc w:val="right"/>
            </w:pPr>
            <w:r w:rsidRPr="00D658F4">
              <w:t>País B</w:t>
            </w:r>
          </w:p>
        </w:tc>
        <w:tc>
          <w:tcPr>
            <w:tcW w:w="2790" w:type="dxa"/>
            <w:tcMar>
              <w:top w:w="80" w:type="dxa"/>
              <w:left w:w="80" w:type="dxa"/>
              <w:bottom w:w="80" w:type="dxa"/>
              <w:right w:w="80" w:type="dxa"/>
            </w:tcMar>
          </w:tcPr>
          <w:p w14:paraId="3D478486" w14:textId="77777777" w:rsidR="00406269" w:rsidRPr="00D658F4" w:rsidRDefault="00406269" w:rsidP="007E534A">
            <w:pPr>
              <w:pStyle w:val="CBDTableNormal"/>
              <w:spacing w:before="0" w:after="0"/>
              <w:jc w:val="right"/>
            </w:pPr>
            <w:r w:rsidRPr="00D658F4">
              <w:t>Ingresos altos/escasa diversidad biológica</w:t>
            </w:r>
          </w:p>
        </w:tc>
        <w:tc>
          <w:tcPr>
            <w:tcW w:w="1440" w:type="dxa"/>
            <w:tcMar>
              <w:top w:w="80" w:type="dxa"/>
              <w:left w:w="80" w:type="dxa"/>
              <w:bottom w:w="80" w:type="dxa"/>
              <w:right w:w="80" w:type="dxa"/>
            </w:tcMar>
          </w:tcPr>
          <w:p w14:paraId="7BB3CF2F" w14:textId="77777777" w:rsidR="00406269" w:rsidRPr="00D658F4" w:rsidRDefault="00406269" w:rsidP="007E534A">
            <w:pPr>
              <w:pStyle w:val="CBDTableNormal"/>
              <w:spacing w:before="0" w:after="0"/>
              <w:jc w:val="right"/>
            </w:pPr>
            <w:r w:rsidRPr="00D658F4">
              <w:t>873 850</w:t>
            </w:r>
          </w:p>
        </w:tc>
        <w:tc>
          <w:tcPr>
            <w:tcW w:w="1170" w:type="dxa"/>
          </w:tcPr>
          <w:p w14:paraId="3C203B5B" w14:textId="77777777" w:rsidR="00406269" w:rsidRPr="00D658F4" w:rsidRDefault="00406269" w:rsidP="00B430F9">
            <w:pPr>
              <w:pStyle w:val="CBDTableNormal"/>
              <w:spacing w:before="0" w:after="0"/>
              <w:jc w:val="right"/>
            </w:pPr>
            <w:r w:rsidRPr="00D658F4">
              <w:t>0,44</w:t>
            </w:r>
          </w:p>
        </w:tc>
        <w:tc>
          <w:tcPr>
            <w:tcW w:w="1620" w:type="dxa"/>
            <w:tcMar>
              <w:top w:w="80" w:type="dxa"/>
              <w:left w:w="80" w:type="dxa"/>
              <w:bottom w:w="80" w:type="dxa"/>
              <w:right w:w="80" w:type="dxa"/>
            </w:tcMar>
          </w:tcPr>
          <w:p w14:paraId="3B91E082" w14:textId="77777777" w:rsidR="00406269" w:rsidRPr="00D658F4" w:rsidRDefault="00406269" w:rsidP="007E534A">
            <w:pPr>
              <w:pStyle w:val="CBDTableNormal"/>
              <w:spacing w:before="0" w:after="0"/>
              <w:jc w:val="right"/>
            </w:pPr>
            <w:r w:rsidRPr="00D658F4">
              <w:t>1 119 371</w:t>
            </w:r>
          </w:p>
        </w:tc>
        <w:tc>
          <w:tcPr>
            <w:tcW w:w="1188" w:type="dxa"/>
          </w:tcPr>
          <w:p w14:paraId="665EBBE2" w14:textId="77777777" w:rsidR="00406269" w:rsidRPr="00D658F4" w:rsidRDefault="00406269" w:rsidP="00B430F9">
            <w:pPr>
              <w:pStyle w:val="CBDTableNormal"/>
              <w:spacing w:before="0" w:after="0"/>
              <w:jc w:val="right"/>
            </w:pPr>
            <w:r w:rsidRPr="00D658F4">
              <w:t>0,56</w:t>
            </w:r>
          </w:p>
        </w:tc>
      </w:tr>
      <w:tr w:rsidR="00406269" w:rsidRPr="00D658F4" w14:paraId="5196159C" w14:textId="77777777" w:rsidTr="007E534A">
        <w:trPr>
          <w:trHeight w:val="222"/>
        </w:trPr>
        <w:tc>
          <w:tcPr>
            <w:tcW w:w="1152" w:type="dxa"/>
            <w:tcMar>
              <w:top w:w="80" w:type="dxa"/>
              <w:left w:w="80" w:type="dxa"/>
              <w:bottom w:w="80" w:type="dxa"/>
              <w:right w:w="80" w:type="dxa"/>
            </w:tcMar>
          </w:tcPr>
          <w:p w14:paraId="4194E846" w14:textId="77777777" w:rsidR="00406269" w:rsidRPr="00D658F4" w:rsidRDefault="00406269" w:rsidP="007E534A">
            <w:pPr>
              <w:pStyle w:val="CBDTableNormal"/>
              <w:spacing w:before="0" w:after="0"/>
              <w:jc w:val="right"/>
            </w:pPr>
            <w:r w:rsidRPr="00D658F4">
              <w:t>País C</w:t>
            </w:r>
          </w:p>
        </w:tc>
        <w:tc>
          <w:tcPr>
            <w:tcW w:w="2790" w:type="dxa"/>
            <w:tcMar>
              <w:top w:w="80" w:type="dxa"/>
              <w:left w:w="80" w:type="dxa"/>
              <w:bottom w:w="80" w:type="dxa"/>
              <w:right w:w="80" w:type="dxa"/>
            </w:tcMar>
          </w:tcPr>
          <w:p w14:paraId="089F8F63" w14:textId="77777777" w:rsidR="00406269" w:rsidRPr="00D658F4" w:rsidRDefault="00406269" w:rsidP="007E534A">
            <w:pPr>
              <w:pStyle w:val="CBDTableNormal"/>
              <w:spacing w:before="0" w:after="0"/>
              <w:jc w:val="right"/>
            </w:pPr>
            <w:r w:rsidRPr="00D658F4">
              <w:t>Ingresos medios/gran diversidad biológica</w:t>
            </w:r>
          </w:p>
        </w:tc>
        <w:tc>
          <w:tcPr>
            <w:tcW w:w="1440" w:type="dxa"/>
            <w:tcMar>
              <w:top w:w="80" w:type="dxa"/>
              <w:left w:w="80" w:type="dxa"/>
              <w:bottom w:w="80" w:type="dxa"/>
              <w:right w:w="80" w:type="dxa"/>
            </w:tcMar>
          </w:tcPr>
          <w:p w14:paraId="6C4C8727" w14:textId="77777777" w:rsidR="00406269" w:rsidRPr="00D658F4" w:rsidRDefault="00406269" w:rsidP="007E534A">
            <w:pPr>
              <w:pStyle w:val="CBDTableNormal"/>
              <w:spacing w:before="0" w:after="0"/>
              <w:jc w:val="right"/>
            </w:pPr>
            <w:r w:rsidRPr="00D658F4">
              <w:t>2 526 282</w:t>
            </w:r>
          </w:p>
        </w:tc>
        <w:tc>
          <w:tcPr>
            <w:tcW w:w="1170" w:type="dxa"/>
          </w:tcPr>
          <w:p w14:paraId="4EE9DA3A" w14:textId="77777777" w:rsidR="00406269" w:rsidRPr="00D658F4" w:rsidRDefault="00406269" w:rsidP="00B430F9">
            <w:pPr>
              <w:pStyle w:val="CBDTableNormal"/>
              <w:spacing w:before="0" w:after="0"/>
              <w:jc w:val="right"/>
            </w:pPr>
            <w:r w:rsidRPr="00D658F4">
              <w:t>1,26</w:t>
            </w:r>
          </w:p>
        </w:tc>
        <w:tc>
          <w:tcPr>
            <w:tcW w:w="1620" w:type="dxa"/>
            <w:tcMar>
              <w:top w:w="80" w:type="dxa"/>
              <w:left w:w="80" w:type="dxa"/>
              <w:bottom w:w="80" w:type="dxa"/>
              <w:right w:w="80" w:type="dxa"/>
            </w:tcMar>
          </w:tcPr>
          <w:p w14:paraId="7C65D508" w14:textId="77777777" w:rsidR="00406269" w:rsidRPr="00D658F4" w:rsidRDefault="00406269" w:rsidP="007E534A">
            <w:pPr>
              <w:pStyle w:val="CBDTableNormal"/>
              <w:spacing w:before="0" w:after="0"/>
              <w:jc w:val="right"/>
            </w:pPr>
            <w:r w:rsidRPr="00D658F4">
              <w:t>1 663 419</w:t>
            </w:r>
          </w:p>
        </w:tc>
        <w:tc>
          <w:tcPr>
            <w:tcW w:w="1188" w:type="dxa"/>
          </w:tcPr>
          <w:p w14:paraId="69AA9EAC" w14:textId="77777777" w:rsidR="00406269" w:rsidRPr="00D658F4" w:rsidRDefault="00406269" w:rsidP="00B430F9">
            <w:pPr>
              <w:pStyle w:val="CBDTableNormal"/>
              <w:spacing w:before="0" w:after="0"/>
              <w:jc w:val="right"/>
            </w:pPr>
            <w:r w:rsidRPr="00D658F4">
              <w:t>0,83</w:t>
            </w:r>
          </w:p>
        </w:tc>
      </w:tr>
      <w:tr w:rsidR="00406269" w:rsidRPr="00D658F4" w14:paraId="1C301B88" w14:textId="77777777" w:rsidTr="007E534A">
        <w:trPr>
          <w:trHeight w:val="222"/>
        </w:trPr>
        <w:tc>
          <w:tcPr>
            <w:tcW w:w="1152" w:type="dxa"/>
            <w:tcMar>
              <w:top w:w="80" w:type="dxa"/>
              <w:left w:w="80" w:type="dxa"/>
              <w:bottom w:w="80" w:type="dxa"/>
              <w:right w:w="80" w:type="dxa"/>
            </w:tcMar>
          </w:tcPr>
          <w:p w14:paraId="05C7D572" w14:textId="77777777" w:rsidR="00406269" w:rsidRPr="00D658F4" w:rsidRDefault="00406269" w:rsidP="007E534A">
            <w:pPr>
              <w:pStyle w:val="CBDTableNormal"/>
              <w:spacing w:before="0" w:after="0"/>
              <w:jc w:val="right"/>
            </w:pPr>
            <w:r w:rsidRPr="00D658F4">
              <w:t>País D</w:t>
            </w:r>
          </w:p>
        </w:tc>
        <w:tc>
          <w:tcPr>
            <w:tcW w:w="2790" w:type="dxa"/>
            <w:tcMar>
              <w:top w:w="80" w:type="dxa"/>
              <w:left w:w="80" w:type="dxa"/>
              <w:bottom w:w="80" w:type="dxa"/>
              <w:right w:w="80" w:type="dxa"/>
            </w:tcMar>
          </w:tcPr>
          <w:p w14:paraId="5E542CBC" w14:textId="77777777" w:rsidR="00406269" w:rsidRPr="00D658F4" w:rsidRDefault="00406269" w:rsidP="007E534A">
            <w:pPr>
              <w:pStyle w:val="CBDTableNormal"/>
              <w:spacing w:before="0" w:after="0"/>
              <w:jc w:val="right"/>
            </w:pPr>
            <w:r w:rsidRPr="00D658F4">
              <w:t>Ingresos medios/escasa diversidad biológica</w:t>
            </w:r>
          </w:p>
        </w:tc>
        <w:tc>
          <w:tcPr>
            <w:tcW w:w="1440" w:type="dxa"/>
            <w:tcMar>
              <w:top w:w="80" w:type="dxa"/>
              <w:left w:w="80" w:type="dxa"/>
              <w:bottom w:w="80" w:type="dxa"/>
              <w:right w:w="80" w:type="dxa"/>
            </w:tcMar>
          </w:tcPr>
          <w:p w14:paraId="5E451C96" w14:textId="77777777" w:rsidR="00406269" w:rsidRPr="00D658F4" w:rsidRDefault="00406269" w:rsidP="007E534A">
            <w:pPr>
              <w:pStyle w:val="CBDTableNormal"/>
              <w:spacing w:before="0" w:after="0"/>
              <w:jc w:val="right"/>
            </w:pPr>
            <w:r w:rsidRPr="00D658F4">
              <w:t>1 042 737</w:t>
            </w:r>
          </w:p>
        </w:tc>
        <w:tc>
          <w:tcPr>
            <w:tcW w:w="1170" w:type="dxa"/>
          </w:tcPr>
          <w:p w14:paraId="1C667CBD" w14:textId="77777777" w:rsidR="00406269" w:rsidRPr="00D658F4" w:rsidRDefault="00406269" w:rsidP="00B430F9">
            <w:pPr>
              <w:pStyle w:val="CBDTableNormal"/>
              <w:spacing w:before="0" w:after="0"/>
              <w:jc w:val="right"/>
            </w:pPr>
            <w:r w:rsidRPr="00D658F4">
              <w:t>0,52</w:t>
            </w:r>
          </w:p>
        </w:tc>
        <w:tc>
          <w:tcPr>
            <w:tcW w:w="1620" w:type="dxa"/>
            <w:tcMar>
              <w:top w:w="80" w:type="dxa"/>
              <w:left w:w="80" w:type="dxa"/>
              <w:bottom w:w="80" w:type="dxa"/>
              <w:right w:w="80" w:type="dxa"/>
            </w:tcMar>
          </w:tcPr>
          <w:p w14:paraId="22CC14C3" w14:textId="77777777" w:rsidR="00406269" w:rsidRPr="00D658F4" w:rsidRDefault="00406269" w:rsidP="007E534A">
            <w:pPr>
              <w:pStyle w:val="CBDTableNormal"/>
              <w:spacing w:before="0" w:after="0"/>
              <w:jc w:val="right"/>
            </w:pPr>
            <w:r w:rsidRPr="00D658F4">
              <w:t>1 317 650</w:t>
            </w:r>
          </w:p>
        </w:tc>
        <w:tc>
          <w:tcPr>
            <w:tcW w:w="1188" w:type="dxa"/>
          </w:tcPr>
          <w:p w14:paraId="0A4535DD" w14:textId="77777777" w:rsidR="00406269" w:rsidRPr="00D658F4" w:rsidRDefault="00406269" w:rsidP="00B430F9">
            <w:pPr>
              <w:pStyle w:val="CBDTableNormal"/>
              <w:spacing w:before="0" w:after="0"/>
              <w:jc w:val="right"/>
            </w:pPr>
            <w:r w:rsidRPr="00D658F4">
              <w:t>0,66</w:t>
            </w:r>
          </w:p>
        </w:tc>
      </w:tr>
      <w:tr w:rsidR="00406269" w:rsidRPr="00D658F4" w14:paraId="77979B24" w14:textId="77777777" w:rsidTr="007E534A">
        <w:trPr>
          <w:trHeight w:val="222"/>
        </w:trPr>
        <w:tc>
          <w:tcPr>
            <w:tcW w:w="1152" w:type="dxa"/>
            <w:tcMar>
              <w:top w:w="80" w:type="dxa"/>
              <w:left w:w="80" w:type="dxa"/>
              <w:bottom w:w="80" w:type="dxa"/>
              <w:right w:w="80" w:type="dxa"/>
            </w:tcMar>
          </w:tcPr>
          <w:p w14:paraId="7C9CE561" w14:textId="77777777" w:rsidR="00406269" w:rsidRPr="00D658F4" w:rsidRDefault="00406269" w:rsidP="007E534A">
            <w:pPr>
              <w:pStyle w:val="CBDTableNormal"/>
              <w:spacing w:before="0" w:after="0"/>
              <w:jc w:val="right"/>
            </w:pPr>
            <w:r w:rsidRPr="00D658F4">
              <w:t>País E</w:t>
            </w:r>
          </w:p>
        </w:tc>
        <w:tc>
          <w:tcPr>
            <w:tcW w:w="2790" w:type="dxa"/>
            <w:tcMar>
              <w:top w:w="80" w:type="dxa"/>
              <w:left w:w="80" w:type="dxa"/>
              <w:bottom w:w="80" w:type="dxa"/>
              <w:right w:w="80" w:type="dxa"/>
            </w:tcMar>
          </w:tcPr>
          <w:p w14:paraId="2A18A430" w14:textId="77777777" w:rsidR="00406269" w:rsidRPr="00D658F4" w:rsidRDefault="00406269" w:rsidP="007E534A">
            <w:pPr>
              <w:pStyle w:val="CBDTableNormal"/>
              <w:spacing w:before="0" w:after="0"/>
              <w:jc w:val="right"/>
            </w:pPr>
            <w:r w:rsidRPr="00D658F4">
              <w:t>Ingresos bajos/gran diversidad biológica</w:t>
            </w:r>
          </w:p>
        </w:tc>
        <w:tc>
          <w:tcPr>
            <w:tcW w:w="1440" w:type="dxa"/>
            <w:tcMar>
              <w:top w:w="80" w:type="dxa"/>
              <w:left w:w="80" w:type="dxa"/>
              <w:bottom w:w="80" w:type="dxa"/>
              <w:right w:w="80" w:type="dxa"/>
            </w:tcMar>
          </w:tcPr>
          <w:p w14:paraId="0E5F9949" w14:textId="77777777" w:rsidR="00406269" w:rsidRPr="00D658F4" w:rsidRDefault="00406269" w:rsidP="007E534A">
            <w:pPr>
              <w:pStyle w:val="CBDTableNormal"/>
              <w:spacing w:before="0" w:after="0"/>
              <w:jc w:val="right"/>
            </w:pPr>
            <w:r w:rsidRPr="00D658F4">
              <w:t>2 735 509</w:t>
            </w:r>
          </w:p>
        </w:tc>
        <w:tc>
          <w:tcPr>
            <w:tcW w:w="1170" w:type="dxa"/>
          </w:tcPr>
          <w:p w14:paraId="048842D1" w14:textId="77777777" w:rsidR="00406269" w:rsidRPr="00D658F4" w:rsidRDefault="00406269" w:rsidP="00B430F9">
            <w:pPr>
              <w:pStyle w:val="CBDTableNormal"/>
              <w:spacing w:before="0" w:after="0"/>
              <w:jc w:val="right"/>
            </w:pPr>
            <w:r w:rsidRPr="00D658F4">
              <w:t>1,37</w:t>
            </w:r>
          </w:p>
        </w:tc>
        <w:tc>
          <w:tcPr>
            <w:tcW w:w="1620" w:type="dxa"/>
            <w:tcMar>
              <w:top w:w="80" w:type="dxa"/>
              <w:left w:w="80" w:type="dxa"/>
              <w:bottom w:w="80" w:type="dxa"/>
              <w:right w:w="80" w:type="dxa"/>
            </w:tcMar>
          </w:tcPr>
          <w:p w14:paraId="7A77EF5D" w14:textId="77777777" w:rsidR="00406269" w:rsidRPr="00D658F4" w:rsidRDefault="00406269" w:rsidP="007E534A">
            <w:pPr>
              <w:pStyle w:val="CBDTableNormal"/>
              <w:spacing w:before="0" w:after="0"/>
              <w:jc w:val="right"/>
            </w:pPr>
            <w:r w:rsidRPr="00D658F4">
              <w:t>1 667 462</w:t>
            </w:r>
          </w:p>
        </w:tc>
        <w:tc>
          <w:tcPr>
            <w:tcW w:w="1188" w:type="dxa"/>
          </w:tcPr>
          <w:p w14:paraId="6626BFC3" w14:textId="77777777" w:rsidR="00406269" w:rsidRPr="00D658F4" w:rsidRDefault="00406269" w:rsidP="00B430F9">
            <w:pPr>
              <w:pStyle w:val="CBDTableNormal"/>
              <w:spacing w:before="0" w:after="0"/>
              <w:jc w:val="right"/>
            </w:pPr>
            <w:r w:rsidRPr="00D658F4">
              <w:t>0,83</w:t>
            </w:r>
          </w:p>
        </w:tc>
      </w:tr>
      <w:tr w:rsidR="00406269" w:rsidRPr="00D658F4" w14:paraId="4717CA0B" w14:textId="77777777" w:rsidTr="007E534A">
        <w:trPr>
          <w:trHeight w:val="222"/>
        </w:trPr>
        <w:tc>
          <w:tcPr>
            <w:tcW w:w="1152" w:type="dxa"/>
            <w:tcMar>
              <w:top w:w="80" w:type="dxa"/>
              <w:left w:w="80" w:type="dxa"/>
              <w:bottom w:w="80" w:type="dxa"/>
              <w:right w:w="80" w:type="dxa"/>
            </w:tcMar>
          </w:tcPr>
          <w:p w14:paraId="0E27A539" w14:textId="77777777" w:rsidR="00406269" w:rsidRPr="00D658F4" w:rsidRDefault="00406269" w:rsidP="007E534A">
            <w:pPr>
              <w:pStyle w:val="CBDTableNormal"/>
              <w:spacing w:before="0" w:after="0"/>
              <w:jc w:val="right"/>
            </w:pPr>
            <w:r w:rsidRPr="00D658F4">
              <w:t>País F</w:t>
            </w:r>
          </w:p>
        </w:tc>
        <w:tc>
          <w:tcPr>
            <w:tcW w:w="2790" w:type="dxa"/>
            <w:tcMar>
              <w:top w:w="80" w:type="dxa"/>
              <w:left w:w="80" w:type="dxa"/>
              <w:bottom w:w="80" w:type="dxa"/>
              <w:right w:w="80" w:type="dxa"/>
            </w:tcMar>
          </w:tcPr>
          <w:p w14:paraId="21FA39F9" w14:textId="77777777" w:rsidR="00406269" w:rsidRPr="00D658F4" w:rsidRDefault="00406269" w:rsidP="007E534A">
            <w:pPr>
              <w:pStyle w:val="CBDTableNormal"/>
              <w:spacing w:before="0" w:after="0"/>
              <w:jc w:val="right"/>
            </w:pPr>
            <w:r w:rsidRPr="00D658F4">
              <w:t>Ingresos bajos/escasa diversidad biológica</w:t>
            </w:r>
          </w:p>
        </w:tc>
        <w:tc>
          <w:tcPr>
            <w:tcW w:w="1440" w:type="dxa"/>
            <w:tcMar>
              <w:top w:w="80" w:type="dxa"/>
              <w:left w:w="80" w:type="dxa"/>
              <w:bottom w:w="80" w:type="dxa"/>
              <w:right w:w="80" w:type="dxa"/>
            </w:tcMar>
          </w:tcPr>
          <w:p w14:paraId="178EDD20" w14:textId="77777777" w:rsidR="00406269" w:rsidRPr="00D658F4" w:rsidRDefault="00406269" w:rsidP="007E534A">
            <w:pPr>
              <w:pStyle w:val="CBDTableNormal"/>
              <w:spacing w:before="0" w:after="0"/>
              <w:jc w:val="right"/>
            </w:pPr>
            <w:r w:rsidRPr="00D658F4">
              <w:t>1 666 411</w:t>
            </w:r>
          </w:p>
        </w:tc>
        <w:tc>
          <w:tcPr>
            <w:tcW w:w="1170" w:type="dxa"/>
          </w:tcPr>
          <w:p w14:paraId="5EC5DC08" w14:textId="77777777" w:rsidR="00406269" w:rsidRPr="00D658F4" w:rsidRDefault="00406269" w:rsidP="00B430F9">
            <w:pPr>
              <w:pStyle w:val="CBDTableNormal"/>
              <w:spacing w:before="0" w:after="0"/>
              <w:jc w:val="right"/>
            </w:pPr>
            <w:r w:rsidRPr="00D658F4">
              <w:t>0,83</w:t>
            </w:r>
          </w:p>
        </w:tc>
        <w:tc>
          <w:tcPr>
            <w:tcW w:w="1620" w:type="dxa"/>
            <w:tcMar>
              <w:top w:w="80" w:type="dxa"/>
              <w:left w:w="80" w:type="dxa"/>
              <w:bottom w:w="80" w:type="dxa"/>
              <w:right w:w="80" w:type="dxa"/>
            </w:tcMar>
          </w:tcPr>
          <w:p w14:paraId="6796FCB7" w14:textId="77777777" w:rsidR="00406269" w:rsidRPr="00D658F4" w:rsidRDefault="00406269" w:rsidP="007E534A">
            <w:pPr>
              <w:pStyle w:val="CBDTableNormal"/>
              <w:spacing w:before="0" w:after="0"/>
              <w:jc w:val="right"/>
            </w:pPr>
            <w:r w:rsidRPr="00D658F4">
              <w:t>1 379 423</w:t>
            </w:r>
          </w:p>
        </w:tc>
        <w:tc>
          <w:tcPr>
            <w:tcW w:w="1188" w:type="dxa"/>
          </w:tcPr>
          <w:p w14:paraId="2669E235" w14:textId="77777777" w:rsidR="00406269" w:rsidRPr="00D658F4" w:rsidRDefault="003C2EAD" w:rsidP="00B430F9">
            <w:pPr>
              <w:pStyle w:val="CBDTableNormal"/>
              <w:spacing w:before="0" w:after="0"/>
              <w:jc w:val="right"/>
            </w:pPr>
            <w:r w:rsidRPr="00D658F4">
              <w:t>0,69</w:t>
            </w:r>
          </w:p>
        </w:tc>
      </w:tr>
    </w:tbl>
    <w:p w14:paraId="76AEEA13" w14:textId="77777777" w:rsidR="00A87F8B" w:rsidRPr="00D658F4" w:rsidRDefault="000A2F17" w:rsidP="00B230A2">
      <w:pPr>
        <w:pStyle w:val="Para1"/>
        <w:widowControl w:val="0"/>
        <w:spacing w:before="0" w:after="0"/>
        <w:jc w:val="left"/>
        <w:rPr>
          <w:sz w:val="18"/>
          <w:szCs w:val="18"/>
        </w:rPr>
      </w:pPr>
      <w:r w:rsidRPr="00D658F4">
        <w:rPr>
          <w:sz w:val="18"/>
          <w:vertAlign w:val="superscript"/>
        </w:rPr>
        <w:t>a</w:t>
      </w:r>
      <w:r w:rsidRPr="00D658F4">
        <w:rPr>
          <w:color w:val="auto"/>
          <w:sz w:val="18"/>
          <w:bdr w:val="none" w:sz="0" w:space="0" w:color="auto"/>
        </w:rPr>
        <w:t xml:space="preserve"> </w:t>
      </w:r>
      <w:r w:rsidRPr="00D658F4">
        <w:rPr>
          <w:sz w:val="18"/>
        </w:rPr>
        <w:t xml:space="preserve">A fin de visualizar los resultados de las fórmulas consideradas para una asignación directa a las Partes que son países receptores, teniendo en cuenta el monto hipotético global de 200 millones de dólares, se han creado países sintéticos como media de cinco países reales que reúnen las características indicadas en la segunda columna. </w:t>
      </w:r>
    </w:p>
    <w:p w14:paraId="2F56D231" w14:textId="77777777" w:rsidR="004E1D0F" w:rsidRPr="00D658F4" w:rsidRDefault="000A2F17" w:rsidP="007E534A">
      <w:pPr>
        <w:pStyle w:val="Para1"/>
        <w:widowControl w:val="0"/>
        <w:spacing w:before="0" w:after="0"/>
        <w:jc w:val="left"/>
        <w:rPr>
          <w:sz w:val="18"/>
          <w:szCs w:val="18"/>
        </w:rPr>
      </w:pPr>
      <w:r w:rsidRPr="00D658F4">
        <w:rPr>
          <w:sz w:val="18"/>
          <w:vertAlign w:val="superscript"/>
        </w:rPr>
        <w:t xml:space="preserve">b </w:t>
      </w:r>
      <w:r w:rsidRPr="00D658F4">
        <w:rPr>
          <w:sz w:val="18"/>
        </w:rPr>
        <w:t xml:space="preserve">Los resultados se muestran como valor absoluto en dólares de los Estados Unidos y como porcentaje del total de fondos disponibles. </w:t>
      </w:r>
    </w:p>
    <w:p w14:paraId="30CA5BDF" w14:textId="77777777" w:rsidR="00B86085" w:rsidRPr="00D658F4" w:rsidRDefault="00E97E1D" w:rsidP="007E534A">
      <w:pPr>
        <w:pStyle w:val="CBDH1"/>
      </w:pPr>
      <w:r w:rsidRPr="00D658F4">
        <w:t>III.</w:t>
      </w:r>
      <w:r w:rsidRPr="00D658F4">
        <w:tab/>
        <w:t>Recomendaciones para la labor futura</w:t>
      </w:r>
    </w:p>
    <w:p w14:paraId="5E334B15" w14:textId="77777777" w:rsidR="00B86085" w:rsidRPr="00D658F4" w:rsidRDefault="008C738F" w:rsidP="007E534A">
      <w:pPr>
        <w:pStyle w:val="CBDNormalNumber"/>
      </w:pPr>
      <w:r w:rsidRPr="00D658F4">
        <w:t xml:space="preserve">El Grupo de Expertos recomienda que se siga trabajando en la metodología de asignación a fin de perfeccionar el enfoque actual, adoptar fuentes de datos que empiecen a estar disponibles en un futuro próximo y revisar el enfoque con regularidad para incluir nuevas fuentes de datos, una mejor comprensión de los objetivos y los efectos de la metodología y las enseñanzas extraídas de la aplicación de la metodología actual. </w:t>
      </w:r>
    </w:p>
    <w:p w14:paraId="70D452FF" w14:textId="77777777" w:rsidR="00B86085" w:rsidRPr="00D658F4" w:rsidRDefault="008C738F" w:rsidP="007E534A">
      <w:pPr>
        <w:pStyle w:val="CBDNormalNumber"/>
      </w:pPr>
      <w:r w:rsidRPr="00D658F4">
        <w:t>Al desarrollar la labor futura se deben tener presentes las suposiciones concretas en virtud de las cuales se recomienda la metodología actual:</w:t>
      </w:r>
    </w:p>
    <w:p w14:paraId="1C80EFD5" w14:textId="77777777" w:rsidR="00B86085" w:rsidRPr="00D658F4" w:rsidRDefault="008C738F" w:rsidP="007E534A">
      <w:pPr>
        <w:pStyle w:val="CBDNormalNumber"/>
        <w:numPr>
          <w:ilvl w:val="1"/>
          <w:numId w:val="40"/>
        </w:numPr>
      </w:pPr>
      <w:r w:rsidRPr="00D658F4">
        <w:t>Si bien se añadió específicamente un criterio referente a medidas relacionadas con los pueblos indígenas y comunidades locales y a los conocimientos tradicionales asociados con ellos a los tres criterios propuestos en el adjunto II del anexo de la decisión</w:t>
      </w:r>
      <w:hyperlink r:id="rId28" w:history="1">
        <w:r w:rsidRPr="00D658F4">
          <w:rPr>
            <w:rStyle w:val="Hyperlink"/>
          </w:rPr>
          <w:t>16/2</w:t>
        </w:r>
      </w:hyperlink>
      <w:r w:rsidRPr="00D658F4">
        <w:t xml:space="preserve">, habría que incluir aspectos relativos a los pueblos indígenas y comunidades locales y a los conocimientos tradicionales asociados a ellos en el resto de los criterios, ya que se consideran una cuestión de nivel superior. Por lo tanto, esos aspectos deben tenerse en cuenta en todos los criterios presentes y futuros de la metodología; </w:t>
      </w:r>
    </w:p>
    <w:p w14:paraId="197D8723" w14:textId="77777777" w:rsidR="00B86085" w:rsidRPr="00D658F4" w:rsidRDefault="008C738F" w:rsidP="007E534A">
      <w:pPr>
        <w:pStyle w:val="CBDNormalNumber"/>
        <w:numPr>
          <w:ilvl w:val="1"/>
          <w:numId w:val="40"/>
        </w:numPr>
      </w:pPr>
      <w:r w:rsidRPr="00D658F4">
        <w:t xml:space="preserve">La buena fe debería guiar la metodología de asignación, y los posibles riesgos pueden abordarse mediante salvaguardias adecuadas, transparencia y mecanismos de examen periódico. Los riesgos asociados a la creación de incentivos perversos, por ejemplo, deben considerarse sobre la base de esta suposición. </w:t>
      </w:r>
    </w:p>
    <w:p w14:paraId="7FB60B80" w14:textId="77777777" w:rsidR="00B86085" w:rsidRPr="00D658F4" w:rsidRDefault="008C738F" w:rsidP="007E534A">
      <w:pPr>
        <w:pStyle w:val="CBDNormalNumber"/>
      </w:pPr>
      <w:r w:rsidRPr="00D658F4">
        <w:t xml:space="preserve">A </w:t>
      </w:r>
      <w:proofErr w:type="gramStart"/>
      <w:r w:rsidRPr="00D658F4">
        <w:t>continuación</w:t>
      </w:r>
      <w:proofErr w:type="gramEnd"/>
      <w:r w:rsidRPr="00D658F4">
        <w:t xml:space="preserve"> se describe la labor futura específica para cada criterio que el Grupo de Expertos recomienda a la Conferencia de las Partes.</w:t>
      </w:r>
    </w:p>
    <w:p w14:paraId="05E419C6" w14:textId="77777777" w:rsidR="00B86085" w:rsidRPr="00D658F4" w:rsidRDefault="00E80611" w:rsidP="00ED5148">
      <w:pPr>
        <w:pStyle w:val="Para1"/>
        <w:keepNext/>
        <w:jc w:val="left"/>
        <w:rPr>
          <w:b/>
          <w:bCs/>
        </w:rPr>
      </w:pPr>
      <w:r w:rsidRPr="00D658F4">
        <w:rPr>
          <w:b/>
        </w:rPr>
        <w:lastRenderedPageBreak/>
        <w:t>A.</w:t>
      </w:r>
      <w:r w:rsidRPr="00D658F4">
        <w:rPr>
          <w:b/>
        </w:rPr>
        <w:tab/>
        <w:t>Criterio a): criterio de diversidad biológica</w:t>
      </w:r>
    </w:p>
    <w:p w14:paraId="1ABD868A" w14:textId="77777777" w:rsidR="00B86085" w:rsidRPr="00D658F4" w:rsidRDefault="00F1184F" w:rsidP="007E534A">
      <w:pPr>
        <w:pStyle w:val="CBDNormalNumber"/>
      </w:pPr>
      <w:r w:rsidRPr="00D658F4">
        <w:t xml:space="preserve">Se recomienda que a corto plazo la labor incluya lo siguiente: </w:t>
      </w:r>
    </w:p>
    <w:p w14:paraId="73DF2C27" w14:textId="77777777" w:rsidR="00B86085" w:rsidRPr="00D658F4" w:rsidRDefault="008C738F" w:rsidP="007E534A">
      <w:pPr>
        <w:pStyle w:val="CBDNormalNumber"/>
        <w:numPr>
          <w:ilvl w:val="1"/>
          <w:numId w:val="40"/>
        </w:numPr>
      </w:pPr>
      <w:r w:rsidRPr="00D658F4">
        <w:t xml:space="preserve">Como parte de la metodología basada en criterios se utiliza el </w:t>
      </w:r>
      <w:bookmarkStart w:id="3" w:name="_Hlk239333610"/>
      <w:bookmarkStart w:id="4" w:name="_Hlk239335140"/>
      <w:r w:rsidRPr="00D658F4">
        <w:t xml:space="preserve">índice de beneficios para la diversidad biológica </w:t>
      </w:r>
      <w:bookmarkEnd w:id="3"/>
      <w:bookmarkEnd w:id="4"/>
      <w:r w:rsidRPr="00D658F4">
        <w:t xml:space="preserve">establecido por el Fondo para el Medio Ambiente Mundial con carácter provisional para el criterio a). El conjunto de datos actualizados del noveno período de reposición del Fondo Fiduciario del Fondo para el Medio Ambiente Mundial, que incluirá especies de agua dulce, debería sustituir a los datos actuales procedentes de la octava reposición. La Secretaría debería utilizar el acuerdo con el </w:t>
      </w:r>
      <w:bookmarkStart w:id="5" w:name="_Hlk239333920"/>
      <w:r w:rsidRPr="00D658F4">
        <w:t>Centro Mundial de Vigilancia de la Conservación del Programa de las Naciones Unidas para el Medio Ambiente</w:t>
      </w:r>
      <w:bookmarkEnd w:id="5"/>
      <w:r w:rsidRPr="00D658F4">
        <w:t xml:space="preserve"> con el fin de actualizar los datos cuando estén disponibles. </w:t>
      </w:r>
    </w:p>
    <w:p w14:paraId="53ADD412" w14:textId="77777777" w:rsidR="00B86085" w:rsidRPr="00D658F4" w:rsidRDefault="009150F6" w:rsidP="007E534A">
      <w:pPr>
        <w:pStyle w:val="CBDNormalNumber"/>
        <w:numPr>
          <w:ilvl w:val="1"/>
          <w:numId w:val="40"/>
        </w:numPr>
      </w:pPr>
      <w:r w:rsidRPr="00D658F4">
        <w:t>Se deberían examinar los datos procedentes la novena reposición para determinar:</w:t>
      </w:r>
    </w:p>
    <w:p w14:paraId="4EAD92C6" w14:textId="77777777" w:rsidR="00B86085" w:rsidRPr="00D658F4" w:rsidRDefault="008C738F" w:rsidP="007E534A">
      <w:pPr>
        <w:pStyle w:val="CBDNormalNumber"/>
        <w:numPr>
          <w:ilvl w:val="2"/>
          <w:numId w:val="40"/>
        </w:numPr>
      </w:pPr>
      <w:r w:rsidRPr="00D658F4">
        <w:t>Su solidez.</w:t>
      </w:r>
    </w:p>
    <w:p w14:paraId="73E4A6C5" w14:textId="77777777" w:rsidR="00B86085" w:rsidRPr="00D658F4" w:rsidRDefault="008C738F" w:rsidP="007E534A">
      <w:pPr>
        <w:pStyle w:val="CBDNormalNumber"/>
        <w:numPr>
          <w:ilvl w:val="2"/>
          <w:numId w:val="40"/>
        </w:numPr>
      </w:pPr>
      <w:r w:rsidRPr="00D658F4">
        <w:t>La transparencia del proceso de toma de decisiones, especialmente sobre la asignación de pesos de ponderación dentro del índice de beneficios para la diversidad biológica.</w:t>
      </w:r>
    </w:p>
    <w:p w14:paraId="25DEC28A" w14:textId="77777777" w:rsidR="00B86085" w:rsidRPr="00D658F4" w:rsidRDefault="00E65611" w:rsidP="007E534A">
      <w:pPr>
        <w:pStyle w:val="CBDNormalNumber"/>
      </w:pPr>
      <w:r w:rsidRPr="00D658F4">
        <w:t>Se recomienda que a medio plazo la labor incluya lo siguiente:</w:t>
      </w:r>
    </w:p>
    <w:p w14:paraId="6DD9DC0E" w14:textId="77777777" w:rsidR="00B86085" w:rsidRPr="00D658F4" w:rsidRDefault="008C738F" w:rsidP="007E534A">
      <w:pPr>
        <w:pStyle w:val="CBDNormalNumber"/>
        <w:numPr>
          <w:ilvl w:val="1"/>
          <w:numId w:val="40"/>
        </w:numPr>
      </w:pPr>
      <w:r w:rsidRPr="00D658F4">
        <w:t>Creación de un nuevo conjunto de datos sobre la riqueza de diversidad biológica basado en medidas a favor de la diversidad biológica en el marco del Convenio:</w:t>
      </w:r>
    </w:p>
    <w:p w14:paraId="59DC0091" w14:textId="77777777" w:rsidR="00B86085" w:rsidRPr="00D658F4" w:rsidRDefault="008C738F" w:rsidP="007E534A">
      <w:pPr>
        <w:pStyle w:val="CBDNormalNumber"/>
        <w:numPr>
          <w:ilvl w:val="2"/>
          <w:numId w:val="40"/>
        </w:numPr>
      </w:pPr>
      <w:r w:rsidRPr="00D658F4">
        <w:t>Diversidad de ecosistemas.</w:t>
      </w:r>
    </w:p>
    <w:p w14:paraId="680EA1B3" w14:textId="77777777" w:rsidR="00B86085" w:rsidRPr="00D658F4" w:rsidRDefault="008C738F" w:rsidP="007E534A">
      <w:pPr>
        <w:pStyle w:val="CBDNormalNumber"/>
        <w:numPr>
          <w:ilvl w:val="2"/>
          <w:numId w:val="40"/>
        </w:numPr>
      </w:pPr>
      <w:r w:rsidRPr="00D658F4">
        <w:t>Diversidad de especies.</w:t>
      </w:r>
    </w:p>
    <w:p w14:paraId="145E46DE" w14:textId="77777777" w:rsidR="00B86085" w:rsidRPr="00D658F4" w:rsidRDefault="008C738F" w:rsidP="007E534A">
      <w:pPr>
        <w:pStyle w:val="CBDNormalNumber"/>
        <w:numPr>
          <w:ilvl w:val="2"/>
          <w:numId w:val="40"/>
        </w:numPr>
      </w:pPr>
      <w:r w:rsidRPr="00D658F4">
        <w:t>Diversidad genética.</w:t>
      </w:r>
    </w:p>
    <w:p w14:paraId="7FD16945" w14:textId="77777777" w:rsidR="00B86085" w:rsidRPr="00D658F4" w:rsidRDefault="004424EF" w:rsidP="007E534A">
      <w:pPr>
        <w:pStyle w:val="CBDNormalNumber"/>
        <w:numPr>
          <w:ilvl w:val="1"/>
          <w:numId w:val="40"/>
        </w:numPr>
      </w:pPr>
      <w:r w:rsidRPr="00D658F4">
        <w:t>Inclusión de la degradación de los ecosistemas como medida del desempeño de un país a la hora de proteger su diversidad biológica.</w:t>
      </w:r>
    </w:p>
    <w:p w14:paraId="1FC065DE" w14:textId="77777777" w:rsidR="00B86085" w:rsidRPr="00D658F4" w:rsidRDefault="004424EF" w:rsidP="007E534A">
      <w:pPr>
        <w:pStyle w:val="CBDNormalNumber"/>
        <w:numPr>
          <w:ilvl w:val="1"/>
          <w:numId w:val="40"/>
        </w:numPr>
      </w:pPr>
      <w:r w:rsidRPr="00D658F4">
        <w:t>Inclusión de tierras y territorios de pueblos indígenas y comunidades locales.</w:t>
      </w:r>
    </w:p>
    <w:p w14:paraId="3310BB68" w14:textId="77777777" w:rsidR="00B86085" w:rsidRPr="00D658F4" w:rsidRDefault="008C738F" w:rsidP="007E534A">
      <w:pPr>
        <w:pStyle w:val="CBDNormalNumber"/>
        <w:numPr>
          <w:ilvl w:val="1"/>
          <w:numId w:val="40"/>
        </w:numPr>
      </w:pPr>
      <w:r w:rsidRPr="00D658F4">
        <w:t>Exploración de otras fuentes de datos de reciente disponibilidad.</w:t>
      </w:r>
    </w:p>
    <w:p w14:paraId="23F262BE" w14:textId="77777777" w:rsidR="00B86085" w:rsidRPr="00D658F4" w:rsidRDefault="008C738F" w:rsidP="007E534A">
      <w:pPr>
        <w:pStyle w:val="CBDNormalNumber"/>
        <w:numPr>
          <w:ilvl w:val="1"/>
          <w:numId w:val="40"/>
        </w:numPr>
      </w:pPr>
      <w:r w:rsidRPr="00D658F4">
        <w:t xml:space="preserve">Pruebas de cualquier nueva fuente de datos o índices para determinar: </w:t>
      </w:r>
    </w:p>
    <w:p w14:paraId="24C2E453" w14:textId="77777777" w:rsidR="00B86085" w:rsidRPr="00D658F4" w:rsidRDefault="008C738F" w:rsidP="007E534A">
      <w:pPr>
        <w:pStyle w:val="CBDNormalNumber"/>
        <w:numPr>
          <w:ilvl w:val="2"/>
          <w:numId w:val="40"/>
        </w:numPr>
      </w:pPr>
      <w:r w:rsidRPr="00D658F4">
        <w:t>Su solidez.</w:t>
      </w:r>
    </w:p>
    <w:p w14:paraId="63BDFAB3" w14:textId="77777777" w:rsidR="00B86085" w:rsidRPr="00D658F4" w:rsidRDefault="008C738F" w:rsidP="007E534A">
      <w:pPr>
        <w:pStyle w:val="CBDNormalNumber"/>
        <w:numPr>
          <w:ilvl w:val="2"/>
          <w:numId w:val="40"/>
        </w:numPr>
      </w:pPr>
      <w:r w:rsidRPr="00D658F4">
        <w:t>La transparencia del proceso de toma de decisiones para cualquier índice existente adoptado como parte de este nuevo indicador.</w:t>
      </w:r>
    </w:p>
    <w:p w14:paraId="0A4787DD" w14:textId="31AB6D49" w:rsidR="00B86085" w:rsidRPr="00D658F4" w:rsidRDefault="008C738F" w:rsidP="007E534A">
      <w:pPr>
        <w:pStyle w:val="CBDNormalNumber"/>
      </w:pPr>
      <w:r w:rsidRPr="00D658F4">
        <w:t xml:space="preserve">Otras posibles fuentes de datos o índices nuevos relacionados con el criterio de la diversidad biológica que hay que explorar son los conjuntos de datos sobre la diversidad a nivel de especies y ecosistemas de la </w:t>
      </w:r>
      <w:bookmarkStart w:id="6" w:name="_Hlk239334621"/>
      <w:r w:rsidRPr="00D658F4">
        <w:t>Unión Internacional para la Conservación de la Naturaleza</w:t>
      </w:r>
      <w:bookmarkEnd w:id="6"/>
      <w:r w:rsidRPr="00D658F4">
        <w:t xml:space="preserve">, el conjunto de datos sobre tierras indígenas de LandMark, el índice de hábitats de diversidad biológica de la Red de Observación de la Diversidad Biológica del Grupo de Observaciones de la Tierra, la proporción de poblaciones de cada especie con un tamaño efectivo superior a 500, y medidas recogidas en la plataforma Map of Life para la responsabilidad de la conservación de la diversidad biológica de un país, entre otras. </w:t>
      </w:r>
    </w:p>
    <w:p w14:paraId="7533CCCC" w14:textId="77777777" w:rsidR="00B86085" w:rsidRPr="00D658F4" w:rsidRDefault="00E80611">
      <w:pPr>
        <w:pStyle w:val="Para1"/>
        <w:jc w:val="left"/>
        <w:rPr>
          <w:b/>
          <w:bCs/>
        </w:rPr>
      </w:pPr>
      <w:r w:rsidRPr="00D658F4">
        <w:rPr>
          <w:b/>
        </w:rPr>
        <w:t>B.</w:t>
      </w:r>
      <w:r w:rsidRPr="00D658F4">
        <w:rPr>
          <w:b/>
        </w:rPr>
        <w:tab/>
        <w:t xml:space="preserve">Criterio b): origen geográfico </w:t>
      </w:r>
    </w:p>
    <w:p w14:paraId="5F44B20E" w14:textId="77777777" w:rsidR="00B86085" w:rsidRPr="00D658F4" w:rsidRDefault="008C738F" w:rsidP="007E534A">
      <w:pPr>
        <w:pStyle w:val="CBDNormalNumber"/>
      </w:pPr>
      <w:r w:rsidRPr="00D658F4">
        <w:t xml:space="preserve">Este criterio se incluyó en la fórmula como marcador de posición debido a que actualmente no hay datos aplicables e imparciales. </w:t>
      </w:r>
    </w:p>
    <w:p w14:paraId="696FBE57" w14:textId="77777777" w:rsidR="00B86085" w:rsidRPr="00D658F4" w:rsidRDefault="00CC6F76" w:rsidP="007E534A">
      <w:pPr>
        <w:pStyle w:val="CBDNormalNumber"/>
      </w:pPr>
      <w:r w:rsidRPr="00D658F4">
        <w:t xml:space="preserve">Se recomienda que a corto plazo la labor incluya lo siguiente: </w:t>
      </w:r>
    </w:p>
    <w:p w14:paraId="7EE60816" w14:textId="77777777" w:rsidR="00B86085" w:rsidRPr="00D658F4" w:rsidRDefault="008C738F" w:rsidP="007E534A">
      <w:pPr>
        <w:pStyle w:val="CBDNormalNumber"/>
        <w:numPr>
          <w:ilvl w:val="1"/>
          <w:numId w:val="40"/>
        </w:numPr>
      </w:pPr>
      <w:r w:rsidRPr="00D658F4">
        <w:t xml:space="preserve">Establecer un programa de trabajo para crear un indicador del origen geográfico de los recursos genéticos a partir del cual se haya derivado la información digital sobre </w:t>
      </w:r>
      <w:r w:rsidRPr="00D658F4">
        <w:lastRenderedPageBreak/>
        <w:t>secuencias de recursos genéticos existente en la base de datos, para ser utilizado en la metodología de asignación, teniendo en cuenta:</w:t>
      </w:r>
    </w:p>
    <w:p w14:paraId="59D13731" w14:textId="77777777" w:rsidR="00B86085" w:rsidRPr="00D658F4" w:rsidRDefault="00DF1C96" w:rsidP="007E534A">
      <w:pPr>
        <w:pStyle w:val="CBDNormalNumber"/>
        <w:numPr>
          <w:ilvl w:val="2"/>
          <w:numId w:val="40"/>
        </w:numPr>
      </w:pPr>
      <w:r w:rsidRPr="00D658F4">
        <w:t>fuentes de datos exploradas anteriormente;</w:t>
      </w:r>
    </w:p>
    <w:p w14:paraId="4A3F2EBD" w14:textId="77777777" w:rsidR="00B86085" w:rsidRPr="00D658F4" w:rsidRDefault="008C738F" w:rsidP="007E534A">
      <w:pPr>
        <w:pStyle w:val="CBDNormalNumber"/>
        <w:numPr>
          <w:ilvl w:val="2"/>
          <w:numId w:val="40"/>
        </w:numPr>
      </w:pPr>
      <w:r w:rsidRPr="00D658F4">
        <w:t xml:space="preserve">la cantidad de datos secuenciados desglosados por país que hay en el Sistema Global de Información sobre Biodiversidad; </w:t>
      </w:r>
    </w:p>
    <w:p w14:paraId="74F0DDA0" w14:textId="77777777" w:rsidR="00B86085" w:rsidRPr="00D658F4" w:rsidRDefault="008C738F" w:rsidP="007E534A">
      <w:pPr>
        <w:pStyle w:val="CBDNormalNumber"/>
        <w:numPr>
          <w:ilvl w:val="2"/>
          <w:numId w:val="40"/>
        </w:numPr>
      </w:pPr>
      <w:r w:rsidRPr="00D658F4">
        <w:t xml:space="preserve">el número de secuencias existente en bases de datos públicas con información del origen geográfico; </w:t>
      </w:r>
    </w:p>
    <w:p w14:paraId="57734294" w14:textId="77777777" w:rsidR="00B86085" w:rsidRPr="00D658F4" w:rsidRDefault="008C738F" w:rsidP="007E534A">
      <w:pPr>
        <w:pStyle w:val="CBDNormalNumber"/>
        <w:numPr>
          <w:ilvl w:val="1"/>
          <w:numId w:val="40"/>
        </w:numPr>
      </w:pPr>
      <w:r w:rsidRPr="00D658F4">
        <w:t>Considerar los vínculos del criterio b) con el criterio a) y el criterio c), teniendo presente la creación de posibles incentivos perversos.</w:t>
      </w:r>
    </w:p>
    <w:p w14:paraId="7BCE008D" w14:textId="77777777" w:rsidR="00B86085" w:rsidRPr="00D658F4" w:rsidRDefault="008C738F" w:rsidP="007E534A">
      <w:pPr>
        <w:pStyle w:val="CBDNormalNumber"/>
        <w:numPr>
          <w:ilvl w:val="1"/>
          <w:numId w:val="40"/>
        </w:numPr>
      </w:pPr>
      <w:r w:rsidRPr="00D658F4">
        <w:t>Considerar lo siguiente con respecto a los datos de las bases de datos:</w:t>
      </w:r>
    </w:p>
    <w:p w14:paraId="28F82ACB" w14:textId="77777777" w:rsidR="00B86085" w:rsidRPr="00D658F4" w:rsidRDefault="008C738F" w:rsidP="007E534A">
      <w:pPr>
        <w:pStyle w:val="CBDNormalNumber"/>
        <w:numPr>
          <w:ilvl w:val="2"/>
          <w:numId w:val="40"/>
        </w:numPr>
      </w:pPr>
      <w:r w:rsidRPr="00D658F4">
        <w:t>Problemas de capacidad: Un mapa de interacciones entre quienes producen secuencias y quienes las publican en un conjunto de datos puede revelar macrotendencias relacionadas con las deficiencias de capacidad. Para esto también se podría hacer uso de las estrategias y planes de acción nacionales en materia de diversidad biológica y los planes nacionales de desarrollo de la capacidad.</w:t>
      </w:r>
    </w:p>
    <w:p w14:paraId="538E741A" w14:textId="77777777" w:rsidR="00B86085" w:rsidRPr="00D658F4" w:rsidRDefault="008C738F" w:rsidP="007E534A">
      <w:pPr>
        <w:pStyle w:val="CBDNormalNumber"/>
        <w:numPr>
          <w:ilvl w:val="2"/>
          <w:numId w:val="40"/>
        </w:numPr>
      </w:pPr>
      <w:r w:rsidRPr="00D658F4">
        <w:t>Gobernanza de los datos y obligación de rendir cuentas: La obligación de rendir cuentas y la transparencia de las bases de datos pertinentes de las que se extraen los datos para el criterio b) podrían mejorarse mediante una gobernanza multilateral o acuerdos contractuales. Un mapa de la cobertura de la distribución geográfica de los metadatos podría proporcionar información pertinente.</w:t>
      </w:r>
    </w:p>
    <w:p w14:paraId="1B08F8CB" w14:textId="77777777" w:rsidR="00B86085" w:rsidRPr="00D658F4" w:rsidRDefault="008C738F" w:rsidP="007E534A">
      <w:pPr>
        <w:pStyle w:val="CBDNormalNumber"/>
        <w:numPr>
          <w:ilvl w:val="2"/>
          <w:numId w:val="40"/>
        </w:numPr>
      </w:pPr>
      <w:r w:rsidRPr="00D658F4">
        <w:t>Armonización de las normas: El contenido de los metadatos, los campos de los formularios de presentación de datos y las definiciones o términos deberían armonizarse de manera que se identifique el país de origen de los recursos genéticos desde el que se genera información digital sobre secuencias de recursos genéticos.</w:t>
      </w:r>
    </w:p>
    <w:p w14:paraId="423D3413" w14:textId="77777777" w:rsidR="00B86085" w:rsidRPr="00D658F4" w:rsidRDefault="00155957" w:rsidP="007E534A">
      <w:pPr>
        <w:pStyle w:val="CBDNormalNumber"/>
        <w:numPr>
          <w:ilvl w:val="2"/>
          <w:numId w:val="40"/>
        </w:numPr>
      </w:pPr>
      <w:r w:rsidRPr="00D658F4">
        <w:t xml:space="preserve">Inclusión de datos geográficos o datos geoespaciales precisos, incluidas las coordenadas de un sistema de posicionamiento global: La inclusión de esos datos, de conformidad con las mejores prácticas existentes y emergentes en las bases de datos pertinentes, puede contribuir a garantizar la soberanía de los datos. </w:t>
      </w:r>
    </w:p>
    <w:p w14:paraId="41039CD0" w14:textId="77777777" w:rsidR="00B86085" w:rsidRPr="00D658F4" w:rsidRDefault="0067197B" w:rsidP="007E534A">
      <w:pPr>
        <w:pStyle w:val="CBDNormalNumber"/>
        <w:numPr>
          <w:ilvl w:val="2"/>
          <w:numId w:val="40"/>
        </w:numPr>
      </w:pPr>
      <w:r w:rsidRPr="00D658F4">
        <w:t xml:space="preserve">Consentimiento libre, previo e informado: Hay que garantizar el respeto del consentimiento libre, previo e informado de los pueblos indígenas y las comunidades locales; </w:t>
      </w:r>
    </w:p>
    <w:p w14:paraId="42A39E38" w14:textId="77777777" w:rsidR="00B86085" w:rsidRPr="00D658F4" w:rsidRDefault="008C738F" w:rsidP="007E534A">
      <w:pPr>
        <w:pStyle w:val="CBDNormalNumber"/>
        <w:numPr>
          <w:ilvl w:val="2"/>
          <w:numId w:val="40"/>
        </w:numPr>
      </w:pPr>
      <w:r w:rsidRPr="00D658F4">
        <w:t>Conocimientos tradicionales: En relación con el uso de etiquetas bioculturales o similares en bases de datos públicas, hay que considerar la mejor forma de reconocer esos datos en futuras revisiones de la metodología.</w:t>
      </w:r>
    </w:p>
    <w:p w14:paraId="19F9AF33" w14:textId="77777777" w:rsidR="00B86085" w:rsidRPr="00D658F4" w:rsidRDefault="008C738F" w:rsidP="007E534A">
      <w:pPr>
        <w:pStyle w:val="CBDNormalNumber"/>
        <w:numPr>
          <w:ilvl w:val="1"/>
          <w:numId w:val="40"/>
        </w:numPr>
      </w:pPr>
      <w:r w:rsidRPr="00D658F4">
        <w:t>Evaluar el objetivo del criterio b) incluido en la metodología y considerar la posibilidad de captar el uso de secuencias digitales de datos genéticos en bases de datos públicas de un país en vez de la cantidad de datos procedentes del mismo país, entre otras formas, mediante información sobre patentes vinculadas al uso de información digital sobre secuencias de recursos genéticos;</w:t>
      </w:r>
    </w:p>
    <w:p w14:paraId="1AC2FDBD" w14:textId="2FEC9126" w:rsidR="00B86085" w:rsidRPr="00D658F4" w:rsidRDefault="008C738F" w:rsidP="007E534A">
      <w:pPr>
        <w:pStyle w:val="CBDNormalNumber"/>
        <w:numPr>
          <w:ilvl w:val="1"/>
          <w:numId w:val="40"/>
        </w:numPr>
      </w:pPr>
      <w:r w:rsidRPr="00D658F4">
        <w:t xml:space="preserve">Explorar formas de reconocer si el recurso genético del que proviene la información digital sobre secuencias proviene de mapas de las tierras o territorios </w:t>
      </w:r>
      <w:proofErr w:type="gramStart"/>
      <w:r w:rsidRPr="00D658F4">
        <w:t>de  pueblos</w:t>
      </w:r>
      <w:proofErr w:type="gramEnd"/>
      <w:r w:rsidRPr="00D658F4">
        <w:t xml:space="preserve"> indígenas y comunidades locales, con el objetivo de incluir diferentes escalas de mapas para diferentes especies, de acuerdo con los conocimientos tradicionales locales.</w:t>
      </w:r>
    </w:p>
    <w:p w14:paraId="458CF6B4" w14:textId="77777777" w:rsidR="00B86085" w:rsidRPr="00D658F4" w:rsidRDefault="005C1326" w:rsidP="007E534A">
      <w:pPr>
        <w:pStyle w:val="CBDNormalNumber"/>
      </w:pPr>
      <w:r w:rsidRPr="00D658F4">
        <w:t>Considerar la posible inclusión de datos procedentes de los conjuntos de datos de la plataforma LandMark para reconocer el vínculo entre los datos genéticos y la cultura.</w:t>
      </w:r>
    </w:p>
    <w:p w14:paraId="4BE13653" w14:textId="77777777" w:rsidR="00B86085" w:rsidRPr="00D658F4" w:rsidRDefault="008C738F" w:rsidP="007E534A">
      <w:pPr>
        <w:pStyle w:val="CBDNormalNumber"/>
      </w:pPr>
      <w:r w:rsidRPr="00D658F4">
        <w:lastRenderedPageBreak/>
        <w:t xml:space="preserve">Aclarar el criterio b) incluido en la lista indicativa que figura en el adjunto II del anexo de la decisión </w:t>
      </w:r>
      <w:hyperlink r:id="rId29" w:history="1">
        <w:r w:rsidRPr="00D658F4">
          <w:rPr>
            <w:rStyle w:val="Hyperlink"/>
          </w:rPr>
          <w:t>16/2</w:t>
        </w:r>
      </w:hyperlink>
      <w:r w:rsidRPr="00D658F4">
        <w:t xml:space="preserve">, sobre todo en lo que se refiere a identificar «la base de datos» mencionada en el párrafo b) del adjunto II. </w:t>
      </w:r>
    </w:p>
    <w:p w14:paraId="19EDED50" w14:textId="77777777" w:rsidR="00B86085" w:rsidRPr="00D658F4" w:rsidRDefault="00803AD9">
      <w:pPr>
        <w:pStyle w:val="Para1"/>
        <w:tabs>
          <w:tab w:val="clear" w:pos="567"/>
        </w:tabs>
        <w:jc w:val="left"/>
        <w:rPr>
          <w:b/>
          <w:bCs/>
        </w:rPr>
      </w:pPr>
      <w:r w:rsidRPr="00D658F4">
        <w:rPr>
          <w:b/>
        </w:rPr>
        <w:t>C.</w:t>
      </w:r>
      <w:r w:rsidRPr="00D658F4">
        <w:rPr>
          <w:b/>
        </w:rPr>
        <w:tab/>
        <w:t xml:space="preserve">Criterio c): necesidades de capacidad </w:t>
      </w:r>
    </w:p>
    <w:p w14:paraId="57B5E3C3" w14:textId="77777777" w:rsidR="00B86085" w:rsidRPr="00D658F4" w:rsidRDefault="008C738F" w:rsidP="007E534A">
      <w:pPr>
        <w:pStyle w:val="CBDNormalNumber"/>
      </w:pPr>
      <w:r w:rsidRPr="00D658F4">
        <w:t xml:space="preserve">La labor futura centrada en este criterio se basa en la discrepancia entre la capacidad económica de un país, tal como se evalúa actualmente en la escala de cuotas de las Naciones Unidas, y la capacidad de un país para conservar su diversidad biológica y utilizarla de forma sostenible, como se indica en la decisión </w:t>
      </w:r>
      <w:hyperlink r:id="rId30" w:history="1">
        <w:r w:rsidRPr="00D658F4">
          <w:rPr>
            <w:rStyle w:val="Hyperlink"/>
          </w:rPr>
          <w:t>16/2</w:t>
        </w:r>
      </w:hyperlink>
      <w:r w:rsidRPr="00D658F4">
        <w:t xml:space="preserve">. Por tanto, la labor futura a corto plazo debería centrarse en: </w:t>
      </w:r>
    </w:p>
    <w:p w14:paraId="77EF978A" w14:textId="77777777" w:rsidR="00B86085" w:rsidRPr="00D658F4" w:rsidRDefault="008C738F" w:rsidP="007E534A">
      <w:pPr>
        <w:pStyle w:val="CBDNormalNumber"/>
        <w:numPr>
          <w:ilvl w:val="1"/>
          <w:numId w:val="40"/>
        </w:numPr>
      </w:pPr>
      <w:r w:rsidRPr="00D658F4">
        <w:t xml:space="preserve">Los vínculos del criterio a) con el criterio b) y el criterio d), incluidos los efectos de las deficiencias de capacidad en la utilización de información digital sobre secuencias de recursos genéticos y en los beneficios derivados de esa utilización. </w:t>
      </w:r>
    </w:p>
    <w:p w14:paraId="3D9571F5" w14:textId="77777777" w:rsidR="00B86085" w:rsidRPr="00D658F4" w:rsidRDefault="008C738F" w:rsidP="007E534A">
      <w:pPr>
        <w:pStyle w:val="CBDNormalNumber"/>
        <w:numPr>
          <w:ilvl w:val="1"/>
          <w:numId w:val="40"/>
        </w:numPr>
      </w:pPr>
      <w:r w:rsidRPr="00D658F4">
        <w:t xml:space="preserve">Estudiar la aplicación de estrategias y planes de acción nacionales en materia de diversidad biológica y planes nacionales de desarrollo de la capacidad como fuente adaptada de datos sobre las necesidades de capacidad, observando las actuales incoherencias en cuanto a calidad y objetividad y la posibilidad de que se creen incentivos perversos. </w:t>
      </w:r>
    </w:p>
    <w:p w14:paraId="2941A257" w14:textId="77777777" w:rsidR="00B86085" w:rsidRPr="00D658F4" w:rsidRDefault="00E80611">
      <w:pPr>
        <w:pStyle w:val="Para1"/>
        <w:jc w:val="left"/>
        <w:rPr>
          <w:b/>
          <w:bCs/>
        </w:rPr>
      </w:pPr>
      <w:r w:rsidRPr="00D658F4">
        <w:rPr>
          <w:b/>
        </w:rPr>
        <w:t>D.</w:t>
      </w:r>
      <w:r w:rsidRPr="00D658F4">
        <w:rPr>
          <w:b/>
        </w:rPr>
        <w:tab/>
        <w:t xml:space="preserve">Criterio d): conocimientos tradicionales </w:t>
      </w:r>
    </w:p>
    <w:p w14:paraId="55FDB161" w14:textId="77777777" w:rsidR="00B86085" w:rsidRPr="00D658F4" w:rsidRDefault="008C738F" w:rsidP="007E534A">
      <w:pPr>
        <w:pStyle w:val="CBDNormalNumber"/>
      </w:pPr>
      <w:r w:rsidRPr="00D658F4">
        <w:t xml:space="preserve">El Grupo de Expertos ha incluido los cuatro indicadores de conocimientos tradicionales del marco de seguimiento para el Marco Mundial de Biodiversidad de Kunming-Montreal. Sin embargo, se ha considerado que solo el indicador 21.C.T.3, relativo a la diversidad lingüística, estaba disponible en todo el mundo y listo para utilizarlo. Por lo tanto, los tres indicadores restantes se incluirán a medida que se disponga de datos: </w:t>
      </w:r>
    </w:p>
    <w:p w14:paraId="008AC4E9" w14:textId="77777777" w:rsidR="00B86085" w:rsidRPr="00D658F4" w:rsidRDefault="00E463D5" w:rsidP="007E534A">
      <w:pPr>
        <w:pStyle w:val="CBDNormalNumber"/>
        <w:numPr>
          <w:ilvl w:val="1"/>
          <w:numId w:val="40"/>
        </w:numPr>
      </w:pPr>
      <w:bookmarkStart w:id="7" w:name="_Hlk239344658"/>
      <w:r w:rsidRPr="00D658F4">
        <w:t xml:space="preserve">Indicador </w:t>
      </w:r>
      <w:bookmarkEnd w:id="7"/>
      <w:r w:rsidRPr="00D658F4">
        <w:t>22.1 del cambio en el uso de la tierra y la tenencia de la tierra en los territorios tradicionales de los pueblos indígenas y las comunidades locales</w:t>
      </w:r>
    </w:p>
    <w:p w14:paraId="66B0DCFC" w14:textId="77777777" w:rsidR="00B86085" w:rsidRPr="00D658F4" w:rsidRDefault="00E463D5" w:rsidP="007E534A">
      <w:pPr>
        <w:pStyle w:val="CBDNormalNumber"/>
        <w:numPr>
          <w:ilvl w:val="1"/>
          <w:numId w:val="40"/>
        </w:numPr>
      </w:pPr>
      <w:r w:rsidRPr="00D658F4">
        <w:t>Indicador 9.2 del porcentaje de la población que trabaja en ocupaciones tradicionales.</w:t>
      </w:r>
    </w:p>
    <w:p w14:paraId="2A1A8E2F" w14:textId="77777777" w:rsidR="00B86085" w:rsidRPr="00D658F4" w:rsidRDefault="00E463D5" w:rsidP="007E534A">
      <w:pPr>
        <w:pStyle w:val="CBDNormalNumber"/>
        <w:numPr>
          <w:ilvl w:val="1"/>
          <w:numId w:val="40"/>
        </w:numPr>
      </w:pPr>
      <w:r w:rsidRPr="00D658F4">
        <w:t>Indicador 22.b de la participación y los derechos de los pueblos indígenas y las comunidades locales en la toma de decisiones.</w:t>
      </w:r>
    </w:p>
    <w:p w14:paraId="57CD6FD3" w14:textId="77777777" w:rsidR="00B86085" w:rsidRPr="00D658F4" w:rsidRDefault="009549D9" w:rsidP="007E534A">
      <w:pPr>
        <w:pStyle w:val="CBDNormalNumber"/>
      </w:pPr>
      <w:r w:rsidRPr="00D658F4">
        <w:t>Se recomienda que a medio plazo la labor incluya además lo siguiente:</w:t>
      </w:r>
    </w:p>
    <w:p w14:paraId="7F47C7D1" w14:textId="77777777" w:rsidR="00B86085" w:rsidRPr="00D658F4" w:rsidRDefault="009549D9" w:rsidP="007E534A">
      <w:pPr>
        <w:pStyle w:val="CBDNormalNumber"/>
        <w:numPr>
          <w:ilvl w:val="1"/>
          <w:numId w:val="40"/>
        </w:numPr>
      </w:pPr>
      <w:r w:rsidRPr="00D658F4">
        <w:t>Evaluar el indicador de diversidad lingüística, dada su naturaleza evolutiva;</w:t>
      </w:r>
    </w:p>
    <w:p w14:paraId="7FC998C7" w14:textId="77777777" w:rsidR="00B86085" w:rsidRPr="00D658F4" w:rsidRDefault="009549D9" w:rsidP="007E534A">
      <w:pPr>
        <w:pStyle w:val="CBDNormalNumber"/>
        <w:numPr>
          <w:ilvl w:val="1"/>
          <w:numId w:val="40"/>
        </w:numPr>
      </w:pPr>
      <w:r w:rsidRPr="00D658F4">
        <w:t>Estudiar la posibilidad de complementar el criterio d) con medidas de gobernanza tradicional y mecanismos de gobernanza indígena.</w:t>
      </w:r>
    </w:p>
    <w:p w14:paraId="73F7143C" w14:textId="77777777" w:rsidR="00B86085" w:rsidRPr="00D658F4" w:rsidRDefault="009549D9" w:rsidP="007E534A">
      <w:pPr>
        <w:pStyle w:val="CBDNormalNumber"/>
        <w:numPr>
          <w:ilvl w:val="1"/>
          <w:numId w:val="40"/>
        </w:numPr>
      </w:pPr>
      <w:r w:rsidRPr="00D658F4">
        <w:t xml:space="preserve">Explorar otras fuentes de datos relacionadas, entre otras cosas, con </w:t>
      </w:r>
      <w:bookmarkStart w:id="8" w:name="_Hlk239339617"/>
      <w:r w:rsidRPr="00D658F4">
        <w:t>la diversidad de conocimientos tradicionales</w:t>
      </w:r>
      <w:bookmarkEnd w:id="8"/>
      <w:r w:rsidRPr="00D658F4">
        <w:t xml:space="preserve">, el programa de trabajo hasta 2030 sobre el artículo 8 j) y otras disposiciones del Convenio relativas a los pueblos indígenas y las comunidades locales, el cambio en el uso de la tierra, la tenencia de la tierra en territorios tradicionales, la labor de la asociación entre la Organización de las Naciones Unidas para la Alimentación y la Agricultura y LandMark para trazar un mapa de las tierras indígenas y comunales, la labor de la Unión Internacional para la Conservación de la Naturaleza centrada en la integración de los conocimientos indígenas y locales en su </w:t>
      </w:r>
      <w:bookmarkStart w:id="9" w:name="_Hlk239340268"/>
      <w:r w:rsidRPr="00D658F4">
        <w:t xml:space="preserve">Lista Roja de Especies Amenazadas, </w:t>
      </w:r>
      <w:bookmarkEnd w:id="9"/>
      <w:r w:rsidRPr="00D658F4">
        <w:t>protocolos bioculturales, ciencia indígena y otros sistemas bioculturales de gobernanza consuetudinaria y enfoques basados en los derechos humanos.</w:t>
      </w:r>
    </w:p>
    <w:p w14:paraId="68D02B12" w14:textId="77777777" w:rsidR="00B86085" w:rsidRPr="00D658F4" w:rsidRDefault="00E80611">
      <w:pPr>
        <w:pStyle w:val="Para1"/>
        <w:jc w:val="left"/>
        <w:rPr>
          <w:b/>
          <w:bCs/>
        </w:rPr>
      </w:pPr>
      <w:r w:rsidRPr="00D658F4">
        <w:rPr>
          <w:b/>
        </w:rPr>
        <w:t>E.</w:t>
      </w:r>
      <w:r w:rsidRPr="00D658F4">
        <w:rPr>
          <w:b/>
        </w:rPr>
        <w:tab/>
        <w:t>Recomendaciones generales para la labor futura centrada en las fuentes de datos de los criterios</w:t>
      </w:r>
    </w:p>
    <w:p w14:paraId="15113353" w14:textId="77777777" w:rsidR="00B86085" w:rsidRPr="00D658F4" w:rsidRDefault="008C738F" w:rsidP="007E534A">
      <w:pPr>
        <w:pStyle w:val="CBDNormalNumber"/>
      </w:pPr>
      <w:r w:rsidRPr="00D658F4">
        <w:t>Algunas recomendaciones son aplicables a todos los criterios y deberían tenerse en cuenta en toda labor futura centrada en la metodología de asignación o en toda revisión de esta. Las recomendaciones son:</w:t>
      </w:r>
    </w:p>
    <w:p w14:paraId="4FEAAC33" w14:textId="77777777" w:rsidR="00B86085" w:rsidRPr="00D658F4" w:rsidRDefault="008C738F" w:rsidP="007E534A">
      <w:pPr>
        <w:pStyle w:val="CBDNormalNumber"/>
        <w:numPr>
          <w:ilvl w:val="1"/>
          <w:numId w:val="40"/>
        </w:numPr>
      </w:pPr>
      <w:r w:rsidRPr="00D658F4">
        <w:lastRenderedPageBreak/>
        <w:t>Revisar el peso de ponderación del criterio una vez que se disponga de datos nuevos o actualizados, como factor de la importancia del criterio o de la solidez de los datos.</w:t>
      </w:r>
    </w:p>
    <w:p w14:paraId="78DD1171" w14:textId="77777777" w:rsidR="00B86085" w:rsidRPr="00D658F4" w:rsidRDefault="008C738F" w:rsidP="007E534A">
      <w:pPr>
        <w:pStyle w:val="CBDNormalNumber"/>
        <w:numPr>
          <w:ilvl w:val="1"/>
          <w:numId w:val="40"/>
        </w:numPr>
      </w:pPr>
      <w:r w:rsidRPr="00D658F4">
        <w:t>Elaborar una normativa para la evaluación de la solidez de todos los criterios;</w:t>
      </w:r>
    </w:p>
    <w:p w14:paraId="53F311FD" w14:textId="77777777" w:rsidR="00B86085" w:rsidRPr="00D658F4" w:rsidRDefault="008C738F" w:rsidP="007E534A">
      <w:pPr>
        <w:pStyle w:val="CBDNormalNumber"/>
        <w:numPr>
          <w:ilvl w:val="1"/>
          <w:numId w:val="40"/>
        </w:numPr>
      </w:pPr>
      <w:r w:rsidRPr="00D658F4">
        <w:t xml:space="preserve">Analizar la sensibilidad de la fórmula para informar sobre lo siguiente: </w:t>
      </w:r>
    </w:p>
    <w:p w14:paraId="2F05ED27" w14:textId="77777777" w:rsidR="00B86085" w:rsidRPr="00D658F4" w:rsidRDefault="00FF2D03" w:rsidP="007E534A">
      <w:pPr>
        <w:pStyle w:val="CBDNormalNumber"/>
        <w:numPr>
          <w:ilvl w:val="2"/>
          <w:numId w:val="40"/>
        </w:numPr>
      </w:pPr>
      <w:r w:rsidRPr="00D658F4">
        <w:t>influencia de un parámetro en el resultado general;</w:t>
      </w:r>
    </w:p>
    <w:p w14:paraId="1167CDA2" w14:textId="77777777" w:rsidR="00B86085" w:rsidRPr="00D658F4" w:rsidRDefault="00FF2D03" w:rsidP="007E534A">
      <w:pPr>
        <w:pStyle w:val="CBDNormalNumber"/>
        <w:numPr>
          <w:ilvl w:val="2"/>
          <w:numId w:val="40"/>
        </w:numPr>
      </w:pPr>
      <w:r w:rsidRPr="00D658F4">
        <w:t>influencia de los pesos de ponderación en el resultado como forma de someter a prueba un criterio concreto.</w:t>
      </w:r>
    </w:p>
    <w:p w14:paraId="564878DF" w14:textId="77777777" w:rsidR="00B86085" w:rsidRPr="00D658F4" w:rsidRDefault="008C738F" w:rsidP="007E534A">
      <w:pPr>
        <w:pStyle w:val="CBDNormalNumber"/>
        <w:numPr>
          <w:ilvl w:val="1"/>
          <w:numId w:val="40"/>
        </w:numPr>
      </w:pPr>
      <w:r w:rsidRPr="00D658F4">
        <w:t xml:space="preserve">Considerar la gobernanza y la custodia de los datos para revelar posibles lagunas en las fuentes y deficiencias en la calidad de los datos, que a su vez deberían considerarse para las nuevas fuentes de datos. </w:t>
      </w:r>
    </w:p>
    <w:p w14:paraId="3551E59E" w14:textId="77777777" w:rsidR="00B86085" w:rsidRPr="00D658F4" w:rsidRDefault="008C738F" w:rsidP="007E534A">
      <w:pPr>
        <w:pStyle w:val="CBDNormalNumber"/>
      </w:pPr>
      <w:r w:rsidRPr="00D658F4">
        <w:t xml:space="preserve">El Grupo de Expertos propone que, cuando haya continuado la labor centrada en los criterios a), b) y d), como se señala en las presentes recomendaciones, se cree un índice de administración de la diversidad biológica que abarque los criterios mencionados, de manera que se pueda utilizar </w:t>
      </w:r>
      <w:proofErr w:type="gramStart"/>
      <w:r w:rsidRPr="00D658F4">
        <w:t>conjuntamente con</w:t>
      </w:r>
      <w:proofErr w:type="gramEnd"/>
      <w:r w:rsidRPr="00D658F4">
        <w:t xml:space="preserve"> la fórmula. </w:t>
      </w:r>
    </w:p>
    <w:p w14:paraId="21E2B9BD" w14:textId="77777777" w:rsidR="00B86085" w:rsidRPr="00D658F4" w:rsidRDefault="008C738F">
      <w:pPr>
        <w:pStyle w:val="Para1"/>
        <w:ind w:left="567"/>
        <w:jc w:val="center"/>
      </w:pPr>
      <w:r w:rsidRPr="00D658F4">
        <w:t>__________</w:t>
      </w:r>
    </w:p>
    <w:sectPr w:rsidR="00B86085" w:rsidRPr="00D658F4" w:rsidSect="00693147">
      <w:footnotePr>
        <w:numRestart w:val="eachSect"/>
      </w:footnotePr>
      <w:pgSz w:w="12240" w:h="15840"/>
      <w:pgMar w:top="567" w:right="1440" w:bottom="1134"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4F471" w14:textId="77777777" w:rsidR="00520A69" w:rsidRPr="00ED2A51" w:rsidRDefault="00520A69">
      <w:r w:rsidRPr="00ED2A51">
        <w:separator/>
      </w:r>
    </w:p>
  </w:endnote>
  <w:endnote w:type="continuationSeparator" w:id="0">
    <w:p w14:paraId="77DC3CA3" w14:textId="77777777" w:rsidR="00520A69" w:rsidRPr="00ED2A51" w:rsidRDefault="00520A69">
      <w:r w:rsidRPr="00ED2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3A267" w14:textId="77777777" w:rsidR="00B86085" w:rsidRPr="00ED2A51" w:rsidRDefault="008C738F">
    <w:pPr>
      <w:pStyle w:val="Footer"/>
      <w:tabs>
        <w:tab w:val="clear" w:pos="9360"/>
        <w:tab w:val="right" w:pos="9340"/>
      </w:tabs>
      <w:jc w:val="left"/>
    </w:pPr>
    <w:r w:rsidRPr="007E534A">
      <w:fldChar w:fldCharType="begin"/>
    </w:r>
    <w:r w:rsidRPr="007E534A">
      <w:instrText xml:space="preserve"> PAGE </w:instrText>
    </w:r>
    <w:r w:rsidRPr="007E534A">
      <w:fldChar w:fldCharType="separate"/>
    </w:r>
    <w:r w:rsidR="009D7C09" w:rsidRPr="007E534A">
      <w:t>2</w:t>
    </w:r>
    <w:r w:rsidRPr="007E534A">
      <w:fldChar w:fldCharType="end"/>
    </w:r>
    <w:r>
      <w:t>/</w:t>
    </w:r>
    <w:fldSimple w:instr=" NUMPAGES ">
      <w:r w:rsidR="009D7C09" w:rsidRPr="007E534A">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3174" w14:textId="77777777" w:rsidR="00B86085" w:rsidRPr="00ED2A51" w:rsidRDefault="008C738F" w:rsidP="007E534A">
    <w:pPr>
      <w:pStyle w:val="Footer"/>
      <w:tabs>
        <w:tab w:val="clear" w:pos="9360"/>
        <w:tab w:val="right" w:pos="9340"/>
      </w:tabs>
      <w:jc w:val="right"/>
    </w:pPr>
    <w:r w:rsidRPr="007E534A">
      <w:fldChar w:fldCharType="begin"/>
    </w:r>
    <w:r w:rsidRPr="007E534A">
      <w:instrText xml:space="preserve"> PAGE </w:instrText>
    </w:r>
    <w:r w:rsidRPr="007E534A">
      <w:fldChar w:fldCharType="separate"/>
    </w:r>
    <w:r w:rsidR="009D7C09" w:rsidRPr="007E534A">
      <w:t>1</w:t>
    </w:r>
    <w:r w:rsidRPr="007E534A">
      <w:fldChar w:fldCharType="end"/>
    </w:r>
    <w:r>
      <w:t>/</w:t>
    </w:r>
    <w:fldSimple w:instr=" NUMPAGES ">
      <w:r w:rsidR="009D7C09" w:rsidRPr="007E534A">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654B0" w14:textId="77777777" w:rsidR="00520A69" w:rsidRPr="00ED2A51" w:rsidRDefault="00520A69">
      <w:r w:rsidRPr="00ED2A51">
        <w:separator/>
      </w:r>
    </w:p>
  </w:footnote>
  <w:footnote w:type="continuationSeparator" w:id="0">
    <w:p w14:paraId="08C85522" w14:textId="77777777" w:rsidR="00520A69" w:rsidRPr="00ED2A51" w:rsidRDefault="00520A69">
      <w:r w:rsidRPr="00ED2A51">
        <w:continuationSeparator/>
      </w:r>
    </w:p>
  </w:footnote>
  <w:footnote w:type="continuationNotice" w:id="1">
    <w:p w14:paraId="4B699758" w14:textId="77777777" w:rsidR="00520A69" w:rsidRPr="00ED2A51" w:rsidRDefault="00520A69"/>
  </w:footnote>
  <w:footnote w:id="2">
    <w:p w14:paraId="3CEF4A0A" w14:textId="77777777" w:rsidR="00205266" w:rsidRPr="00ED2A51" w:rsidRDefault="00205266">
      <w:pPr>
        <w:pStyle w:val="FootnoteText"/>
      </w:pPr>
      <w:r>
        <w:rPr>
          <w:rStyle w:val="FootnoteReference"/>
        </w:rPr>
        <w:t>*</w:t>
      </w:r>
      <w:r>
        <w:t xml:space="preserve"> </w:t>
      </w:r>
      <w:hyperlink r:id="rId1" w:history="1">
        <w:r>
          <w:rPr>
            <w:rStyle w:val="Hyperlink"/>
          </w:rPr>
          <w:t>CBD/COP/17/1/Rev.1</w:t>
        </w:r>
      </w:hyperlink>
      <w:r>
        <w:t>.</w:t>
      </w:r>
    </w:p>
  </w:footnote>
  <w:footnote w:id="3">
    <w:p w14:paraId="42F83AF3" w14:textId="77777777" w:rsidR="00CB204A" w:rsidRPr="007E534A" w:rsidRDefault="00CB204A">
      <w:pPr>
        <w:pStyle w:val="FootnoteText"/>
      </w:pPr>
      <w:r>
        <w:rPr>
          <w:rStyle w:val="FootnoteReference"/>
        </w:rPr>
        <w:footnoteRef/>
      </w:r>
      <w:r>
        <w:t xml:space="preserve"> Originalmente la metodología de asignación se publicó sin revisión editorial en el anexo II del informe de la segunda reunión del Grupo de Expertos (</w:t>
      </w:r>
      <w:hyperlink r:id="rId2" w:history="1">
        <w:r>
          <w:rPr>
            <w:rStyle w:val="Hyperlink"/>
          </w:rPr>
          <w:t>CBD/DSI/AHTEG/2026/2/3</w:t>
        </w:r>
      </w:hyperlink>
      <w:r>
        <w:t>).</w:t>
      </w:r>
    </w:p>
  </w:footnote>
  <w:footnote w:id="4">
    <w:p w14:paraId="47FA4389" w14:textId="77777777" w:rsidR="00B86085" w:rsidRPr="00ED2A51" w:rsidRDefault="008C738F">
      <w:pPr>
        <w:pStyle w:val="FootnoteText"/>
      </w:pPr>
      <w:r>
        <w:rPr>
          <w:vertAlign w:val="superscript"/>
        </w:rPr>
        <w:footnoteRef/>
      </w:r>
      <w:r>
        <w:t xml:space="preserve"> </w:t>
      </w:r>
      <w:hyperlink r:id="rId3" w:history="1">
        <w:r>
          <w:rPr>
            <w:rStyle w:val="Hyperlink0"/>
            <w:rFonts w:eastAsia="SimSun"/>
          </w:rPr>
          <w:t>www.cbd.int/meetings/DSI-AHTEG-2026-01</w:t>
        </w:r>
      </w:hyperlink>
      <w:r>
        <w:t xml:space="preserve"> y </w:t>
      </w:r>
      <w:hyperlink r:id="rId4" w:history="1">
        <w:r>
          <w:rPr>
            <w:rStyle w:val="Hyperlink0"/>
            <w:rFonts w:eastAsia="SimSun"/>
          </w:rPr>
          <w:t>www.cbd.int/meetings/DSI-AHTEG-2026-02</w:t>
        </w:r>
      </w:hyperlink>
      <w:r>
        <w:t xml:space="preserve">. </w:t>
      </w:r>
    </w:p>
  </w:footnote>
  <w:footnote w:id="5">
    <w:p w14:paraId="66FDAEA4" w14:textId="07A01C1D" w:rsidR="00B86085" w:rsidRPr="00ED2A51" w:rsidRDefault="008C738F">
      <w:pPr>
        <w:pStyle w:val="FootnoteText"/>
        <w:jc w:val="both"/>
      </w:pPr>
      <w:r>
        <w:rPr>
          <w:b/>
          <w:bCs/>
          <w:vertAlign w:val="superscript"/>
        </w:rPr>
        <w:footnoteRef/>
      </w:r>
      <w:r>
        <w:t xml:space="preserve"> </w:t>
      </w:r>
      <w:r w:rsidR="009B550F">
        <w:t>Siendo</w:t>
      </w:r>
      <w:r>
        <w:t xml:space="preserve"> B = base de igualdad, w1 = peso uno, C</w:t>
      </w:r>
      <w:r>
        <w:rPr>
          <w:vertAlign w:val="subscript"/>
        </w:rPr>
        <w:t>A</w:t>
      </w:r>
      <w:r>
        <w:t xml:space="preserve"> = criterio a): </w:t>
      </w:r>
      <w:r w:rsidR="00627D5F" w:rsidRPr="00627D5F">
        <w:t>riqueza de diversidad biológica y otros criterios relacionados con la diversidad biológica</w:t>
      </w:r>
      <w:r>
        <w:t>, w2 = peso dos, C</w:t>
      </w:r>
      <w:r>
        <w:rPr>
          <w:vertAlign w:val="subscript"/>
        </w:rPr>
        <w:t>B</w:t>
      </w:r>
      <w:r>
        <w:t xml:space="preserve"> = criterio b): origen geográfico de los recursos genéticos, w3 = peso tres, C</w:t>
      </w:r>
      <w:r>
        <w:rPr>
          <w:vertAlign w:val="subscript"/>
        </w:rPr>
        <w:t>C</w:t>
      </w:r>
      <w:r>
        <w:t xml:space="preserve"> = criterio c): necesidades de capacidad para la conservación y la utilización sostenible de la diversidad biológica, w4 = peso  cuatro, y C</w:t>
      </w:r>
      <w:r>
        <w:rPr>
          <w:vertAlign w:val="subscript"/>
        </w:rPr>
        <w:t>D</w:t>
      </w:r>
      <w:r>
        <w:t xml:space="preserve"> = criterio d): medidas relacionadas con los conocimientos tradicionales y con los pueblos indígenas y las comunidades locales.</w:t>
      </w:r>
    </w:p>
  </w:footnote>
  <w:footnote w:id="6">
    <w:p w14:paraId="2D21BB8C" w14:textId="77777777" w:rsidR="00B86085" w:rsidRPr="00ED2A51" w:rsidRDefault="008C738F">
      <w:pPr>
        <w:pStyle w:val="FootnoteText"/>
      </w:pPr>
      <w:r>
        <w:rPr>
          <w:vertAlign w:val="superscript"/>
        </w:rPr>
        <w:footnoteRef/>
      </w:r>
      <w:r>
        <w:t xml:space="preserve"> Paul Oldham, «</w:t>
      </w:r>
      <w:proofErr w:type="spellStart"/>
      <w:r>
        <w:t>Inverted</w:t>
      </w:r>
      <w:proofErr w:type="spellEnd"/>
      <w:r>
        <w:t xml:space="preserve"> UN </w:t>
      </w:r>
      <w:proofErr w:type="spellStart"/>
      <w:r>
        <w:t>scale</w:t>
      </w:r>
      <w:proofErr w:type="spellEnd"/>
      <w:r>
        <w:t xml:space="preserve"> </w:t>
      </w:r>
      <w:proofErr w:type="spellStart"/>
      <w:r>
        <w:t>of</w:t>
      </w:r>
      <w:proofErr w:type="spellEnd"/>
      <w:r>
        <w:t xml:space="preserve"> </w:t>
      </w:r>
      <w:proofErr w:type="spellStart"/>
      <w:r>
        <w:t>assessments</w:t>
      </w:r>
      <w:proofErr w:type="spellEnd"/>
      <w:r>
        <w:t xml:space="preserve"> formula (IUSAF): </w:t>
      </w:r>
      <w:proofErr w:type="spellStart"/>
      <w:r>
        <w:t>working</w:t>
      </w:r>
      <w:proofErr w:type="spellEnd"/>
      <w:r>
        <w:t xml:space="preserve"> </w:t>
      </w:r>
      <w:proofErr w:type="spellStart"/>
      <w:r>
        <w:t>paper</w:t>
      </w:r>
      <w:proofErr w:type="spellEnd"/>
      <w:r>
        <w:t xml:space="preserve"> </w:t>
      </w:r>
      <w:proofErr w:type="spellStart"/>
      <w:r>
        <w:t>on</w:t>
      </w:r>
      <w:proofErr w:type="spellEnd"/>
      <w:r>
        <w:t xml:space="preserve"> </w:t>
      </w:r>
      <w:proofErr w:type="spellStart"/>
      <w:r>
        <w:t>option</w:t>
      </w:r>
      <w:proofErr w:type="spellEnd"/>
      <w:r>
        <w:t xml:space="preserve"> A», 7 de mayo de 2026. Disponible aquí: </w:t>
      </w:r>
      <w:hyperlink r:id="rId5" w:history="1">
        <w:r>
          <w:rPr>
            <w:rStyle w:val="Hyperlink0"/>
            <w:rFonts w:eastAsia="SimSun"/>
          </w:rPr>
          <w:t>https://ssrn.com/abstract=6809586</w:t>
        </w:r>
      </w:hyperlink>
      <w:r>
        <w:t>.</w:t>
      </w:r>
    </w:p>
  </w:footnote>
  <w:footnote w:id="7">
    <w:p w14:paraId="0224A7E7" w14:textId="749A0844" w:rsidR="00B86085" w:rsidRPr="00ED2A51" w:rsidRDefault="008C738F">
      <w:pPr>
        <w:pStyle w:val="FootnoteText"/>
      </w:pPr>
      <w:r>
        <w:rPr>
          <w:vertAlign w:val="superscript"/>
        </w:rPr>
        <w:footnoteRef/>
      </w:r>
      <w:r>
        <w:t xml:space="preserve"> O bien B = F/2 (N+0,25M), </w:t>
      </w:r>
      <w:r w:rsidR="009B550F">
        <w:t>siendo</w:t>
      </w:r>
      <w:r>
        <w:t xml:space="preserve"> F el total de los fondos disponibles, N es el número total de Partes que son países receptores y M es el de los países menos adelantados y los pequeños Estados insulares en desarrollo.</w:t>
      </w:r>
    </w:p>
  </w:footnote>
  <w:footnote w:id="8">
    <w:p w14:paraId="534A0BAE" w14:textId="0BF36513" w:rsidR="00B86085" w:rsidRPr="00ED2A51" w:rsidRDefault="008C738F">
      <w:pPr>
        <w:pStyle w:val="FootnoteText"/>
      </w:pPr>
      <w:r>
        <w:rPr>
          <w:vertAlign w:val="superscript"/>
        </w:rPr>
        <w:footnoteRef/>
      </w:r>
      <w:r>
        <w:t xml:space="preserve"> O bien B = F/2N, </w:t>
      </w:r>
      <w:r w:rsidR="009B550F">
        <w:t>siendo</w:t>
      </w:r>
      <w:r>
        <w:t xml:space="preserve"> F el total de los fondos disponibles y N es el número total de Partes que son países receptores.</w:t>
      </w:r>
    </w:p>
  </w:footnote>
  <w:footnote w:id="9">
    <w:p w14:paraId="5AAEE5FB" w14:textId="77777777" w:rsidR="00B86085" w:rsidRPr="00ED2A51" w:rsidRDefault="008C738F">
      <w:pPr>
        <w:pStyle w:val="FootnoteText"/>
      </w:pPr>
      <w:r>
        <w:rPr>
          <w:vertAlign w:val="superscript"/>
        </w:rPr>
        <w:footnoteRef/>
      </w:r>
      <w:r>
        <w:t xml:space="preserve"> Actualmente el indicador 22.1 del cambio en el uso de la tierra y la tenencia de la tierra en los territorios tradicionales de los pueblos indígenas y las comunidades locales, el 9.2 del porcentaje de la población en ocupaciones tradicionales, y el 22.b de la participación y los derechos de los pueblos indígenas y las comunidades locales en la toma de decisiones son marcadores de posición y sus datos de origen se incluirán a medida que se disponga de ellos. Todos los subcomponentes se ponderan por igual.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39ED" w14:textId="77777777" w:rsidR="00B86085" w:rsidRPr="00ED2A51" w:rsidRDefault="008C738F">
    <w:pPr>
      <w:pStyle w:val="Header"/>
      <w:tabs>
        <w:tab w:val="clear" w:pos="9360"/>
        <w:tab w:val="right" w:pos="9340"/>
      </w:tabs>
      <w:spacing w:after="240"/>
    </w:pPr>
    <w:r>
      <w:t>CBD/COP/17/6/Add.2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4DB1" w14:textId="77777777" w:rsidR="00B86085" w:rsidRPr="00ED2A51" w:rsidRDefault="008C738F">
    <w:pPr>
      <w:pStyle w:val="Header"/>
      <w:tabs>
        <w:tab w:val="clear" w:pos="9360"/>
        <w:tab w:val="right" w:pos="9340"/>
      </w:tabs>
      <w:spacing w:after="240"/>
      <w:jc w:val="right"/>
    </w:pPr>
    <w:r>
      <w:t>CBD/COP/17/6/Add.2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8FC2" w14:textId="77777777" w:rsidR="00DB5210" w:rsidRPr="00DB5210" w:rsidRDefault="00DB5210" w:rsidP="00DB52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86121"/>
    <w:multiLevelType w:val="hybridMultilevel"/>
    <w:tmpl w:val="184C8028"/>
    <w:styleLink w:val="ImportedStyle2"/>
    <w:lvl w:ilvl="0" w:tplc="E09C402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B388DE6">
      <w:start w:val="1"/>
      <w:numFmt w:val="lowerLetter"/>
      <w:lvlText w:val="(%2)"/>
      <w:lvlJc w:val="left"/>
      <w:pPr>
        <w:tabs>
          <w:tab w:val="left" w:pos="360"/>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7E84ED2">
      <w:start w:val="1"/>
      <w:numFmt w:val="lowerRoman"/>
      <w:lvlText w:val="(%3)"/>
      <w:lvlJc w:val="left"/>
      <w:pPr>
        <w:tabs>
          <w:tab w:val="left" w:pos="360"/>
          <w:tab w:val="left" w:pos="567"/>
          <w:tab w:val="left" w:pos="1134"/>
          <w:tab w:val="left" w:pos="1440"/>
          <w:tab w:val="left" w:pos="1701"/>
        </w:tabs>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4406566">
      <w:start w:val="1"/>
      <w:numFmt w:val="decimal"/>
      <w:lvlText w:val="(%4)"/>
      <w:lvlJc w:val="left"/>
      <w:pPr>
        <w:tabs>
          <w:tab w:val="left" w:pos="360"/>
          <w:tab w:val="left" w:pos="567"/>
          <w:tab w:val="left" w:pos="1134"/>
          <w:tab w:val="left" w:pos="1440"/>
          <w:tab w:val="left" w:pos="1701"/>
          <w:tab w:val="left" w:pos="2268"/>
        </w:tabs>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2DCE9F4">
      <w:start w:val="1"/>
      <w:numFmt w:val="lowerLetter"/>
      <w:lvlText w:val="(%5)"/>
      <w:lvlJc w:val="left"/>
      <w:pPr>
        <w:tabs>
          <w:tab w:val="left" w:pos="360"/>
          <w:tab w:val="left" w:pos="567"/>
          <w:tab w:val="left" w:pos="1134"/>
          <w:tab w:val="left" w:pos="1440"/>
          <w:tab w:val="left" w:pos="1701"/>
          <w:tab w:val="left" w:pos="2268"/>
        </w:tabs>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FD2E192">
      <w:start w:val="1"/>
      <w:numFmt w:val="lowerRoman"/>
      <w:lvlText w:val="(%6)"/>
      <w:lvlJc w:val="left"/>
      <w:pPr>
        <w:tabs>
          <w:tab w:val="left" w:pos="360"/>
          <w:tab w:val="left" w:pos="567"/>
          <w:tab w:val="left" w:pos="1134"/>
          <w:tab w:val="left" w:pos="1440"/>
          <w:tab w:val="left" w:pos="1701"/>
          <w:tab w:val="left" w:pos="2268"/>
        </w:tabs>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2989A0E">
      <w:start w:val="1"/>
      <w:numFmt w:val="decimal"/>
      <w:lvlText w:val="%7."/>
      <w:lvlJc w:val="left"/>
      <w:pPr>
        <w:tabs>
          <w:tab w:val="left" w:pos="360"/>
          <w:tab w:val="left" w:pos="567"/>
          <w:tab w:val="left" w:pos="1134"/>
          <w:tab w:val="left" w:pos="1440"/>
          <w:tab w:val="left" w:pos="1701"/>
          <w:tab w:val="left" w:pos="2268"/>
        </w:tabs>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786BBB2">
      <w:start w:val="1"/>
      <w:numFmt w:val="lowerLetter"/>
      <w:lvlText w:val="%8."/>
      <w:lvlJc w:val="left"/>
      <w:pPr>
        <w:tabs>
          <w:tab w:val="left" w:pos="360"/>
          <w:tab w:val="left" w:pos="567"/>
          <w:tab w:val="left" w:pos="1134"/>
          <w:tab w:val="left" w:pos="1440"/>
          <w:tab w:val="left" w:pos="1701"/>
          <w:tab w:val="left" w:pos="2268"/>
        </w:tabs>
        <w:ind w:left="35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964F5C8">
      <w:start w:val="1"/>
      <w:numFmt w:val="lowerRoman"/>
      <w:lvlText w:val="%9."/>
      <w:lvlJc w:val="left"/>
      <w:pPr>
        <w:tabs>
          <w:tab w:val="left" w:pos="360"/>
          <w:tab w:val="left" w:pos="567"/>
          <w:tab w:val="left" w:pos="1134"/>
          <w:tab w:val="left" w:pos="1440"/>
          <w:tab w:val="left" w:pos="1701"/>
          <w:tab w:val="left" w:pos="2268"/>
        </w:tabs>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B094CA1"/>
    <w:multiLevelType w:val="hybridMultilevel"/>
    <w:tmpl w:val="006A3DEA"/>
    <w:styleLink w:val="ImportedStyle3"/>
    <w:lvl w:ilvl="0" w:tplc="AE5A3C08">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B5A8A2C">
      <w:start w:val="1"/>
      <w:numFmt w:val="lowerLetter"/>
      <w:lvlText w:val="(%2)"/>
      <w:lvlJc w:val="left"/>
      <w:pPr>
        <w:ind w:left="414" w:hanging="4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72633EC">
      <w:start w:val="1"/>
      <w:numFmt w:val="lowerRoman"/>
      <w:suff w:val="nothing"/>
      <w:lvlText w:val="(%3)"/>
      <w:lvlJc w:val="left"/>
      <w:pPr>
        <w:ind w:left="1134" w:hanging="1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F028CBE">
      <w:start w:val="1"/>
      <w:numFmt w:val="lowerRoman"/>
      <w:suff w:val="nothing"/>
      <w:lvlText w:val="(%4)"/>
      <w:lvlJc w:val="left"/>
      <w:pPr>
        <w:ind w:left="1418" w:hanging="2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B40D6F2">
      <w:start w:val="1"/>
      <w:numFmt w:val="lowerLetter"/>
      <w:suff w:val="nothing"/>
      <w:lvlText w:val="(%5)"/>
      <w:lvlJc w:val="left"/>
      <w:pPr>
        <w:ind w:left="1701" w:hanging="26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BA6EFC8">
      <w:start w:val="1"/>
      <w:numFmt w:val="lowerRoman"/>
      <w:lvlText w:val="(%6)"/>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23E26B0">
      <w:start w:val="1"/>
      <w:numFmt w:val="decimal"/>
      <w:lvlText w:val="%7."/>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77E075A">
      <w:start w:val="1"/>
      <w:numFmt w:val="lowerLetter"/>
      <w:lvlText w:val="%8."/>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3B6DD30">
      <w:start w:val="1"/>
      <w:numFmt w:val="lowerRoman"/>
      <w:lvlText w:val="%9."/>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B144EF7"/>
    <w:multiLevelType w:val="hybridMultilevel"/>
    <w:tmpl w:val="07D269C8"/>
    <w:numStyleLink w:val="CBDHeadings"/>
  </w:abstractNum>
  <w:abstractNum w:abstractNumId="3" w15:restartNumberingAfterBreak="0">
    <w:nsid w:val="3A80002A"/>
    <w:multiLevelType w:val="hybridMultilevel"/>
    <w:tmpl w:val="006A3DEA"/>
    <w:numStyleLink w:val="ImportedStyle3"/>
  </w:abstractNum>
  <w:abstractNum w:abstractNumId="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D943BEE"/>
    <w:multiLevelType w:val="multilevel"/>
    <w:tmpl w:val="B0B4557C"/>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rFonts w:hint="default"/>
      </w:rPr>
    </w:lvl>
    <w:lvl w:ilvl="2">
      <w:start w:val="1"/>
      <w:numFmt w:val="lowerRoman"/>
      <w:lvlText w:val="%3)"/>
      <w:lvlJc w:val="left"/>
      <w:pPr>
        <w:ind w:left="2061" w:hanging="360"/>
      </w:pPr>
      <w:rPr>
        <w:rFonts w:hint="default"/>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63D5E40"/>
    <w:multiLevelType w:val="hybridMultilevel"/>
    <w:tmpl w:val="184C8028"/>
    <w:numStyleLink w:val="ImportedStyle2"/>
  </w:abstractNum>
  <w:num w:numId="1" w16cid:durableId="1488322879">
    <w:abstractNumId w:val="0"/>
  </w:num>
  <w:num w:numId="2" w16cid:durableId="585724900">
    <w:abstractNumId w:val="8"/>
  </w:num>
  <w:num w:numId="3" w16cid:durableId="1517503357">
    <w:abstractNumId w:val="2"/>
  </w:num>
  <w:num w:numId="4" w16cid:durableId="1495073504">
    <w:abstractNumId w:val="1"/>
  </w:num>
  <w:num w:numId="5" w16cid:durableId="1654215544">
    <w:abstractNumId w:val="3"/>
  </w:num>
  <w:num w:numId="6" w16cid:durableId="1646397789">
    <w:abstractNumId w:val="3"/>
    <w:lvlOverride w:ilvl="0">
      <w:startOverride w:val="3"/>
    </w:lvlOverride>
  </w:num>
  <w:num w:numId="7" w16cid:durableId="533494761">
    <w:abstractNumId w:val="2"/>
    <w:lvlOverride w:ilvl="2">
      <w:startOverride w:val="2"/>
    </w:lvlOverride>
  </w:num>
  <w:num w:numId="8" w16cid:durableId="1551652753">
    <w:abstractNumId w:val="8"/>
    <w:lvlOverride w:ilvl="0">
      <w:startOverride w:val="4"/>
    </w:lvlOverride>
  </w:num>
  <w:num w:numId="9" w16cid:durableId="193856578">
    <w:abstractNumId w:val="2"/>
    <w:lvlOverride w:ilvl="2">
      <w:startOverride w:val="3"/>
    </w:lvlOverride>
  </w:num>
  <w:num w:numId="10" w16cid:durableId="207882877">
    <w:abstractNumId w:val="8"/>
    <w:lvlOverride w:ilvl="0">
      <w:startOverride w:val="5"/>
    </w:lvlOverride>
  </w:num>
  <w:num w:numId="11" w16cid:durableId="230308839">
    <w:abstractNumId w:val="2"/>
    <w:lvlOverride w:ilvl="2">
      <w:startOverride w:val="4"/>
    </w:lvlOverride>
  </w:num>
  <w:num w:numId="12" w16cid:durableId="1799058983">
    <w:abstractNumId w:val="8"/>
    <w:lvlOverride w:ilvl="0">
      <w:startOverride w:val="6"/>
    </w:lvlOverride>
  </w:num>
  <w:num w:numId="13" w16cid:durableId="1979191205">
    <w:abstractNumId w:val="2"/>
    <w:lvlOverride w:ilvl="1">
      <w:startOverride w:val="2"/>
    </w:lvlOverride>
  </w:num>
  <w:num w:numId="14" w16cid:durableId="995568543">
    <w:abstractNumId w:val="8"/>
    <w:lvlOverride w:ilvl="0">
      <w:startOverride w:val="7"/>
    </w:lvlOverride>
  </w:num>
  <w:num w:numId="15" w16cid:durableId="1540775433">
    <w:abstractNumId w:val="3"/>
    <w:lvlOverride w:ilvl="0">
      <w:startOverride w:val="5"/>
      <w:lvl w:ilvl="0" w:tplc="13BC5A22">
        <w:start w:val="5"/>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83A5DF2">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5F8C95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A8E2E1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9ACCADE">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722C4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D0C83E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9A4F8E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4063ECA">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446119666">
    <w:abstractNumId w:val="8"/>
    <w:lvlOverride w:ilvl="0">
      <w:startOverride w:val="9"/>
    </w:lvlOverride>
  </w:num>
  <w:num w:numId="17" w16cid:durableId="1315181165">
    <w:abstractNumId w:val="8"/>
    <w:lvlOverride w:ilvl="0">
      <w:lvl w:ilvl="0" w:tplc="A8149DF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13B8C642">
        <w:start w:val="1"/>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FB03C9E">
        <w:start w:val="1"/>
        <w:numFmt w:val="lowerRoman"/>
        <w:lvlText w:val="(%3)"/>
        <w:lvlJc w:val="left"/>
        <w:pPr>
          <w:tabs>
            <w:tab w:val="left" w:pos="360"/>
            <w:tab w:val="left" w:pos="567"/>
            <w:tab w:val="left" w:pos="1134"/>
            <w:tab w:val="left" w:pos="1440"/>
            <w:tab w:val="left" w:pos="1701"/>
            <w:tab w:val="num" w:pos="2268"/>
          </w:tabs>
          <w:ind w:left="2535"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29E83CC">
        <w:start w:val="1"/>
        <w:numFmt w:val="decimal"/>
        <w:lvlText w:val="(%4)"/>
        <w:lvlJc w:val="left"/>
        <w:pPr>
          <w:tabs>
            <w:tab w:val="left" w:pos="360"/>
            <w:tab w:val="left" w:pos="567"/>
            <w:tab w:val="left" w:pos="1134"/>
            <w:tab w:val="left" w:pos="1440"/>
            <w:tab w:val="left" w:pos="1701"/>
            <w:tab w:val="left" w:pos="2268"/>
            <w:tab w:val="num" w:pos="2835"/>
          </w:tabs>
          <w:ind w:left="3102"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7E6C2C8">
        <w:start w:val="1"/>
        <w:numFmt w:val="lowerLetter"/>
        <w:lvlText w:val="(%5)"/>
        <w:lvlJc w:val="left"/>
        <w:pPr>
          <w:tabs>
            <w:tab w:val="left" w:pos="360"/>
            <w:tab w:val="left" w:pos="567"/>
            <w:tab w:val="left" w:pos="1134"/>
            <w:tab w:val="left" w:pos="1440"/>
            <w:tab w:val="left" w:pos="1701"/>
            <w:tab w:val="left" w:pos="2268"/>
            <w:tab w:val="num" w:pos="3402"/>
          </w:tabs>
          <w:ind w:left="3669"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0DE2336">
        <w:start w:val="1"/>
        <w:numFmt w:val="lowerRoman"/>
        <w:lvlText w:val="(%6)"/>
        <w:lvlJc w:val="left"/>
        <w:pPr>
          <w:tabs>
            <w:tab w:val="left" w:pos="360"/>
            <w:tab w:val="left" w:pos="567"/>
            <w:tab w:val="left" w:pos="1134"/>
            <w:tab w:val="left" w:pos="1440"/>
            <w:tab w:val="left" w:pos="1701"/>
            <w:tab w:val="left" w:pos="2268"/>
            <w:tab w:val="num" w:pos="2826"/>
          </w:tabs>
          <w:ind w:left="309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86EEBE4">
        <w:start w:val="1"/>
        <w:numFmt w:val="decimal"/>
        <w:lvlText w:val="%7."/>
        <w:lvlJc w:val="left"/>
        <w:pPr>
          <w:tabs>
            <w:tab w:val="left" w:pos="360"/>
            <w:tab w:val="left" w:pos="567"/>
            <w:tab w:val="left" w:pos="1134"/>
            <w:tab w:val="left" w:pos="1440"/>
            <w:tab w:val="left" w:pos="1701"/>
            <w:tab w:val="left" w:pos="2268"/>
            <w:tab w:val="num" w:pos="3186"/>
          </w:tabs>
          <w:ind w:left="345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D40F23E">
        <w:start w:val="1"/>
        <w:numFmt w:val="lowerLetter"/>
        <w:lvlText w:val="%8."/>
        <w:lvlJc w:val="left"/>
        <w:pPr>
          <w:tabs>
            <w:tab w:val="left" w:pos="360"/>
            <w:tab w:val="left" w:pos="567"/>
            <w:tab w:val="left" w:pos="1134"/>
            <w:tab w:val="left" w:pos="1440"/>
            <w:tab w:val="left" w:pos="1701"/>
            <w:tab w:val="left" w:pos="2268"/>
            <w:tab w:val="num" w:pos="3546"/>
          </w:tabs>
          <w:ind w:left="381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5185D1E">
        <w:start w:val="1"/>
        <w:numFmt w:val="lowerRoman"/>
        <w:lvlText w:val="%9."/>
        <w:lvlJc w:val="left"/>
        <w:pPr>
          <w:tabs>
            <w:tab w:val="left" w:pos="360"/>
            <w:tab w:val="left" w:pos="567"/>
            <w:tab w:val="left" w:pos="1134"/>
            <w:tab w:val="left" w:pos="1440"/>
            <w:tab w:val="left" w:pos="1701"/>
            <w:tab w:val="left" w:pos="2268"/>
            <w:tab w:val="num" w:pos="3906"/>
          </w:tabs>
          <w:ind w:left="417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16cid:durableId="2111385732">
    <w:abstractNumId w:val="8"/>
    <w:lvlOverride w:ilvl="1">
      <w:startOverride w:val="4"/>
    </w:lvlOverride>
  </w:num>
  <w:num w:numId="19" w16cid:durableId="1761439175">
    <w:abstractNumId w:val="8"/>
    <w:lvlOverride w:ilvl="0">
      <w:lvl w:ilvl="0" w:tplc="A8149DF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13B8C642">
        <w:start w:val="1"/>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FB03C9E">
        <w:start w:val="1"/>
        <w:numFmt w:val="lowerRoman"/>
        <w:lvlText w:val="(%3)"/>
        <w:lvlJc w:val="left"/>
        <w:pPr>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29E83CC">
        <w:start w:val="1"/>
        <w:numFmt w:val="decimal"/>
        <w:lvlText w:val="(%4)"/>
        <w:lvlJc w:val="left"/>
        <w:pPr>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7E6C2C8">
        <w:start w:val="1"/>
        <w:numFmt w:val="lowerLetter"/>
        <w:lvlText w:val="(%5)"/>
        <w:lvlJc w:val="left"/>
        <w:pPr>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0DE2336">
        <w:start w:val="1"/>
        <w:numFmt w:val="lowerRoman"/>
        <w:lvlText w:val="(%6)"/>
        <w:lvlJc w:val="left"/>
        <w:pPr>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86EEBE4">
        <w:start w:val="1"/>
        <w:numFmt w:val="decimal"/>
        <w:lvlText w:val="%7."/>
        <w:lvlJc w:val="left"/>
        <w:pPr>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D40F23E">
        <w:start w:val="1"/>
        <w:numFmt w:val="lowerLetter"/>
        <w:lvlText w:val="%8."/>
        <w:lvlJc w:val="left"/>
        <w:pPr>
          <w:ind w:left="3402"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5185D1E">
        <w:start w:val="1"/>
        <w:numFmt w:val="lowerRoman"/>
        <w:lvlText w:val="%9."/>
        <w:lvlJc w:val="left"/>
        <w:pPr>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16cid:durableId="702903576">
    <w:abstractNumId w:val="3"/>
    <w:lvlOverride w:ilvl="0">
      <w:startOverride w:val="6"/>
      <w:lvl w:ilvl="0" w:tplc="13BC5A22">
        <w:start w:val="6"/>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83A5DF2">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5F8C95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A8E2E1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9ACCADE">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722C4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D0C83E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9A4F8E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4063ECA">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553781912">
    <w:abstractNumId w:val="8"/>
    <w:lvlOverride w:ilvl="1">
      <w:startOverride w:val="1"/>
    </w:lvlOverride>
  </w:num>
  <w:num w:numId="22" w16cid:durableId="946431484">
    <w:abstractNumId w:val="2"/>
    <w:lvlOverride w:ilvl="1">
      <w:startOverride w:val="3"/>
    </w:lvlOverride>
  </w:num>
  <w:num w:numId="23" w16cid:durableId="7678862">
    <w:abstractNumId w:val="3"/>
    <w:lvlOverride w:ilvl="0">
      <w:startOverride w:val="8"/>
      <w:lvl w:ilvl="0" w:tplc="13BC5A22">
        <w:start w:val="8"/>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83A5DF2">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5F8C95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A8E2E1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9ACCADE">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722C4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D0C83E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9A4F8E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4063ECA">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16cid:durableId="1351760190">
    <w:abstractNumId w:val="3"/>
    <w:lvlOverride w:ilvl="0">
      <w:startOverride w:val="10"/>
      <w:lvl w:ilvl="0" w:tplc="13BC5A22">
        <w:start w:val="10"/>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83A5DF2">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5F8C95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A8E2E1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9ACCADE">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722C4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D0C83E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9A4F8E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4063ECA">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499471241">
    <w:abstractNumId w:val="8"/>
    <w:lvlOverride w:ilvl="1">
      <w:startOverride w:val="1"/>
    </w:lvlOverride>
  </w:num>
  <w:num w:numId="26" w16cid:durableId="24183111">
    <w:abstractNumId w:val="3"/>
    <w:lvlOverride w:ilvl="0">
      <w:startOverride w:val="12"/>
      <w:lvl w:ilvl="0" w:tplc="13BC5A22">
        <w:start w:val="12"/>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83A5DF2">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5F8C95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A8E2E1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9ACCADE">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722C4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D0C83E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9A4F8E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4063ECA">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16cid:durableId="256862819">
    <w:abstractNumId w:val="8"/>
    <w:lvlOverride w:ilvl="1">
      <w:startOverride w:val="1"/>
    </w:lvlOverride>
  </w:num>
  <w:num w:numId="28" w16cid:durableId="1210073928">
    <w:abstractNumId w:val="3"/>
    <w:lvlOverride w:ilvl="0">
      <w:startOverride w:val="13"/>
      <w:lvl w:ilvl="0" w:tplc="13BC5A22">
        <w:start w:val="13"/>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83A5DF2">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5F8C95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A8E2E1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9ACCADE">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722C4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D0C83E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9A4F8E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4063ECA">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9" w16cid:durableId="218713351">
    <w:abstractNumId w:val="8"/>
    <w:lvlOverride w:ilvl="1">
      <w:startOverride w:val="6"/>
    </w:lvlOverride>
  </w:num>
  <w:num w:numId="30" w16cid:durableId="1512138108">
    <w:abstractNumId w:val="3"/>
    <w:lvlOverride w:ilvl="0">
      <w:startOverride w:val="16"/>
      <w:lvl w:ilvl="0" w:tplc="13BC5A22">
        <w:start w:val="16"/>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83A5DF2">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5F8C95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A8E2E1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9ACCADE">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722C4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D0C83E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9A4F8E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4063ECA">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1" w16cid:durableId="1195581069">
    <w:abstractNumId w:val="3"/>
    <w:lvlOverride w:ilvl="0">
      <w:lvl w:ilvl="0" w:tplc="13BC5A22">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83A5DF2">
        <w:start w:val="1"/>
        <w:numFmt w:val="lowerLetter"/>
        <w:suff w:val="nothing"/>
        <w:lvlText w:val="(%2)"/>
        <w:lvlJc w:val="left"/>
        <w:pPr>
          <w:ind w:left="567" w:firstLine="4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5F8C958">
        <w:start w:val="1"/>
        <w:numFmt w:val="lowerRoman"/>
        <w:suff w:val="nothing"/>
        <w:lvlText w:val="(%3)"/>
        <w:lvlJc w:val="left"/>
        <w:pPr>
          <w:ind w:left="1701" w:firstLine="40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A8E2E1C">
        <w:start w:val="1"/>
        <w:numFmt w:val="lowerRoman"/>
        <w:suff w:val="nothing"/>
        <w:lvlText w:val="(%4)"/>
        <w:lvlJc w:val="left"/>
        <w:pPr>
          <w:ind w:left="1985" w:firstLine="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9ACCADE">
        <w:start w:val="1"/>
        <w:numFmt w:val="lowerLetter"/>
        <w:suff w:val="nothing"/>
        <w:lvlText w:val="(%5)"/>
        <w:lvlJc w:val="left"/>
        <w:pPr>
          <w:ind w:left="2268"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4722C46">
        <w:start w:val="1"/>
        <w:numFmt w:val="lowerRoman"/>
        <w:lvlText w:val="(%6)"/>
        <w:lvlJc w:val="left"/>
        <w:pPr>
          <w:tabs>
            <w:tab w:val="num" w:pos="3294"/>
          </w:tabs>
          <w:ind w:left="272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D0C83EA">
        <w:start w:val="1"/>
        <w:numFmt w:val="decimal"/>
        <w:lvlText w:val="%7."/>
        <w:lvlJc w:val="left"/>
        <w:pPr>
          <w:tabs>
            <w:tab w:val="num" w:pos="3654"/>
          </w:tabs>
          <w:ind w:left="308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9A4F8E6">
        <w:start w:val="1"/>
        <w:numFmt w:val="lowerLetter"/>
        <w:lvlText w:val="%8."/>
        <w:lvlJc w:val="left"/>
        <w:pPr>
          <w:tabs>
            <w:tab w:val="num" w:pos="4014"/>
          </w:tabs>
          <w:ind w:left="344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4063ECA">
        <w:start w:val="1"/>
        <w:numFmt w:val="lowerRoman"/>
        <w:lvlText w:val="%9."/>
        <w:lvlJc w:val="left"/>
        <w:pPr>
          <w:tabs>
            <w:tab w:val="num" w:pos="4374"/>
          </w:tabs>
          <w:ind w:left="380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2" w16cid:durableId="676928466">
    <w:abstractNumId w:val="8"/>
    <w:lvlOverride w:ilvl="1">
      <w:startOverride w:val="11"/>
    </w:lvlOverride>
  </w:num>
  <w:num w:numId="33" w16cid:durableId="2003511359">
    <w:abstractNumId w:val="3"/>
    <w:lvlOverride w:ilvl="0">
      <w:startOverride w:val="20"/>
      <w:lvl w:ilvl="0" w:tplc="13BC5A22">
        <w:start w:val="20"/>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83A5DF2">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5F8C95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A8E2E1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9ACCADE">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722C4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D0C83E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9A4F8E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4063ECA">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16cid:durableId="510610724">
    <w:abstractNumId w:val="8"/>
    <w:lvlOverride w:ilvl="1">
      <w:startOverride w:val="13"/>
    </w:lvlOverride>
  </w:num>
  <w:num w:numId="35" w16cid:durableId="125317686">
    <w:abstractNumId w:val="3"/>
    <w:lvlOverride w:ilvl="0">
      <w:startOverride w:val="22"/>
      <w:lvl w:ilvl="0" w:tplc="13BC5A22">
        <w:start w:val="22"/>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83A5DF2">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5F8C95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A8E2E1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9ACCADE">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722C4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D0C83E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9A4F8E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4063ECA">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16cid:durableId="1607154146">
    <w:abstractNumId w:val="8"/>
    <w:lvlOverride w:ilvl="1">
      <w:startOverride w:val="4"/>
    </w:lvlOverride>
  </w:num>
  <w:num w:numId="37" w16cid:durableId="410733208">
    <w:abstractNumId w:val="3"/>
    <w:lvlOverride w:ilvl="0">
      <w:startOverride w:val="23"/>
      <w:lvl w:ilvl="0" w:tplc="13BC5A22">
        <w:start w:val="23"/>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83A5DF2">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5F8C958">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A8E2E1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9ACCADE">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722C46">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D0C83E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9A4F8E6">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4063ECA">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8" w16cid:durableId="1922637240">
    <w:abstractNumId w:val="4"/>
  </w:num>
  <w:num w:numId="39" w16cid:durableId="1260527964">
    <w:abstractNumId w:val="6"/>
  </w:num>
  <w:num w:numId="40" w16cid:durableId="292833307">
    <w:abstractNumId w:val="5"/>
  </w:num>
  <w:num w:numId="41" w16cid:durableId="353116996">
    <w:abstractNumId w:val="6"/>
  </w:num>
  <w:num w:numId="42" w16cid:durableId="1149127885">
    <w:abstractNumId w:val="7"/>
  </w:num>
  <w:num w:numId="43" w16cid:durableId="2002198752">
    <w:abstractNumId w:val="5"/>
  </w:num>
  <w:num w:numId="44" w16cid:durableId="886835990">
    <w:abstractNumId w:val="5"/>
  </w:num>
  <w:num w:numId="45" w16cid:durableId="2062435608">
    <w:abstractNumId w:val="5"/>
  </w:num>
  <w:num w:numId="46" w16cid:durableId="928999486">
    <w:abstractNumId w:val="5"/>
  </w:num>
  <w:num w:numId="47" w16cid:durableId="430705964">
    <w:abstractNumId w:val="5"/>
  </w:num>
  <w:num w:numId="48" w16cid:durableId="417410789">
    <w:abstractNumId w:val="5"/>
  </w:num>
  <w:num w:numId="49" w16cid:durableId="1977027742">
    <w:abstractNumId w:val="5"/>
  </w:num>
  <w:num w:numId="50" w16cid:durableId="432826123">
    <w:abstractNumId w:val="5"/>
  </w:num>
  <w:num w:numId="51" w16cid:durableId="1780491918">
    <w:abstractNumId w:val="5"/>
  </w:num>
  <w:num w:numId="52" w16cid:durableId="439180800">
    <w:abstractNumId w:val="5"/>
  </w:num>
  <w:num w:numId="53" w16cid:durableId="18896962">
    <w:abstractNumId w:val="5"/>
  </w:num>
  <w:num w:numId="54" w16cid:durableId="864441761">
    <w:abstractNumId w:val="5"/>
  </w:num>
  <w:num w:numId="55" w16cid:durableId="363333756">
    <w:abstractNumId w:val="5"/>
  </w:num>
  <w:num w:numId="56" w16cid:durableId="1126699580">
    <w:abstractNumId w:val="5"/>
  </w:num>
  <w:num w:numId="57" w16cid:durableId="808059156">
    <w:abstractNumId w:val="5"/>
  </w:num>
  <w:num w:numId="58" w16cid:durableId="869034132">
    <w:abstractNumId w:val="5"/>
  </w:num>
  <w:num w:numId="59" w16cid:durableId="2027098959">
    <w:abstractNumId w:val="5"/>
  </w:num>
  <w:num w:numId="60" w16cid:durableId="2124349697">
    <w:abstractNumId w:val="5"/>
  </w:num>
  <w:num w:numId="61" w16cid:durableId="779953826">
    <w:abstractNumId w:val="5"/>
  </w:num>
  <w:num w:numId="62" w16cid:durableId="1768767090">
    <w:abstractNumId w:val="5"/>
  </w:num>
  <w:num w:numId="63" w16cid:durableId="1321540946">
    <w:abstractNumId w:val="5"/>
  </w:num>
  <w:num w:numId="64" w16cid:durableId="129057881">
    <w:abstractNumId w:val="5"/>
  </w:num>
  <w:num w:numId="65" w16cid:durableId="1529758380">
    <w:abstractNumId w:val="5"/>
  </w:num>
  <w:num w:numId="66" w16cid:durableId="937518878">
    <w:abstractNumId w:val="5"/>
  </w:num>
  <w:num w:numId="67" w16cid:durableId="1649434003">
    <w:abstractNumId w:val="5"/>
  </w:num>
  <w:num w:numId="68" w16cid:durableId="721052808">
    <w:abstractNumId w:val="5"/>
  </w:num>
  <w:num w:numId="69" w16cid:durableId="573901076">
    <w:abstractNumId w:val="5"/>
  </w:num>
  <w:num w:numId="70" w16cid:durableId="1491599881">
    <w:abstractNumId w:val="5"/>
  </w:num>
  <w:num w:numId="71" w16cid:durableId="109711419">
    <w:abstractNumId w:val="5"/>
  </w:num>
  <w:num w:numId="72" w16cid:durableId="1606881968">
    <w:abstractNumId w:val="5"/>
  </w:num>
  <w:num w:numId="73" w16cid:durableId="1091707534">
    <w:abstractNumId w:val="5"/>
  </w:num>
  <w:num w:numId="74" w16cid:durableId="1296333929">
    <w:abstractNumId w:val="5"/>
  </w:num>
  <w:num w:numId="75" w16cid:durableId="1673099523">
    <w:abstractNumId w:val="5"/>
  </w:num>
  <w:num w:numId="76" w16cid:durableId="1229924246">
    <w:abstractNumId w:val="5"/>
  </w:num>
  <w:num w:numId="77" w16cid:durableId="717046947">
    <w:abstractNumId w:val="5"/>
  </w:num>
  <w:num w:numId="78" w16cid:durableId="1788503694">
    <w:abstractNumId w:val="5"/>
  </w:num>
  <w:num w:numId="79" w16cid:durableId="1191526702">
    <w:abstractNumId w:val="5"/>
  </w:num>
  <w:num w:numId="80" w16cid:durableId="450831423">
    <w:abstractNumId w:val="5"/>
  </w:num>
  <w:num w:numId="81" w16cid:durableId="370309063">
    <w:abstractNumId w:val="5"/>
  </w:num>
  <w:num w:numId="82" w16cid:durableId="1381588441">
    <w:abstractNumId w:val="5"/>
  </w:num>
  <w:num w:numId="83" w16cid:durableId="324743003">
    <w:abstractNumId w:val="5"/>
  </w:num>
  <w:num w:numId="84" w16cid:durableId="324170392">
    <w:abstractNumId w:val="5"/>
  </w:num>
  <w:num w:numId="85" w16cid:durableId="1118909007">
    <w:abstractNumId w:val="5"/>
  </w:num>
  <w:num w:numId="86" w16cid:durableId="1727219013">
    <w:abstractNumId w:val="5"/>
  </w:num>
  <w:num w:numId="87" w16cid:durableId="1200242791">
    <w:abstractNumId w:val="5"/>
  </w:num>
  <w:num w:numId="88" w16cid:durableId="730882713">
    <w:abstractNumId w:val="5"/>
  </w:num>
  <w:num w:numId="89" w16cid:durableId="616446042">
    <w:abstractNumId w:val="5"/>
  </w:num>
  <w:num w:numId="90" w16cid:durableId="871311019">
    <w:abstractNumId w:val="5"/>
  </w:num>
  <w:num w:numId="91" w16cid:durableId="1060782912">
    <w:abstractNumId w:val="5"/>
  </w:num>
  <w:num w:numId="92" w16cid:durableId="803809442">
    <w:abstractNumId w:val="5"/>
  </w:num>
  <w:num w:numId="93" w16cid:durableId="1985549496">
    <w:abstractNumId w:val="5"/>
  </w:num>
  <w:num w:numId="94" w16cid:durableId="1853762662">
    <w:abstractNumId w:val="5"/>
  </w:num>
  <w:num w:numId="95" w16cid:durableId="114180995">
    <w:abstractNumId w:val="5"/>
  </w:num>
  <w:num w:numId="96" w16cid:durableId="879703069">
    <w:abstractNumId w:val="5"/>
  </w:num>
  <w:num w:numId="97" w16cid:durableId="2004969914">
    <w:abstractNumId w:val="5"/>
  </w:num>
  <w:num w:numId="98" w16cid:durableId="2081520205">
    <w:abstractNumId w:val="5"/>
  </w:num>
  <w:num w:numId="99" w16cid:durableId="1070661937">
    <w:abstractNumId w:val="5"/>
  </w:num>
  <w:num w:numId="100" w16cid:durableId="1525360979">
    <w:abstractNumId w:val="5"/>
  </w:num>
  <w:num w:numId="101" w16cid:durableId="188446633">
    <w:abstractNumId w:val="5"/>
  </w:num>
  <w:num w:numId="102" w16cid:durableId="1030833684">
    <w:abstractNumId w:val="5"/>
  </w:num>
  <w:num w:numId="103" w16cid:durableId="1398742765">
    <w:abstractNumId w:val="5"/>
  </w:num>
  <w:num w:numId="104" w16cid:durableId="1044059054">
    <w:abstractNumId w:val="5"/>
  </w:num>
  <w:num w:numId="105" w16cid:durableId="2121873799">
    <w:abstractNumId w:val="5"/>
  </w:num>
  <w:num w:numId="106" w16cid:durableId="1598831729">
    <w:abstractNumId w:val="5"/>
  </w:num>
  <w:num w:numId="107" w16cid:durableId="528685951">
    <w:abstractNumId w:val="5"/>
  </w:num>
  <w:num w:numId="108" w16cid:durableId="277684749">
    <w:abstractNumId w:val="5"/>
  </w:num>
  <w:num w:numId="109" w16cid:durableId="937492570">
    <w:abstractNumId w:val="5"/>
  </w:num>
  <w:num w:numId="110" w16cid:durableId="1912695734">
    <w:abstractNumId w:val="5"/>
  </w:num>
  <w:num w:numId="111" w16cid:durableId="2070617611">
    <w:abstractNumId w:val="5"/>
  </w:num>
  <w:num w:numId="112" w16cid:durableId="691226440">
    <w:abstractNumId w:val="5"/>
  </w:num>
  <w:num w:numId="113" w16cid:durableId="368066020">
    <w:abstractNumId w:val="5"/>
  </w:num>
  <w:num w:numId="114" w16cid:durableId="1527671042">
    <w:abstractNumId w:val="5"/>
  </w:num>
  <w:num w:numId="115" w16cid:durableId="1559507870">
    <w:abstractNumId w:val="5"/>
  </w:num>
  <w:num w:numId="116" w16cid:durableId="1509949852">
    <w:abstractNumId w:val="5"/>
  </w:num>
  <w:num w:numId="117" w16cid:durableId="266041704">
    <w:abstractNumId w:val="5"/>
  </w:num>
  <w:num w:numId="118" w16cid:durableId="1848212561">
    <w:abstractNumId w:val="5"/>
  </w:num>
  <w:num w:numId="119" w16cid:durableId="1213807944">
    <w:abstractNumId w:val="5"/>
  </w:num>
  <w:num w:numId="120" w16cid:durableId="1827622679">
    <w:abstractNumId w:val="5"/>
  </w:num>
  <w:num w:numId="121" w16cid:durableId="650138131">
    <w:abstractNumId w:val="5"/>
  </w:num>
  <w:num w:numId="122" w16cid:durableId="499077487">
    <w:abstractNumId w:val="5"/>
  </w:num>
  <w:num w:numId="123" w16cid:durableId="68238764">
    <w:abstractNumId w:val="5"/>
  </w:num>
  <w:num w:numId="124" w16cid:durableId="1483548158">
    <w:abstractNumId w:val="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85"/>
    <w:rsid w:val="00004A43"/>
    <w:rsid w:val="0001485D"/>
    <w:rsid w:val="00015667"/>
    <w:rsid w:val="00020179"/>
    <w:rsid w:val="000253FA"/>
    <w:rsid w:val="00025D29"/>
    <w:rsid w:val="00026B3B"/>
    <w:rsid w:val="000315B5"/>
    <w:rsid w:val="00031F2D"/>
    <w:rsid w:val="00034647"/>
    <w:rsid w:val="0004269A"/>
    <w:rsid w:val="0005177B"/>
    <w:rsid w:val="00055824"/>
    <w:rsid w:val="0006129D"/>
    <w:rsid w:val="00062FFB"/>
    <w:rsid w:val="000649F7"/>
    <w:rsid w:val="000656ED"/>
    <w:rsid w:val="000719BC"/>
    <w:rsid w:val="00072E32"/>
    <w:rsid w:val="00077C27"/>
    <w:rsid w:val="00083338"/>
    <w:rsid w:val="00090AFA"/>
    <w:rsid w:val="00097830"/>
    <w:rsid w:val="000A1B6E"/>
    <w:rsid w:val="000A2F17"/>
    <w:rsid w:val="000C0872"/>
    <w:rsid w:val="000C405B"/>
    <w:rsid w:val="000C414F"/>
    <w:rsid w:val="000D6853"/>
    <w:rsid w:val="000E478E"/>
    <w:rsid w:val="000F4AD0"/>
    <w:rsid w:val="000F60E8"/>
    <w:rsid w:val="00114676"/>
    <w:rsid w:val="001316A6"/>
    <w:rsid w:val="001521B0"/>
    <w:rsid w:val="00153495"/>
    <w:rsid w:val="00155957"/>
    <w:rsid w:val="00156BA5"/>
    <w:rsid w:val="001712AD"/>
    <w:rsid w:val="0017504D"/>
    <w:rsid w:val="00176EBE"/>
    <w:rsid w:val="0018072B"/>
    <w:rsid w:val="00181CFD"/>
    <w:rsid w:val="001943AB"/>
    <w:rsid w:val="001A0200"/>
    <w:rsid w:val="001A72BA"/>
    <w:rsid w:val="001C031B"/>
    <w:rsid w:val="001D1F63"/>
    <w:rsid w:val="001D5321"/>
    <w:rsid w:val="001E5A23"/>
    <w:rsid w:val="001F6A42"/>
    <w:rsid w:val="00205266"/>
    <w:rsid w:val="00224260"/>
    <w:rsid w:val="00227FA1"/>
    <w:rsid w:val="00241AF2"/>
    <w:rsid w:val="00242CB7"/>
    <w:rsid w:val="00260703"/>
    <w:rsid w:val="00265B78"/>
    <w:rsid w:val="0027551E"/>
    <w:rsid w:val="00277F03"/>
    <w:rsid w:val="00284C67"/>
    <w:rsid w:val="00287159"/>
    <w:rsid w:val="002B3911"/>
    <w:rsid w:val="002C175A"/>
    <w:rsid w:val="002C574A"/>
    <w:rsid w:val="002C7567"/>
    <w:rsid w:val="002D48E7"/>
    <w:rsid w:val="002E30C5"/>
    <w:rsid w:val="002E749E"/>
    <w:rsid w:val="002F4881"/>
    <w:rsid w:val="00316F89"/>
    <w:rsid w:val="003170DC"/>
    <w:rsid w:val="00321B72"/>
    <w:rsid w:val="003279A4"/>
    <w:rsid w:val="003356F6"/>
    <w:rsid w:val="0034767E"/>
    <w:rsid w:val="00355243"/>
    <w:rsid w:val="0036262C"/>
    <w:rsid w:val="00370966"/>
    <w:rsid w:val="0039205F"/>
    <w:rsid w:val="00396072"/>
    <w:rsid w:val="003A3715"/>
    <w:rsid w:val="003A4F4C"/>
    <w:rsid w:val="003B3DF3"/>
    <w:rsid w:val="003C2EAD"/>
    <w:rsid w:val="003C540D"/>
    <w:rsid w:val="003D051D"/>
    <w:rsid w:val="003E0A91"/>
    <w:rsid w:val="003E10A2"/>
    <w:rsid w:val="004053E5"/>
    <w:rsid w:val="00406269"/>
    <w:rsid w:val="00411C79"/>
    <w:rsid w:val="00420AD9"/>
    <w:rsid w:val="004316BE"/>
    <w:rsid w:val="004424E1"/>
    <w:rsid w:val="004424EF"/>
    <w:rsid w:val="00444EFF"/>
    <w:rsid w:val="004467C8"/>
    <w:rsid w:val="0046237B"/>
    <w:rsid w:val="00466D76"/>
    <w:rsid w:val="00467F45"/>
    <w:rsid w:val="00491D44"/>
    <w:rsid w:val="00492D62"/>
    <w:rsid w:val="004A20B6"/>
    <w:rsid w:val="004B02E3"/>
    <w:rsid w:val="004B0321"/>
    <w:rsid w:val="004B3770"/>
    <w:rsid w:val="004B4EB3"/>
    <w:rsid w:val="004B5D91"/>
    <w:rsid w:val="004B7941"/>
    <w:rsid w:val="004C3078"/>
    <w:rsid w:val="004C7209"/>
    <w:rsid w:val="004D38B2"/>
    <w:rsid w:val="004E1D0F"/>
    <w:rsid w:val="004F4860"/>
    <w:rsid w:val="00503624"/>
    <w:rsid w:val="00510B31"/>
    <w:rsid w:val="005113D1"/>
    <w:rsid w:val="0051291B"/>
    <w:rsid w:val="00514983"/>
    <w:rsid w:val="005168D8"/>
    <w:rsid w:val="00520A69"/>
    <w:rsid w:val="00521A73"/>
    <w:rsid w:val="00527798"/>
    <w:rsid w:val="00534B21"/>
    <w:rsid w:val="005371B9"/>
    <w:rsid w:val="005474C0"/>
    <w:rsid w:val="00550AB9"/>
    <w:rsid w:val="00564F2E"/>
    <w:rsid w:val="005854CD"/>
    <w:rsid w:val="0059157B"/>
    <w:rsid w:val="005B0B75"/>
    <w:rsid w:val="005C1326"/>
    <w:rsid w:val="005D00D4"/>
    <w:rsid w:val="005D4522"/>
    <w:rsid w:val="005F07B6"/>
    <w:rsid w:val="005F1A3E"/>
    <w:rsid w:val="005F2945"/>
    <w:rsid w:val="00600ADE"/>
    <w:rsid w:val="00601270"/>
    <w:rsid w:val="00603F03"/>
    <w:rsid w:val="00606B00"/>
    <w:rsid w:val="006100A0"/>
    <w:rsid w:val="00611703"/>
    <w:rsid w:val="00617B51"/>
    <w:rsid w:val="00621CD8"/>
    <w:rsid w:val="00621FD7"/>
    <w:rsid w:val="00627D5F"/>
    <w:rsid w:val="00631A1A"/>
    <w:rsid w:val="00637C95"/>
    <w:rsid w:val="0064429C"/>
    <w:rsid w:val="00644D57"/>
    <w:rsid w:val="00653E72"/>
    <w:rsid w:val="0066143B"/>
    <w:rsid w:val="00667F66"/>
    <w:rsid w:val="0067197B"/>
    <w:rsid w:val="006719E9"/>
    <w:rsid w:val="00674B31"/>
    <w:rsid w:val="00676494"/>
    <w:rsid w:val="00680182"/>
    <w:rsid w:val="006827C7"/>
    <w:rsid w:val="00693147"/>
    <w:rsid w:val="0069471B"/>
    <w:rsid w:val="006A20E8"/>
    <w:rsid w:val="006A5E46"/>
    <w:rsid w:val="006A6E2E"/>
    <w:rsid w:val="006B060B"/>
    <w:rsid w:val="006B19C9"/>
    <w:rsid w:val="006B7851"/>
    <w:rsid w:val="006C3BED"/>
    <w:rsid w:val="006C6BD8"/>
    <w:rsid w:val="006D7268"/>
    <w:rsid w:val="006E2423"/>
    <w:rsid w:val="006E5828"/>
    <w:rsid w:val="006E7741"/>
    <w:rsid w:val="006F164C"/>
    <w:rsid w:val="007228DE"/>
    <w:rsid w:val="0073491E"/>
    <w:rsid w:val="00755649"/>
    <w:rsid w:val="00757D76"/>
    <w:rsid w:val="00780B14"/>
    <w:rsid w:val="00780D62"/>
    <w:rsid w:val="00791A8C"/>
    <w:rsid w:val="00794597"/>
    <w:rsid w:val="007B206F"/>
    <w:rsid w:val="007B60CC"/>
    <w:rsid w:val="007C3A74"/>
    <w:rsid w:val="007C5135"/>
    <w:rsid w:val="007D4BEB"/>
    <w:rsid w:val="007D5EF6"/>
    <w:rsid w:val="007E1A47"/>
    <w:rsid w:val="007E20B9"/>
    <w:rsid w:val="007E534A"/>
    <w:rsid w:val="007E5CBA"/>
    <w:rsid w:val="007E6A8E"/>
    <w:rsid w:val="007F265B"/>
    <w:rsid w:val="007F4F47"/>
    <w:rsid w:val="007F7D09"/>
    <w:rsid w:val="00800E8C"/>
    <w:rsid w:val="00801FE8"/>
    <w:rsid w:val="00803AD9"/>
    <w:rsid w:val="008100AA"/>
    <w:rsid w:val="00813FD8"/>
    <w:rsid w:val="0082285C"/>
    <w:rsid w:val="00822983"/>
    <w:rsid w:val="0082376A"/>
    <w:rsid w:val="00831D76"/>
    <w:rsid w:val="00834FD5"/>
    <w:rsid w:val="00834FE0"/>
    <w:rsid w:val="008374B8"/>
    <w:rsid w:val="0083751C"/>
    <w:rsid w:val="0083782F"/>
    <w:rsid w:val="008428BF"/>
    <w:rsid w:val="00852218"/>
    <w:rsid w:val="00854E65"/>
    <w:rsid w:val="00855AE7"/>
    <w:rsid w:val="0087474A"/>
    <w:rsid w:val="008A0000"/>
    <w:rsid w:val="008A73BF"/>
    <w:rsid w:val="008B0EBC"/>
    <w:rsid w:val="008B3702"/>
    <w:rsid w:val="008C2FE8"/>
    <w:rsid w:val="008C4A19"/>
    <w:rsid w:val="008C5108"/>
    <w:rsid w:val="008C6E64"/>
    <w:rsid w:val="008C7037"/>
    <w:rsid w:val="008C738F"/>
    <w:rsid w:val="008D1BF8"/>
    <w:rsid w:val="008D288D"/>
    <w:rsid w:val="008D2A71"/>
    <w:rsid w:val="008D3937"/>
    <w:rsid w:val="008D3FF5"/>
    <w:rsid w:val="008D51CA"/>
    <w:rsid w:val="008E3BF4"/>
    <w:rsid w:val="008F073E"/>
    <w:rsid w:val="009014AA"/>
    <w:rsid w:val="00910312"/>
    <w:rsid w:val="00912F70"/>
    <w:rsid w:val="009150F6"/>
    <w:rsid w:val="0092358B"/>
    <w:rsid w:val="009241D9"/>
    <w:rsid w:val="00925E6B"/>
    <w:rsid w:val="00932565"/>
    <w:rsid w:val="00941251"/>
    <w:rsid w:val="009446BA"/>
    <w:rsid w:val="00945750"/>
    <w:rsid w:val="00947B32"/>
    <w:rsid w:val="009549D9"/>
    <w:rsid w:val="009666D9"/>
    <w:rsid w:val="00970ED0"/>
    <w:rsid w:val="00973E58"/>
    <w:rsid w:val="009742BD"/>
    <w:rsid w:val="009869E2"/>
    <w:rsid w:val="00987992"/>
    <w:rsid w:val="009939E6"/>
    <w:rsid w:val="00994698"/>
    <w:rsid w:val="00995409"/>
    <w:rsid w:val="00997517"/>
    <w:rsid w:val="009A15A9"/>
    <w:rsid w:val="009B0781"/>
    <w:rsid w:val="009B23D7"/>
    <w:rsid w:val="009B255D"/>
    <w:rsid w:val="009B550F"/>
    <w:rsid w:val="009B58FA"/>
    <w:rsid w:val="009C2678"/>
    <w:rsid w:val="009C36CF"/>
    <w:rsid w:val="009D7C09"/>
    <w:rsid w:val="009E0B6F"/>
    <w:rsid w:val="009E0BF3"/>
    <w:rsid w:val="009F16F6"/>
    <w:rsid w:val="009F2324"/>
    <w:rsid w:val="009F3ABF"/>
    <w:rsid w:val="009F3F6D"/>
    <w:rsid w:val="009F78E5"/>
    <w:rsid w:val="00A00073"/>
    <w:rsid w:val="00A00E12"/>
    <w:rsid w:val="00A00FBE"/>
    <w:rsid w:val="00A03F4B"/>
    <w:rsid w:val="00A04145"/>
    <w:rsid w:val="00A1106C"/>
    <w:rsid w:val="00A111F4"/>
    <w:rsid w:val="00A14DC4"/>
    <w:rsid w:val="00A1702D"/>
    <w:rsid w:val="00A24800"/>
    <w:rsid w:val="00A267B8"/>
    <w:rsid w:val="00A26A8B"/>
    <w:rsid w:val="00A26AF8"/>
    <w:rsid w:val="00A3128B"/>
    <w:rsid w:val="00A378EE"/>
    <w:rsid w:val="00A430D0"/>
    <w:rsid w:val="00A464BB"/>
    <w:rsid w:val="00A465B3"/>
    <w:rsid w:val="00A47EA6"/>
    <w:rsid w:val="00A521D0"/>
    <w:rsid w:val="00A52E9D"/>
    <w:rsid w:val="00A54AE7"/>
    <w:rsid w:val="00A624A7"/>
    <w:rsid w:val="00A634BD"/>
    <w:rsid w:val="00A65CDC"/>
    <w:rsid w:val="00A81046"/>
    <w:rsid w:val="00A835C5"/>
    <w:rsid w:val="00A87F8B"/>
    <w:rsid w:val="00A97205"/>
    <w:rsid w:val="00A979EF"/>
    <w:rsid w:val="00AA4BDB"/>
    <w:rsid w:val="00AB6070"/>
    <w:rsid w:val="00AB7408"/>
    <w:rsid w:val="00AC3CA6"/>
    <w:rsid w:val="00AD3A7F"/>
    <w:rsid w:val="00AE09F2"/>
    <w:rsid w:val="00AE56BC"/>
    <w:rsid w:val="00AE6333"/>
    <w:rsid w:val="00AE6693"/>
    <w:rsid w:val="00AF3137"/>
    <w:rsid w:val="00AF5116"/>
    <w:rsid w:val="00B01897"/>
    <w:rsid w:val="00B1167C"/>
    <w:rsid w:val="00B230A2"/>
    <w:rsid w:val="00B36C3C"/>
    <w:rsid w:val="00B430F9"/>
    <w:rsid w:val="00B51D1B"/>
    <w:rsid w:val="00B525C1"/>
    <w:rsid w:val="00B56E0E"/>
    <w:rsid w:val="00B61570"/>
    <w:rsid w:val="00B66DBF"/>
    <w:rsid w:val="00B86085"/>
    <w:rsid w:val="00BA51A5"/>
    <w:rsid w:val="00BA5F28"/>
    <w:rsid w:val="00BB7DA1"/>
    <w:rsid w:val="00BD4202"/>
    <w:rsid w:val="00BD5F35"/>
    <w:rsid w:val="00BE3AE6"/>
    <w:rsid w:val="00BF25C4"/>
    <w:rsid w:val="00BF4073"/>
    <w:rsid w:val="00C015A7"/>
    <w:rsid w:val="00C03E9F"/>
    <w:rsid w:val="00C06154"/>
    <w:rsid w:val="00C12BFC"/>
    <w:rsid w:val="00C144A9"/>
    <w:rsid w:val="00C2252F"/>
    <w:rsid w:val="00C33199"/>
    <w:rsid w:val="00C400B2"/>
    <w:rsid w:val="00C448F7"/>
    <w:rsid w:val="00C4685D"/>
    <w:rsid w:val="00C55D71"/>
    <w:rsid w:val="00C56234"/>
    <w:rsid w:val="00C62467"/>
    <w:rsid w:val="00C727D2"/>
    <w:rsid w:val="00C843A3"/>
    <w:rsid w:val="00C868ED"/>
    <w:rsid w:val="00C95E89"/>
    <w:rsid w:val="00C96C88"/>
    <w:rsid w:val="00C97B45"/>
    <w:rsid w:val="00CA10AF"/>
    <w:rsid w:val="00CA7A04"/>
    <w:rsid w:val="00CB204A"/>
    <w:rsid w:val="00CB23C6"/>
    <w:rsid w:val="00CC2147"/>
    <w:rsid w:val="00CC333E"/>
    <w:rsid w:val="00CC3E73"/>
    <w:rsid w:val="00CC6F76"/>
    <w:rsid w:val="00CD1371"/>
    <w:rsid w:val="00CD4C3F"/>
    <w:rsid w:val="00CD4CBE"/>
    <w:rsid w:val="00CE164A"/>
    <w:rsid w:val="00CF13C8"/>
    <w:rsid w:val="00CF30DE"/>
    <w:rsid w:val="00D04334"/>
    <w:rsid w:val="00D047A1"/>
    <w:rsid w:val="00D12232"/>
    <w:rsid w:val="00D22CA1"/>
    <w:rsid w:val="00D2469F"/>
    <w:rsid w:val="00D32403"/>
    <w:rsid w:val="00D408C3"/>
    <w:rsid w:val="00D47825"/>
    <w:rsid w:val="00D50262"/>
    <w:rsid w:val="00D57803"/>
    <w:rsid w:val="00D6509A"/>
    <w:rsid w:val="00D658F4"/>
    <w:rsid w:val="00D967D6"/>
    <w:rsid w:val="00DA06F6"/>
    <w:rsid w:val="00DB5210"/>
    <w:rsid w:val="00DB62FF"/>
    <w:rsid w:val="00DC359B"/>
    <w:rsid w:val="00DC4568"/>
    <w:rsid w:val="00DD6D3D"/>
    <w:rsid w:val="00DE4037"/>
    <w:rsid w:val="00DE4B7C"/>
    <w:rsid w:val="00DF0470"/>
    <w:rsid w:val="00DF1C96"/>
    <w:rsid w:val="00E06837"/>
    <w:rsid w:val="00E1391C"/>
    <w:rsid w:val="00E172C8"/>
    <w:rsid w:val="00E25A12"/>
    <w:rsid w:val="00E30436"/>
    <w:rsid w:val="00E30B7B"/>
    <w:rsid w:val="00E30BA5"/>
    <w:rsid w:val="00E35019"/>
    <w:rsid w:val="00E463D5"/>
    <w:rsid w:val="00E50731"/>
    <w:rsid w:val="00E5596A"/>
    <w:rsid w:val="00E5763C"/>
    <w:rsid w:val="00E61443"/>
    <w:rsid w:val="00E64F33"/>
    <w:rsid w:val="00E65611"/>
    <w:rsid w:val="00E73B8E"/>
    <w:rsid w:val="00E74054"/>
    <w:rsid w:val="00E80611"/>
    <w:rsid w:val="00E84627"/>
    <w:rsid w:val="00E9056D"/>
    <w:rsid w:val="00E93D7B"/>
    <w:rsid w:val="00E97E1D"/>
    <w:rsid w:val="00EA5120"/>
    <w:rsid w:val="00EA7982"/>
    <w:rsid w:val="00EB1488"/>
    <w:rsid w:val="00EC4C54"/>
    <w:rsid w:val="00ED2A51"/>
    <w:rsid w:val="00ED5148"/>
    <w:rsid w:val="00ED6210"/>
    <w:rsid w:val="00EF340D"/>
    <w:rsid w:val="00EF530E"/>
    <w:rsid w:val="00F0218C"/>
    <w:rsid w:val="00F05CDD"/>
    <w:rsid w:val="00F0648B"/>
    <w:rsid w:val="00F1046E"/>
    <w:rsid w:val="00F1184F"/>
    <w:rsid w:val="00F129DD"/>
    <w:rsid w:val="00F23476"/>
    <w:rsid w:val="00F25455"/>
    <w:rsid w:val="00F34971"/>
    <w:rsid w:val="00F442D6"/>
    <w:rsid w:val="00F5488A"/>
    <w:rsid w:val="00F550DE"/>
    <w:rsid w:val="00F63AD9"/>
    <w:rsid w:val="00F64327"/>
    <w:rsid w:val="00F663EF"/>
    <w:rsid w:val="00F66976"/>
    <w:rsid w:val="00F7153C"/>
    <w:rsid w:val="00F75CFE"/>
    <w:rsid w:val="00F81021"/>
    <w:rsid w:val="00FA19A0"/>
    <w:rsid w:val="00FA292D"/>
    <w:rsid w:val="00FA3A50"/>
    <w:rsid w:val="00FC152F"/>
    <w:rsid w:val="00FC4D5E"/>
    <w:rsid w:val="00FD215A"/>
    <w:rsid w:val="00FD3B5E"/>
    <w:rsid w:val="00FD7CC5"/>
    <w:rsid w:val="00FF0323"/>
    <w:rsid w:val="00FF077D"/>
    <w:rsid w:val="00FF1A74"/>
    <w:rsid w:val="00FF2B06"/>
    <w:rsid w:val="00FF2D03"/>
    <w:rsid w:val="00FF449C"/>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C60AD"/>
  <w15:docId w15:val="{92B7121C-DF67-9443-A297-C533AE7E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078"/>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eastAsia="en-US"/>
    </w:rPr>
  </w:style>
  <w:style w:type="paragraph" w:styleId="Heading1">
    <w:name w:val="heading 1"/>
    <w:basedOn w:val="Normal"/>
    <w:next w:val="Heading2"/>
    <w:link w:val="Heading1Char"/>
    <w:uiPriority w:val="9"/>
    <w:qFormat/>
    <w:rsid w:val="004C3078"/>
    <w:pPr>
      <w:keepNext/>
      <w:keepLines/>
      <w:numPr>
        <w:numId w:val="4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C3078"/>
    <w:pPr>
      <w:keepNext/>
      <w:keepLines/>
      <w:numPr>
        <w:ilvl w:val="1"/>
        <w:numId w:val="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C3078"/>
    <w:pPr>
      <w:keepNext/>
      <w:keepLines/>
      <w:numPr>
        <w:ilvl w:val="2"/>
        <w:numId w:val="4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C3078"/>
    <w:pPr>
      <w:keepNext/>
      <w:numPr>
        <w:ilvl w:val="3"/>
        <w:numId w:val="4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C3078"/>
    <w:pPr>
      <w:keepNext/>
      <w:numPr>
        <w:ilvl w:val="4"/>
        <w:numId w:val="41"/>
      </w:numPr>
      <w:spacing w:before="120" w:after="120"/>
      <w:jc w:val="left"/>
      <w:outlineLvl w:val="4"/>
    </w:pPr>
    <w:rPr>
      <w:rFonts w:eastAsiaTheme="majorEastAsia"/>
      <w:i/>
      <w:iCs/>
    </w:rPr>
  </w:style>
  <w:style w:type="paragraph" w:styleId="Heading6">
    <w:name w:val="heading 6"/>
    <w:basedOn w:val="Normal"/>
    <w:next w:val="Normal"/>
    <w:link w:val="Heading6Char"/>
    <w:semiHidden/>
    <w:rsid w:val="004C3078"/>
    <w:pPr>
      <w:keepNext/>
      <w:keepLines/>
      <w:numPr>
        <w:ilvl w:val="5"/>
        <w:numId w:val="4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C3078"/>
    <w:pPr>
      <w:keepNext/>
      <w:keepLines/>
      <w:widowControl w:val="0"/>
      <w:numPr>
        <w:ilvl w:val="6"/>
        <w:numId w:val="4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C3078"/>
    <w:pPr>
      <w:keepNext/>
      <w:keepLines/>
      <w:widowControl w:val="0"/>
      <w:numPr>
        <w:ilvl w:val="7"/>
        <w:numId w:val="4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C3078"/>
    <w:pPr>
      <w:keepNext/>
      <w:widowControl w:val="0"/>
      <w:numPr>
        <w:ilvl w:val="8"/>
        <w:numId w:val="4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C3078"/>
    <w:rPr>
      <w:rFonts w:ascii="Times New Roman" w:hAnsi="Times New Roman"/>
      <w:color w:val="0000FF" w:themeColor="hyperlink"/>
      <w:u w:val="single"/>
    </w:rPr>
  </w:style>
  <w:style w:type="paragraph" w:styleId="Header">
    <w:name w:val="header"/>
    <w:basedOn w:val="Normal"/>
    <w:link w:val="HeaderChar"/>
    <w:rsid w:val="004C3078"/>
    <w:pPr>
      <w:pBdr>
        <w:bottom w:val="single" w:sz="4" w:space="1" w:color="auto"/>
      </w:pBdr>
      <w:tabs>
        <w:tab w:val="center" w:pos="4680"/>
        <w:tab w:val="right" w:pos="9360"/>
      </w:tabs>
      <w:jc w:val="left"/>
    </w:pPr>
    <w:rPr>
      <w:sz w:val="20"/>
    </w:rPr>
  </w:style>
  <w:style w:type="paragraph" w:styleId="Footer">
    <w:name w:val="footer"/>
    <w:basedOn w:val="Normal"/>
    <w:link w:val="FooterChar"/>
    <w:rsid w:val="004C3078"/>
    <w:pPr>
      <w:tabs>
        <w:tab w:val="center" w:pos="4680"/>
        <w:tab w:val="right" w:pos="9360"/>
      </w:tabs>
    </w:pPr>
    <w:rPr>
      <w:sz w:val="20"/>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14:textOutline w14:w="0" w14:cap="flat" w14:cmpd="sng" w14:algn="ctr">
        <w14:noFill/>
        <w14:prstDash w14:val="solid"/>
        <w14:bevel/>
      </w14:textOutline>
    </w:rPr>
  </w:style>
  <w:style w:type="paragraph" w:customStyle="1" w:styleId="AASmallLogo">
    <w:name w:val="AA_SmallLogo"/>
    <w:basedOn w:val="AEDistrNormal"/>
    <w:unhideWhenUsed/>
    <w:rsid w:val="004C3078"/>
    <w:pPr>
      <w:spacing w:before="40"/>
    </w:pPr>
    <w:rPr>
      <w:sz w:val="4"/>
    </w:rPr>
  </w:style>
  <w:style w:type="paragraph" w:customStyle="1" w:styleId="ABSymbol">
    <w:name w:val="AB_Symbol"/>
    <w:basedOn w:val="Normal"/>
    <w:qFormat/>
    <w:rsid w:val="004C307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4C3078"/>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eastAsia="en-US"/>
    </w:rPr>
  </w:style>
  <w:style w:type="paragraph" w:customStyle="1" w:styleId="ACLargeLogo">
    <w:name w:val="AC_LargeLogo"/>
    <w:basedOn w:val="AFCorNNormal"/>
    <w:next w:val="AISpacer"/>
    <w:unhideWhenUsed/>
    <w:rsid w:val="004C3078"/>
    <w:pPr>
      <w:spacing w:before="120"/>
      <w:contextualSpacing/>
    </w:pPr>
    <w:rPr>
      <w:sz w:val="8"/>
    </w:rPr>
  </w:style>
  <w:style w:type="paragraph" w:customStyle="1" w:styleId="AEDistrNormal">
    <w:name w:val="AE_DistrNormal"/>
    <w:basedOn w:val="Normal"/>
    <w:unhideWhenUsed/>
    <w:rsid w:val="004C3078"/>
    <w:pPr>
      <w:jc w:val="left"/>
    </w:pPr>
  </w:style>
  <w:style w:type="paragraph" w:customStyle="1" w:styleId="AEDistrNormal6pt">
    <w:name w:val="AE_DistrNormal6pt"/>
    <w:basedOn w:val="AEDistrNormal"/>
    <w:next w:val="AFCorNNormal"/>
    <w:unhideWhenUsed/>
    <w:qFormat/>
    <w:rsid w:val="004C3078"/>
    <w:pPr>
      <w:spacing w:before="120"/>
    </w:pPr>
  </w:style>
  <w:style w:type="paragraph" w:customStyle="1" w:styleId="AFCorNNormal">
    <w:name w:val="AF_CorNNormal"/>
    <w:basedOn w:val="Normal"/>
    <w:unhideWhenUsed/>
    <w:rsid w:val="004C3078"/>
    <w:pPr>
      <w:jc w:val="left"/>
    </w:pPr>
  </w:style>
  <w:style w:type="paragraph" w:customStyle="1" w:styleId="AFCorN12Bold">
    <w:name w:val="AF_CorN12Bold"/>
    <w:basedOn w:val="AFCorNNormal"/>
    <w:next w:val="AFCorNNormal"/>
    <w:unhideWhenUsed/>
    <w:qFormat/>
    <w:rsid w:val="004C3078"/>
    <w:rPr>
      <w:b/>
      <w:sz w:val="24"/>
    </w:rPr>
  </w:style>
  <w:style w:type="paragraph" w:customStyle="1" w:styleId="AFCorNBold">
    <w:name w:val="AF_CorNBold"/>
    <w:basedOn w:val="AFCorNNormal"/>
    <w:next w:val="AFCorNNormal"/>
    <w:unhideWhenUsed/>
    <w:qFormat/>
    <w:rsid w:val="004C3078"/>
    <w:rPr>
      <w:b/>
    </w:rPr>
  </w:style>
  <w:style w:type="paragraph" w:customStyle="1" w:styleId="CBDTitle">
    <w:name w:val="CBD_Title"/>
    <w:basedOn w:val="CBDNormal"/>
    <w:next w:val="CBDSubTitle"/>
    <w:qFormat/>
    <w:rsid w:val="004C3078"/>
    <w:pPr>
      <w:keepNext/>
      <w:keepLines/>
      <w:spacing w:before="240" w:after="240"/>
      <w:ind w:left="567"/>
      <w:jc w:val="left"/>
    </w:pPr>
    <w:rPr>
      <w:b/>
      <w:sz w:val="28"/>
    </w:rPr>
  </w:style>
  <w:style w:type="paragraph" w:customStyle="1" w:styleId="CBDSubTitle">
    <w:name w:val="CBD_SubTitle"/>
    <w:basedOn w:val="CBDNormal"/>
    <w:qFormat/>
    <w:rsid w:val="004C3078"/>
    <w:pPr>
      <w:keepNext/>
      <w:keepLines/>
      <w:spacing w:before="240" w:after="240"/>
      <w:ind w:left="567"/>
      <w:jc w:val="left"/>
    </w:pPr>
    <w:rPr>
      <w:b/>
    </w:rPr>
  </w:style>
  <w:style w:type="paragraph" w:customStyle="1" w:styleId="CBDH1">
    <w:name w:val="CBD_H1"/>
    <w:basedOn w:val="CBDNormal"/>
    <w:qFormat/>
    <w:rsid w:val="004C3078"/>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C3078"/>
    <w:pPr>
      <w:numPr>
        <w:numId w:val="40"/>
      </w:numPr>
      <w:tabs>
        <w:tab w:val="left" w:pos="3969"/>
      </w:tabs>
      <w:spacing w:before="120" w:after="120"/>
    </w:pPr>
  </w:style>
  <w:style w:type="numbering" w:customStyle="1" w:styleId="ImportedStyle2">
    <w:name w:val="Imported Style 2"/>
    <w:pPr>
      <w:numPr>
        <w:numId w:val="1"/>
      </w:numPr>
    </w:pPr>
  </w:style>
  <w:style w:type="character" w:customStyle="1" w:styleId="Hyperlink0">
    <w:name w:val="Hyperlink.0"/>
    <w:basedOn w:val="Hyperlink"/>
    <w:rPr>
      <w:rFonts w:ascii="Times New Roman" w:eastAsia="Times New Roman" w:hAnsi="Times New Roman" w:cs="Times New Roman"/>
      <w:b w:val="0"/>
      <w:bCs w:val="0"/>
      <w:i w:val="0"/>
      <w:iCs w:val="0"/>
      <w:outline w:val="0"/>
      <w:color w:val="0000FF"/>
      <w:u w:val="single" w:color="0000FF"/>
      <w:lang w:val="es-ES"/>
    </w:rPr>
  </w:style>
  <w:style w:type="paragraph" w:styleId="FootnoteText">
    <w:name w:val="footnote text"/>
    <w:basedOn w:val="Normal"/>
    <w:link w:val="FootnoteTextChar"/>
    <w:unhideWhenUsed/>
    <w:rsid w:val="004C3078"/>
    <w:pPr>
      <w:jc w:val="left"/>
    </w:pPr>
    <w:rPr>
      <w:sz w:val="18"/>
      <w:szCs w:val="20"/>
    </w:rPr>
  </w:style>
  <w:style w:type="numbering" w:customStyle="1" w:styleId="CBDHeadings">
    <w:name w:val="CBD_Headings"/>
    <w:basedOn w:val="ListCBD"/>
    <w:rsid w:val="004C3078"/>
    <w:pPr>
      <w:numPr>
        <w:numId w:val="39"/>
      </w:numPr>
    </w:pPr>
  </w:style>
  <w:style w:type="paragraph" w:customStyle="1" w:styleId="Para1">
    <w:name w:val="Para1"/>
    <w:pPr>
      <w:tabs>
        <w:tab w:val="left" w:pos="360"/>
        <w:tab w:val="left" w:pos="567"/>
        <w:tab w:val="left" w:pos="1134"/>
        <w:tab w:val="left" w:pos="1701"/>
        <w:tab w:val="left" w:pos="2268"/>
      </w:tabs>
      <w:spacing w:before="120" w:after="120"/>
      <w:jc w:val="both"/>
    </w:pPr>
    <w:rPr>
      <w:rFonts w:cs="Arial Unicode MS"/>
      <w:color w:val="000000"/>
      <w:sz w:val="22"/>
      <w:szCs w:val="22"/>
      <w:u w:color="000000"/>
    </w:rPr>
  </w:style>
  <w:style w:type="numbering" w:customStyle="1" w:styleId="ImportedStyle3">
    <w:name w:val="Imported Style 3"/>
    <w:pPr>
      <w:numPr>
        <w:numId w:val="4"/>
      </w:numPr>
    </w:pPr>
  </w:style>
  <w:style w:type="paragraph" w:customStyle="1" w:styleId="CBDTableNormal">
    <w:name w:val="CBD_TableNormal"/>
    <w:basedOn w:val="CBDNormal"/>
    <w:qFormat/>
    <w:rsid w:val="004C3078"/>
    <w:pPr>
      <w:spacing w:before="40" w:after="80"/>
      <w:jc w:val="left"/>
    </w:pPr>
    <w:rPr>
      <w:sz w:val="20"/>
    </w:rPr>
  </w:style>
  <w:style w:type="paragraph" w:customStyle="1" w:styleId="CBDTableTitle">
    <w:name w:val="CBD_TableTitle"/>
    <w:basedOn w:val="CBDNormal"/>
    <w:qFormat/>
    <w:rsid w:val="004C3078"/>
    <w:pPr>
      <w:keepNext/>
      <w:keepLines/>
      <w:spacing w:before="120" w:after="60"/>
      <w:ind w:left="567"/>
      <w:jc w:val="left"/>
    </w:pPr>
    <w:rPr>
      <w:b/>
    </w:rPr>
  </w:style>
  <w:style w:type="paragraph" w:styleId="Revision">
    <w:name w:val="Revision"/>
    <w:hidden/>
    <w:uiPriority w:val="99"/>
    <w:semiHidden/>
    <w:rsid w:val="009D7C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4C3078"/>
    <w:rPr>
      <w:rFonts w:eastAsia="SimSun"/>
      <w:bdr w:val="none" w:sz="0" w:space="0" w:color="auto"/>
      <w:lang w:val="es-ES" w:eastAsia="en-US"/>
    </w:rPr>
  </w:style>
  <w:style w:type="paragraph" w:styleId="CommentSubject">
    <w:name w:val="annotation subject"/>
    <w:basedOn w:val="CommentText"/>
    <w:next w:val="CommentText"/>
    <w:link w:val="CommentSubjectChar"/>
    <w:uiPriority w:val="99"/>
    <w:semiHidden/>
    <w:unhideWhenUsed/>
    <w:rsid w:val="004C3078"/>
    <w:rPr>
      <w:b/>
      <w:bCs/>
    </w:rPr>
  </w:style>
  <w:style w:type="character" w:customStyle="1" w:styleId="CommentSubjectChar">
    <w:name w:val="Comment Subject Char"/>
    <w:basedOn w:val="CommentTextChar"/>
    <w:link w:val="CommentSubject"/>
    <w:uiPriority w:val="99"/>
    <w:semiHidden/>
    <w:rsid w:val="004C3078"/>
    <w:rPr>
      <w:rFonts w:eastAsia="SimSun"/>
      <w:b/>
      <w:bCs/>
      <w:bdr w:val="none" w:sz="0" w:space="0" w:color="auto"/>
      <w:lang w:val="es-ES" w:eastAsia="en-US"/>
    </w:rPr>
  </w:style>
  <w:style w:type="character" w:styleId="UnresolvedMention">
    <w:name w:val="Unresolved Mention"/>
    <w:basedOn w:val="DefaultParagraphFont"/>
    <w:uiPriority w:val="99"/>
    <w:semiHidden/>
    <w:unhideWhenUsed/>
    <w:rsid w:val="00A65CDC"/>
    <w:rPr>
      <w:color w:val="605E5C"/>
      <w:shd w:val="clear" w:color="auto" w:fill="E1DFDD"/>
    </w:rPr>
  </w:style>
  <w:style w:type="character" w:styleId="FootnoteReference">
    <w:name w:val="footnote reference"/>
    <w:basedOn w:val="DefaultParagraphFont"/>
    <w:uiPriority w:val="99"/>
    <w:semiHidden/>
    <w:unhideWhenUsed/>
    <w:rsid w:val="004C3078"/>
    <w:rPr>
      <w:vertAlign w:val="superscript"/>
    </w:rPr>
  </w:style>
  <w:style w:type="paragraph" w:customStyle="1" w:styleId="AENormal">
    <w:name w:val="AE_Normal"/>
    <w:basedOn w:val="Normal"/>
    <w:rsid w:val="004C3078"/>
  </w:style>
  <w:style w:type="paragraph" w:customStyle="1" w:styleId="Annex">
    <w:name w:val="Annex"/>
    <w:basedOn w:val="Normal"/>
    <w:semiHidden/>
    <w:qFormat/>
    <w:rsid w:val="004C3078"/>
    <w:pPr>
      <w:spacing w:after="240"/>
    </w:pPr>
    <w:rPr>
      <w:b/>
      <w:sz w:val="28"/>
    </w:rPr>
  </w:style>
  <w:style w:type="paragraph" w:styleId="BodyText">
    <w:name w:val="Body Text"/>
    <w:basedOn w:val="Normal"/>
    <w:link w:val="BodyTextChar"/>
    <w:uiPriority w:val="99"/>
    <w:semiHidden/>
    <w:unhideWhenUsed/>
    <w:rsid w:val="004C307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C3078"/>
    <w:rPr>
      <w:rFonts w:asciiTheme="minorHAnsi" w:eastAsiaTheme="minorHAnsi" w:hAnsiTheme="minorHAnsi" w:cstheme="minorBidi"/>
      <w:kern w:val="2"/>
      <w:sz w:val="22"/>
      <w:szCs w:val="22"/>
      <w:bdr w:val="none" w:sz="0" w:space="0" w:color="auto"/>
      <w:lang w:eastAsia="en-US"/>
      <w14:ligatures w14:val="standardContextual"/>
    </w:rPr>
  </w:style>
  <w:style w:type="paragraph" w:customStyle="1" w:styleId="CBDAgendaItemReport">
    <w:name w:val="CBD_AgendaItem_Report"/>
    <w:basedOn w:val="Normal"/>
    <w:qFormat/>
    <w:rsid w:val="004C3078"/>
    <w:pPr>
      <w:keepNext/>
      <w:keepLines/>
      <w:spacing w:before="240" w:after="120"/>
      <w:jc w:val="left"/>
    </w:pPr>
    <w:rPr>
      <w:b/>
      <w:sz w:val="24"/>
    </w:rPr>
  </w:style>
  <w:style w:type="paragraph" w:customStyle="1" w:styleId="CBDAgendaItem-1">
    <w:name w:val="CBD_AgendaItem-1"/>
    <w:basedOn w:val="Normal"/>
    <w:qFormat/>
    <w:rsid w:val="004C307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4C3078"/>
    <w:pPr>
      <w:ind w:left="567" w:hanging="567"/>
    </w:pPr>
    <w:rPr>
      <w:sz w:val="22"/>
    </w:rPr>
  </w:style>
  <w:style w:type="paragraph" w:customStyle="1" w:styleId="CBDAgendaItem-3">
    <w:name w:val="CBD_AgendaItem-3"/>
    <w:basedOn w:val="CBDAgendaItem-1"/>
    <w:qFormat/>
    <w:rsid w:val="004C3078"/>
    <w:pPr>
      <w:ind w:left="567" w:hanging="567"/>
    </w:pPr>
    <w:rPr>
      <w:sz w:val="20"/>
    </w:rPr>
  </w:style>
  <w:style w:type="paragraph" w:customStyle="1" w:styleId="CBDNormal">
    <w:name w:val="CBD_Normal"/>
    <w:unhideWhenUsed/>
    <w:qFormat/>
    <w:rsid w:val="004C3078"/>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eastAsia="en-US"/>
    </w:rPr>
  </w:style>
  <w:style w:type="paragraph" w:customStyle="1" w:styleId="CBDAnnex">
    <w:name w:val="CBD_Annex"/>
    <w:basedOn w:val="CBDNormal"/>
    <w:next w:val="CBDTitle"/>
    <w:qFormat/>
    <w:rsid w:val="004C3078"/>
    <w:pPr>
      <w:keepNext/>
      <w:keepLines/>
      <w:spacing w:after="240"/>
      <w:jc w:val="left"/>
    </w:pPr>
    <w:rPr>
      <w:b/>
      <w:sz w:val="28"/>
      <w:lang w:bidi="ar-SY"/>
    </w:rPr>
  </w:style>
  <w:style w:type="paragraph" w:customStyle="1" w:styleId="CBDDesicionAnnex">
    <w:name w:val="CBD_DesicionAnnex"/>
    <w:basedOn w:val="CBDNormal"/>
    <w:next w:val="Normal"/>
    <w:qFormat/>
    <w:rsid w:val="004C307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4C3078"/>
    <w:pPr>
      <w:spacing w:after="120"/>
      <w:ind w:left="1134" w:firstLine="567"/>
    </w:pPr>
  </w:style>
  <w:style w:type="paragraph" w:customStyle="1" w:styleId="CBDFigureTitle">
    <w:name w:val="CBD_FigureTitle"/>
    <w:basedOn w:val="CBDNormal"/>
    <w:next w:val="Normal"/>
    <w:qFormat/>
    <w:rsid w:val="004C3078"/>
    <w:pPr>
      <w:keepNext/>
      <w:keepLines/>
      <w:spacing w:before="120" w:after="60"/>
      <w:ind w:left="567"/>
      <w:jc w:val="left"/>
    </w:pPr>
    <w:rPr>
      <w:b/>
    </w:rPr>
  </w:style>
  <w:style w:type="paragraph" w:customStyle="1" w:styleId="CBDFooter">
    <w:name w:val="CBD_Footer"/>
    <w:basedOn w:val="CBDNormal"/>
    <w:qFormat/>
    <w:rsid w:val="004C3078"/>
    <w:rPr>
      <w:sz w:val="20"/>
    </w:rPr>
  </w:style>
  <w:style w:type="paragraph" w:customStyle="1" w:styleId="CBDFootnoteText">
    <w:name w:val="CBD_Footnote_Text"/>
    <w:basedOn w:val="CBDNormal"/>
    <w:qFormat/>
    <w:rsid w:val="004C3078"/>
    <w:pPr>
      <w:jc w:val="left"/>
    </w:pPr>
    <w:rPr>
      <w:sz w:val="18"/>
    </w:rPr>
  </w:style>
  <w:style w:type="paragraph" w:customStyle="1" w:styleId="CBDH2">
    <w:name w:val="CBD_H2"/>
    <w:basedOn w:val="CBDNormal"/>
    <w:qFormat/>
    <w:rsid w:val="004C3078"/>
    <w:pPr>
      <w:keepNext/>
      <w:keepLines/>
      <w:ind w:left="567" w:hanging="567"/>
    </w:pPr>
    <w:rPr>
      <w:b/>
      <w:sz w:val="24"/>
    </w:rPr>
  </w:style>
  <w:style w:type="paragraph" w:customStyle="1" w:styleId="CBDH3">
    <w:name w:val="CBD_H3"/>
    <w:basedOn w:val="CBDNormal"/>
    <w:qFormat/>
    <w:rsid w:val="004C3078"/>
    <w:pPr>
      <w:keepNext/>
      <w:keepLines/>
      <w:spacing w:before="120" w:after="120"/>
      <w:ind w:left="567" w:hanging="567"/>
      <w:jc w:val="left"/>
    </w:pPr>
    <w:rPr>
      <w:b/>
    </w:rPr>
  </w:style>
  <w:style w:type="paragraph" w:customStyle="1" w:styleId="CBDH4">
    <w:name w:val="CBD_H4"/>
    <w:basedOn w:val="CBDNormal"/>
    <w:rsid w:val="004C3078"/>
    <w:pPr>
      <w:keepNext/>
      <w:keepLines/>
      <w:spacing w:before="120" w:after="120"/>
      <w:ind w:left="567" w:hanging="567"/>
      <w:jc w:val="left"/>
    </w:pPr>
    <w:rPr>
      <w:b/>
    </w:rPr>
  </w:style>
  <w:style w:type="paragraph" w:customStyle="1" w:styleId="CBDH5">
    <w:name w:val="CBD_H5"/>
    <w:basedOn w:val="CBDNormal"/>
    <w:qFormat/>
    <w:rsid w:val="004C3078"/>
    <w:pPr>
      <w:keepNext/>
      <w:keepLines/>
      <w:spacing w:before="120" w:after="120"/>
      <w:ind w:left="567" w:hanging="567"/>
      <w:jc w:val="left"/>
    </w:pPr>
    <w:rPr>
      <w:i/>
    </w:rPr>
  </w:style>
  <w:style w:type="paragraph" w:customStyle="1" w:styleId="CBDHeader">
    <w:name w:val="CBD_Header"/>
    <w:basedOn w:val="CBDNormal"/>
    <w:next w:val="CBDFooter"/>
    <w:qFormat/>
    <w:rsid w:val="004C3078"/>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C3078"/>
    <w:pPr>
      <w:numPr>
        <w:numId w:val="38"/>
      </w:numPr>
    </w:pPr>
  </w:style>
  <w:style w:type="paragraph" w:customStyle="1" w:styleId="CBDNormalNoNumber">
    <w:name w:val="CBD_Normal_NoNumber"/>
    <w:basedOn w:val="CBDNormal"/>
    <w:qFormat/>
    <w:rsid w:val="004C3078"/>
    <w:pPr>
      <w:spacing w:after="120"/>
      <w:ind w:left="567"/>
    </w:pPr>
  </w:style>
  <w:style w:type="paragraph" w:customStyle="1" w:styleId="CBDpara-item">
    <w:name w:val="CBD_para-item"/>
    <w:basedOn w:val="Normal"/>
    <w:qFormat/>
    <w:rsid w:val="004C3078"/>
    <w:pPr>
      <w:tabs>
        <w:tab w:val="clear" w:pos="567"/>
      </w:tabs>
      <w:spacing w:before="120" w:after="120"/>
      <w:ind w:left="1134" w:hanging="567"/>
      <w:jc w:val="left"/>
    </w:pPr>
  </w:style>
  <w:style w:type="paragraph" w:customStyle="1" w:styleId="CBDprov-agendaItem">
    <w:name w:val="CBD_prov-agenda_Item"/>
    <w:basedOn w:val="CBDNormalNumber"/>
    <w:qFormat/>
    <w:rsid w:val="004C3078"/>
  </w:style>
  <w:style w:type="paragraph" w:customStyle="1" w:styleId="CBDRecommendText">
    <w:name w:val="CBD_RecommendText"/>
    <w:basedOn w:val="Normal"/>
    <w:qFormat/>
    <w:rsid w:val="004C3078"/>
    <w:pPr>
      <w:spacing w:after="120"/>
      <w:ind w:left="567"/>
    </w:pPr>
  </w:style>
  <w:style w:type="paragraph" w:customStyle="1" w:styleId="CBDsubpara-item">
    <w:name w:val="CBD_subpara-item"/>
    <w:basedOn w:val="CBDpara-item"/>
    <w:qFormat/>
    <w:rsid w:val="004C3078"/>
    <w:pPr>
      <w:tabs>
        <w:tab w:val="clear" w:pos="1134"/>
      </w:tabs>
      <w:ind w:left="1701"/>
    </w:pPr>
  </w:style>
  <w:style w:type="character" w:customStyle="1" w:styleId="FooterChar">
    <w:name w:val="Footer Char"/>
    <w:basedOn w:val="DefaultParagraphFont"/>
    <w:link w:val="Footer"/>
    <w:uiPriority w:val="99"/>
    <w:rsid w:val="004C3078"/>
    <w:rPr>
      <w:rFonts w:eastAsia="SimSun"/>
      <w:szCs w:val="22"/>
      <w:bdr w:val="none" w:sz="0" w:space="0" w:color="auto"/>
      <w:lang w:val="es-ES" w:eastAsia="en-US"/>
    </w:rPr>
  </w:style>
  <w:style w:type="character" w:customStyle="1" w:styleId="FootnoteTextChar">
    <w:name w:val="Footnote Text Char"/>
    <w:basedOn w:val="DefaultParagraphFont"/>
    <w:link w:val="FootnoteText"/>
    <w:uiPriority w:val="99"/>
    <w:rsid w:val="004C3078"/>
    <w:rPr>
      <w:rFonts w:eastAsia="SimSun"/>
      <w:sz w:val="18"/>
      <w:bdr w:val="none" w:sz="0" w:space="0" w:color="auto"/>
      <w:lang w:val="es-ES" w:eastAsia="en-US"/>
    </w:rPr>
  </w:style>
  <w:style w:type="paragraph" w:customStyle="1" w:styleId="Footnote">
    <w:name w:val="Footnote"/>
    <w:basedOn w:val="FootnoteText"/>
    <w:semiHidden/>
    <w:qFormat/>
    <w:rsid w:val="004C3078"/>
    <w:rPr>
      <w:szCs w:val="18"/>
    </w:rPr>
  </w:style>
  <w:style w:type="character" w:customStyle="1" w:styleId="HeaderChar">
    <w:name w:val="Header Char"/>
    <w:basedOn w:val="DefaultParagraphFont"/>
    <w:link w:val="Header"/>
    <w:rsid w:val="004C3078"/>
    <w:rPr>
      <w:rFonts w:eastAsia="SimSun"/>
      <w:szCs w:val="22"/>
      <w:bdr w:val="none" w:sz="0" w:space="0" w:color="auto"/>
      <w:lang w:val="es-ES" w:eastAsia="en-US"/>
    </w:rPr>
  </w:style>
  <w:style w:type="character" w:customStyle="1" w:styleId="Heading1Char">
    <w:name w:val="Heading 1 Char"/>
    <w:basedOn w:val="DefaultParagraphFont"/>
    <w:link w:val="Heading1"/>
    <w:uiPriority w:val="9"/>
    <w:rsid w:val="004C3078"/>
    <w:rPr>
      <w:rFonts w:eastAsiaTheme="majorEastAsia" w:cstheme="majorBidi"/>
      <w:b/>
      <w:bCs/>
      <w:kern w:val="2"/>
      <w:sz w:val="28"/>
      <w:szCs w:val="32"/>
      <w:bdr w:val="none" w:sz="0" w:space="0" w:color="auto"/>
      <w:lang w:eastAsia="en-US"/>
      <w14:ligatures w14:val="standardContextual"/>
    </w:rPr>
  </w:style>
  <w:style w:type="character" w:customStyle="1" w:styleId="Heading2Char">
    <w:name w:val="Heading 2 Char"/>
    <w:basedOn w:val="DefaultParagraphFont"/>
    <w:link w:val="Heading2"/>
    <w:uiPriority w:val="9"/>
    <w:rsid w:val="004C3078"/>
    <w:rPr>
      <w:rFonts w:ascii="Times New Roman Bold" w:eastAsiaTheme="majorEastAsia" w:hAnsi="Times New Roman Bold" w:cstheme="majorBidi"/>
      <w:b/>
      <w:sz w:val="24"/>
      <w:szCs w:val="26"/>
      <w:bdr w:val="none" w:sz="0" w:space="0" w:color="auto"/>
      <w:lang w:val="es-ES" w:eastAsia="en-US"/>
    </w:rPr>
  </w:style>
  <w:style w:type="character" w:customStyle="1" w:styleId="Heading3Char">
    <w:name w:val="Heading 3 Char"/>
    <w:basedOn w:val="DefaultParagraphFont"/>
    <w:link w:val="Heading3"/>
    <w:uiPriority w:val="9"/>
    <w:rsid w:val="004C3078"/>
    <w:rPr>
      <w:rFonts w:eastAsiaTheme="majorEastAsia"/>
      <w:b/>
      <w:bCs/>
      <w:sz w:val="22"/>
      <w:szCs w:val="22"/>
      <w:bdr w:val="none" w:sz="0" w:space="0" w:color="auto"/>
      <w:lang w:val="es-ES" w:eastAsia="en-US"/>
    </w:rPr>
  </w:style>
  <w:style w:type="character" w:customStyle="1" w:styleId="Heading4Char">
    <w:name w:val="Heading 4 Char"/>
    <w:basedOn w:val="DefaultParagraphFont"/>
    <w:link w:val="Heading4"/>
    <w:uiPriority w:val="9"/>
    <w:rsid w:val="004C3078"/>
    <w:rPr>
      <w:rFonts w:eastAsiaTheme="majorEastAsia"/>
      <w:b/>
      <w:bCs/>
      <w:sz w:val="22"/>
      <w:szCs w:val="22"/>
      <w:bdr w:val="none" w:sz="0" w:space="0" w:color="auto"/>
      <w:lang w:val="es-ES" w:eastAsia="en-US"/>
    </w:rPr>
  </w:style>
  <w:style w:type="character" w:customStyle="1" w:styleId="Heading5Char">
    <w:name w:val="Heading 5 Char"/>
    <w:basedOn w:val="DefaultParagraphFont"/>
    <w:link w:val="Heading5"/>
    <w:uiPriority w:val="9"/>
    <w:rsid w:val="004C3078"/>
    <w:rPr>
      <w:rFonts w:eastAsiaTheme="majorEastAsia"/>
      <w:i/>
      <w:iCs/>
      <w:sz w:val="22"/>
      <w:szCs w:val="22"/>
      <w:bdr w:val="none" w:sz="0" w:space="0" w:color="auto"/>
      <w:lang w:val="es-ES" w:eastAsia="en-US"/>
    </w:rPr>
  </w:style>
  <w:style w:type="character" w:customStyle="1" w:styleId="Heading6Char">
    <w:name w:val="Heading 6 Char"/>
    <w:basedOn w:val="DefaultParagraphFont"/>
    <w:link w:val="Heading6"/>
    <w:semiHidden/>
    <w:rsid w:val="004C3078"/>
    <w:rPr>
      <w:rFonts w:eastAsia="SimSun"/>
      <w:bCs/>
      <w:sz w:val="24"/>
      <w:szCs w:val="22"/>
      <w:bdr w:val="none" w:sz="0" w:space="0" w:color="auto"/>
      <w:lang w:val="es-ES" w:eastAsia="en-US"/>
    </w:rPr>
  </w:style>
  <w:style w:type="character" w:customStyle="1" w:styleId="Heading7Char">
    <w:name w:val="Heading 7 Char"/>
    <w:basedOn w:val="DefaultParagraphFont"/>
    <w:link w:val="Heading7"/>
    <w:semiHidden/>
    <w:rsid w:val="004C3078"/>
    <w:rPr>
      <w:rFonts w:eastAsia="SimSun"/>
      <w:b/>
      <w:snapToGrid w:val="0"/>
      <w:sz w:val="22"/>
      <w:szCs w:val="22"/>
      <w:u w:val="single"/>
      <w:bdr w:val="none" w:sz="0" w:space="0" w:color="auto"/>
      <w:lang w:val="es-ES" w:eastAsia="en-US"/>
    </w:rPr>
  </w:style>
  <w:style w:type="character" w:customStyle="1" w:styleId="Heading8Char">
    <w:name w:val="Heading 8 Char"/>
    <w:basedOn w:val="DefaultParagraphFont"/>
    <w:link w:val="Heading8"/>
    <w:semiHidden/>
    <w:rsid w:val="004C3078"/>
    <w:rPr>
      <w:rFonts w:eastAsia="SimSun"/>
      <w:b/>
      <w:snapToGrid w:val="0"/>
      <w:sz w:val="22"/>
      <w:szCs w:val="22"/>
      <w:u w:val="single"/>
      <w:bdr w:val="none" w:sz="0" w:space="0" w:color="auto"/>
      <w:lang w:val="es-ES" w:eastAsia="en-US"/>
    </w:rPr>
  </w:style>
  <w:style w:type="character" w:customStyle="1" w:styleId="Heading9Char">
    <w:name w:val="Heading 9 Char"/>
    <w:basedOn w:val="DefaultParagraphFont"/>
    <w:link w:val="Heading9"/>
    <w:semiHidden/>
    <w:rsid w:val="004C3078"/>
    <w:rPr>
      <w:rFonts w:eastAsia="SimSun"/>
      <w:snapToGrid w:val="0"/>
      <w:sz w:val="22"/>
      <w:szCs w:val="22"/>
      <w:u w:val="single"/>
      <w:bdr w:val="none" w:sz="0" w:space="0" w:color="auto"/>
      <w:lang w:val="es-ES" w:eastAsia="en-US"/>
    </w:rPr>
  </w:style>
  <w:style w:type="paragraph" w:customStyle="1" w:styleId="Item">
    <w:name w:val="Item"/>
    <w:basedOn w:val="Normal"/>
    <w:semiHidden/>
    <w:qFormat/>
    <w:rsid w:val="004C3078"/>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4C3078"/>
    <w:pPr>
      <w:contextualSpacing/>
    </w:pPr>
  </w:style>
  <w:style w:type="paragraph" w:styleId="ListParagraph">
    <w:name w:val="List Paragraph"/>
    <w:basedOn w:val="Normal"/>
    <w:uiPriority w:val="34"/>
    <w:qFormat/>
    <w:rsid w:val="004C3078"/>
    <w:pPr>
      <w:ind w:left="720"/>
      <w:contextualSpacing/>
    </w:pPr>
  </w:style>
  <w:style w:type="paragraph" w:styleId="TOC1">
    <w:name w:val="toc 1"/>
    <w:basedOn w:val="CBDNormal"/>
    <w:next w:val="Normal"/>
    <w:autoRedefine/>
    <w:uiPriority w:val="39"/>
    <w:unhideWhenUsed/>
    <w:rsid w:val="004C307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4C307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4C307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4C307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ED2A51"/>
    <w:rPr>
      <w:sz w:val="18"/>
      <w:szCs w:val="18"/>
    </w:rPr>
  </w:style>
  <w:style w:type="character" w:customStyle="1" w:styleId="BalloonTextChar">
    <w:name w:val="Balloon Text Char"/>
    <w:basedOn w:val="DefaultParagraphFont"/>
    <w:link w:val="BalloonText"/>
    <w:uiPriority w:val="99"/>
    <w:semiHidden/>
    <w:rsid w:val="00ED2A51"/>
    <w:rPr>
      <w:rFonts w:eastAsia="SimSun"/>
      <w:sz w:val="18"/>
      <w:szCs w:val="18"/>
      <w:bdr w:val="none" w:sz="0" w:space="0" w:color="auto"/>
      <w:lang w:val="es-ES" w:eastAsia="en-US"/>
    </w:rPr>
  </w:style>
  <w:style w:type="character" w:styleId="FollowedHyperlink">
    <w:name w:val="FollowedHyperlink"/>
    <w:basedOn w:val="DefaultParagraphFont"/>
    <w:uiPriority w:val="99"/>
    <w:semiHidden/>
    <w:unhideWhenUsed/>
    <w:rsid w:val="00A03F4B"/>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ocuments/CBD/DSI/AHTEG/2026/2/3" TargetMode="External"/><Relationship Id="rId1" Type="http://schemas.openxmlformats.org/officeDocument/2006/relationships/hyperlink" Target="https://www.cbd.int/documents/CBD/COP/17/1/REV1" TargetMode="External"/><Relationship Id="rId5" Type="http://schemas.openxmlformats.org/officeDocument/2006/relationships/hyperlink" Target="https://ssrn.com/abstract=6809586" TargetMode="External"/><Relationship Id="rId4" Type="http://schemas.openxmlformats.org/officeDocument/2006/relationships/hyperlink" Target="https://www.cbd.int/meetings/DSI-AHTEG-2026-02"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6FE259-6423-4DF6-986F-3A065E1C5BF1}">
  <ds:schemaRefs>
    <ds:schemaRef ds:uri="http://schemas.openxmlformats.org/officeDocument/2006/bibliography"/>
  </ds:schemaRefs>
</ds:datastoreItem>
</file>

<file path=customXml/itemProps2.xml><?xml version="1.0" encoding="utf-8"?>
<ds:datastoreItem xmlns:ds="http://schemas.openxmlformats.org/officeDocument/2006/customXml" ds:itemID="{C5921EE1-B8D1-491F-BEAF-C5A1D81D2F98}">
  <ds:schemaRefs>
    <ds:schemaRef ds:uri="http://schemas.microsoft.com/sharepoint/v3/contenttype/forms"/>
  </ds:schemaRefs>
</ds:datastoreItem>
</file>

<file path=customXml/itemProps3.xml><?xml version="1.0" encoding="utf-8"?>
<ds:datastoreItem xmlns:ds="http://schemas.openxmlformats.org/officeDocument/2006/customXml" ds:itemID="{A30C206E-3258-422F-B715-2F028E09C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50F1E9-E45C-496E-8383-569EC7CCB5B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31</TotalTime>
  <Pages>10</Pages>
  <Words>3734</Words>
  <Characters>21919</Characters>
  <Application>Microsoft Office Word</Application>
  <DocSecurity>0</DocSecurity>
  <Lines>487</Lines>
  <Paragraphs>288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veronique.lefebvre</dc:creator>
  <cp:lastModifiedBy>Mariko Nishi</cp:lastModifiedBy>
  <cp:revision>21</cp:revision>
  <dcterms:created xsi:type="dcterms:W3CDTF">2026-09-08T19:35:00Z</dcterms:created>
  <dcterms:modified xsi:type="dcterms:W3CDTF">2026-09-15T18:47:00Z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0x0101007A328EB00E67F346B6174BE96D327B2B</vt:lpwstr>
  </property>
</Properties>
</file>