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3D6C86" w14:paraId="48AEAD97" w14:textId="77777777" w:rsidTr="00CF1848">
        <w:trPr>
          <w:trHeight w:val="709"/>
        </w:trPr>
        <w:tc>
          <w:tcPr>
            <w:tcW w:w="976" w:type="dxa"/>
            <w:tcBorders>
              <w:bottom w:val="single" w:sz="12" w:space="0" w:color="auto"/>
            </w:tcBorders>
          </w:tcPr>
          <w:p w14:paraId="06C0C992" w14:textId="77777777" w:rsidR="00C9161D" w:rsidRPr="00EC6497" w:rsidRDefault="00C9161D" w:rsidP="00EC6497">
            <w:pPr>
              <w:kinsoku w:val="0"/>
              <w:overflowPunct w:val="0"/>
              <w:autoSpaceDE w:val="0"/>
              <w:autoSpaceDN w:val="0"/>
              <w:rPr>
                <w:snapToGrid w:val="0"/>
                <w:kern w:val="22"/>
                <w:szCs w:val="22"/>
              </w:rPr>
            </w:pPr>
            <w:bookmarkStart w:id="0" w:name="_Hlk505247837"/>
            <w:r w:rsidRPr="00EC6497">
              <w:rPr>
                <w:noProof/>
                <w:snapToGrid w:val="0"/>
                <w:kern w:val="22"/>
                <w:szCs w:val="22"/>
                <w:lang w:val="en-US" w:eastAsia="en-US"/>
              </w:rPr>
              <w:drawing>
                <wp:inline distT="0" distB="0" distL="0" distR="0" wp14:anchorId="27274360" wp14:editId="28508CE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019818" w14:textId="77777777" w:rsidR="00C9161D" w:rsidRPr="00EC6497" w:rsidRDefault="00C9161D" w:rsidP="00EC6497">
            <w:pPr>
              <w:kinsoku w:val="0"/>
              <w:overflowPunct w:val="0"/>
              <w:autoSpaceDE w:val="0"/>
              <w:autoSpaceDN w:val="0"/>
              <w:rPr>
                <w:snapToGrid w:val="0"/>
                <w:kern w:val="22"/>
                <w:szCs w:val="22"/>
              </w:rPr>
            </w:pPr>
            <w:r w:rsidRPr="00EC6497">
              <w:rPr>
                <w:noProof/>
                <w:snapToGrid w:val="0"/>
                <w:kern w:val="22"/>
                <w:szCs w:val="22"/>
                <w:lang w:val="en-US" w:eastAsia="en-US"/>
              </w:rPr>
              <w:drawing>
                <wp:inline distT="0" distB="0" distL="0" distR="0" wp14:anchorId="353A10EC" wp14:editId="0FA7FE8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1349115" w14:textId="77777777" w:rsidR="00C9161D" w:rsidRPr="00EC6497" w:rsidRDefault="00C9161D" w:rsidP="00EC6497">
            <w:pPr>
              <w:kinsoku w:val="0"/>
              <w:overflowPunct w:val="0"/>
              <w:autoSpaceDE w:val="0"/>
              <w:autoSpaceDN w:val="0"/>
              <w:jc w:val="right"/>
              <w:rPr>
                <w:rFonts w:ascii="Arial" w:hAnsi="Arial" w:cs="Arial"/>
                <w:b/>
                <w:snapToGrid w:val="0"/>
                <w:kern w:val="22"/>
                <w:sz w:val="32"/>
                <w:szCs w:val="32"/>
              </w:rPr>
            </w:pPr>
            <w:r w:rsidRPr="00EC6497">
              <w:rPr>
                <w:rFonts w:ascii="Arial" w:hAnsi="Arial" w:cs="Arial"/>
                <w:b/>
                <w:snapToGrid w:val="0"/>
                <w:kern w:val="22"/>
                <w:sz w:val="32"/>
                <w:szCs w:val="32"/>
              </w:rPr>
              <w:t>CBD</w:t>
            </w:r>
          </w:p>
        </w:tc>
      </w:tr>
      <w:bookmarkEnd w:id="0"/>
      <w:tr w:rsidR="00C9161D" w:rsidRPr="003D6C86" w14:paraId="75402738" w14:textId="77777777" w:rsidTr="00CF1848">
        <w:tc>
          <w:tcPr>
            <w:tcW w:w="6117" w:type="dxa"/>
            <w:gridSpan w:val="2"/>
            <w:tcBorders>
              <w:top w:val="single" w:sz="12" w:space="0" w:color="auto"/>
              <w:bottom w:val="single" w:sz="36" w:space="0" w:color="auto"/>
            </w:tcBorders>
            <w:vAlign w:val="center"/>
          </w:tcPr>
          <w:p w14:paraId="70466753" w14:textId="77777777" w:rsidR="00C9161D" w:rsidRPr="00EC6497" w:rsidRDefault="00C9161D" w:rsidP="00EC6497">
            <w:pPr>
              <w:kinsoku w:val="0"/>
              <w:overflowPunct w:val="0"/>
              <w:autoSpaceDE w:val="0"/>
              <w:autoSpaceDN w:val="0"/>
              <w:rPr>
                <w:snapToGrid w:val="0"/>
                <w:kern w:val="22"/>
                <w:szCs w:val="22"/>
              </w:rPr>
            </w:pPr>
            <w:r w:rsidRPr="00EC6497">
              <w:rPr>
                <w:noProof/>
                <w:snapToGrid w:val="0"/>
                <w:kern w:val="22"/>
                <w:szCs w:val="22"/>
                <w:lang w:val="en-US" w:eastAsia="en-US"/>
              </w:rPr>
              <w:drawing>
                <wp:inline distT="0" distB="0" distL="0" distR="0" wp14:anchorId="3ADB93B9" wp14:editId="14BEF986">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7F6C374" w14:textId="77777777" w:rsidR="00C9161D" w:rsidRPr="00EC6497" w:rsidRDefault="00C9161D" w:rsidP="00EC6497">
            <w:pPr>
              <w:kinsoku w:val="0"/>
              <w:overflowPunct w:val="0"/>
              <w:autoSpaceDE w:val="0"/>
              <w:autoSpaceDN w:val="0"/>
              <w:ind w:left="1215"/>
              <w:rPr>
                <w:snapToGrid w:val="0"/>
                <w:kern w:val="22"/>
                <w:szCs w:val="22"/>
              </w:rPr>
            </w:pPr>
            <w:r w:rsidRPr="00EC6497">
              <w:rPr>
                <w:snapToGrid w:val="0"/>
                <w:kern w:val="22"/>
                <w:szCs w:val="22"/>
              </w:rPr>
              <w:t>Distr.</w:t>
            </w:r>
          </w:p>
          <w:p w14:paraId="30B50CFD" w14:textId="77777777" w:rsidR="00C9161D" w:rsidRPr="00EC6497" w:rsidRDefault="00A058B5" w:rsidP="00EC6497">
            <w:pPr>
              <w:kinsoku w:val="0"/>
              <w:overflowPunct w:val="0"/>
              <w:autoSpaceDE w:val="0"/>
              <w:autoSpaceDN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EC6497">
                  <w:rPr>
                    <w:caps/>
                    <w:snapToGrid w:val="0"/>
                    <w:kern w:val="22"/>
                    <w:szCs w:val="22"/>
                  </w:rPr>
                  <w:t>GENERAL</w:t>
                </w:r>
              </w:sdtContent>
            </w:sdt>
          </w:p>
          <w:p w14:paraId="2CC00334" w14:textId="77777777" w:rsidR="00C9161D" w:rsidRPr="00EC6497" w:rsidRDefault="00C9161D" w:rsidP="00EC6497">
            <w:pPr>
              <w:kinsoku w:val="0"/>
              <w:overflowPunct w:val="0"/>
              <w:autoSpaceDE w:val="0"/>
              <w:autoSpaceDN w:val="0"/>
              <w:ind w:left="1215"/>
              <w:rPr>
                <w:snapToGrid w:val="0"/>
                <w:kern w:val="22"/>
                <w:szCs w:val="22"/>
              </w:rPr>
            </w:pPr>
          </w:p>
          <w:p w14:paraId="5D47ABB2" w14:textId="315C520B" w:rsidR="00C9161D" w:rsidRPr="00E908C5" w:rsidRDefault="00A058B5" w:rsidP="00EC6497">
            <w:pPr>
              <w:kinsoku w:val="0"/>
              <w:overflowPunct w:val="0"/>
              <w:autoSpaceDE w:val="0"/>
              <w:autoSpaceDN w:val="0"/>
              <w:ind w:left="1215"/>
              <w:rPr>
                <w:snapToGrid w:val="0"/>
                <w:kern w:val="22"/>
                <w:szCs w:val="22"/>
              </w:rPr>
            </w:pPr>
            <w:sdt>
              <w:sdtPr>
                <w:rPr>
                  <w:bCs/>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C62FA" w:rsidRPr="00E908C5">
                  <w:rPr>
                    <w:bCs/>
                    <w:snapToGrid w:val="0"/>
                    <w:kern w:val="22"/>
                    <w:szCs w:val="22"/>
                  </w:rPr>
                  <w:t>CBD/COP/14/</w:t>
                </w:r>
                <w:r w:rsidR="0054566A" w:rsidRPr="00E908C5">
                  <w:rPr>
                    <w:bCs/>
                    <w:snapToGrid w:val="0"/>
                    <w:kern w:val="22"/>
                    <w:szCs w:val="22"/>
                  </w:rPr>
                  <w:t>INF/4</w:t>
                </w:r>
              </w:sdtContent>
            </w:sdt>
          </w:p>
          <w:p w14:paraId="2192A249" w14:textId="209AEDDE" w:rsidR="00C9161D" w:rsidRPr="00EC6497" w:rsidRDefault="00E908C5" w:rsidP="00EC6497">
            <w:pPr>
              <w:kinsoku w:val="0"/>
              <w:overflowPunct w:val="0"/>
              <w:autoSpaceDE w:val="0"/>
              <w:autoSpaceDN w:val="0"/>
              <w:ind w:left="1215"/>
              <w:rPr>
                <w:snapToGrid w:val="0"/>
                <w:kern w:val="22"/>
                <w:szCs w:val="22"/>
              </w:rPr>
            </w:pPr>
            <w:r>
              <w:rPr>
                <w:snapToGrid w:val="0"/>
                <w:kern w:val="22"/>
                <w:szCs w:val="22"/>
                <w:lang w:val="en-US"/>
              </w:rPr>
              <w:t>2</w:t>
            </w:r>
            <w:r w:rsidR="00CE74B5" w:rsidRPr="00E908C5">
              <w:rPr>
                <w:snapToGrid w:val="0"/>
                <w:kern w:val="22"/>
                <w:szCs w:val="22"/>
                <w:lang w:val="en-US"/>
              </w:rPr>
              <w:t xml:space="preserve"> </w:t>
            </w:r>
            <w:r>
              <w:rPr>
                <w:snapToGrid w:val="0"/>
                <w:kern w:val="22"/>
                <w:szCs w:val="22"/>
                <w:lang w:val="en-US"/>
              </w:rPr>
              <w:t>November</w:t>
            </w:r>
            <w:r w:rsidR="00CE74B5" w:rsidRPr="00E908C5">
              <w:rPr>
                <w:snapToGrid w:val="0"/>
                <w:kern w:val="22"/>
                <w:szCs w:val="22"/>
                <w:lang w:val="en-US"/>
              </w:rPr>
              <w:t xml:space="preserve"> 2018</w:t>
            </w:r>
          </w:p>
          <w:p w14:paraId="11687D19" w14:textId="77777777" w:rsidR="00C9161D" w:rsidRPr="00EC6497" w:rsidRDefault="00C9161D" w:rsidP="00EC6497">
            <w:pPr>
              <w:kinsoku w:val="0"/>
              <w:overflowPunct w:val="0"/>
              <w:autoSpaceDE w:val="0"/>
              <w:autoSpaceDN w:val="0"/>
              <w:ind w:left="1215"/>
              <w:rPr>
                <w:snapToGrid w:val="0"/>
                <w:kern w:val="22"/>
                <w:szCs w:val="22"/>
              </w:rPr>
            </w:pPr>
          </w:p>
          <w:p w14:paraId="7093F2DC" w14:textId="77777777" w:rsidR="00C9161D" w:rsidRPr="00EC6497" w:rsidRDefault="00AB6333" w:rsidP="00EC6497">
            <w:pPr>
              <w:kinsoku w:val="0"/>
              <w:overflowPunct w:val="0"/>
              <w:autoSpaceDE w:val="0"/>
              <w:autoSpaceDN w:val="0"/>
              <w:ind w:left="1215"/>
              <w:rPr>
                <w:snapToGrid w:val="0"/>
                <w:kern w:val="22"/>
                <w:szCs w:val="22"/>
              </w:rPr>
            </w:pPr>
            <w:r w:rsidRPr="00EC6497">
              <w:rPr>
                <w:snapToGrid w:val="0"/>
                <w:kern w:val="22"/>
                <w:szCs w:val="22"/>
              </w:rPr>
              <w:t xml:space="preserve">ORIGINAL: </w:t>
            </w:r>
            <w:r w:rsidR="00C9161D" w:rsidRPr="00EC6497">
              <w:rPr>
                <w:snapToGrid w:val="0"/>
                <w:kern w:val="22"/>
                <w:szCs w:val="22"/>
              </w:rPr>
              <w:t>ENGLISH</w:t>
            </w:r>
          </w:p>
          <w:p w14:paraId="76D8C666" w14:textId="77777777" w:rsidR="00C9161D" w:rsidRPr="00EC6497" w:rsidRDefault="00C9161D" w:rsidP="00EC6497">
            <w:pPr>
              <w:kinsoku w:val="0"/>
              <w:overflowPunct w:val="0"/>
              <w:autoSpaceDE w:val="0"/>
              <w:autoSpaceDN w:val="0"/>
              <w:ind w:left="1215"/>
              <w:rPr>
                <w:snapToGrid w:val="0"/>
                <w:kern w:val="22"/>
                <w:szCs w:val="22"/>
              </w:rPr>
            </w:pPr>
          </w:p>
        </w:tc>
      </w:tr>
    </w:tbl>
    <w:p w14:paraId="392D8C66" w14:textId="77777777" w:rsidR="00660370" w:rsidRPr="00EC6497" w:rsidRDefault="004E43F1" w:rsidP="00D03E86">
      <w:pPr>
        <w:pStyle w:val="Cornernotation"/>
        <w:kinsoku w:val="0"/>
        <w:overflowPunct w:val="0"/>
        <w:autoSpaceDE w:val="0"/>
        <w:autoSpaceDN w:val="0"/>
        <w:ind w:left="187" w:right="4423" w:hanging="187"/>
        <w:jc w:val="left"/>
        <w:rPr>
          <w:snapToGrid w:val="0"/>
          <w:kern w:val="22"/>
          <w:szCs w:val="22"/>
          <w:lang w:val="en-GB"/>
        </w:rPr>
      </w:pPr>
      <w:r w:rsidRPr="00EC6497">
        <w:rPr>
          <w:snapToGrid w:val="0"/>
          <w:kern w:val="22"/>
          <w:szCs w:val="22"/>
          <w:lang w:val="en-GB"/>
        </w:rPr>
        <w:t>CONFERENCE OF THE PARTIES TO THE CONVENTION ON BIOLOGICAL DIVERSITY</w:t>
      </w:r>
    </w:p>
    <w:p w14:paraId="2370050A" w14:textId="77777777" w:rsidR="00AF0431" w:rsidRPr="00EC6497" w:rsidRDefault="00AF0431" w:rsidP="00EC6497">
      <w:pPr>
        <w:pStyle w:val="Cornernotation"/>
        <w:kinsoku w:val="0"/>
        <w:overflowPunct w:val="0"/>
        <w:autoSpaceDE w:val="0"/>
        <w:autoSpaceDN w:val="0"/>
        <w:ind w:left="187" w:right="4421" w:hanging="187"/>
        <w:rPr>
          <w:snapToGrid w:val="0"/>
          <w:kern w:val="22"/>
          <w:szCs w:val="22"/>
          <w:lang w:val="en-GB"/>
        </w:rPr>
      </w:pPr>
      <w:r w:rsidRPr="00EC6497">
        <w:rPr>
          <w:snapToGrid w:val="0"/>
          <w:kern w:val="22"/>
          <w:szCs w:val="22"/>
          <w:lang w:val="en-GB"/>
        </w:rPr>
        <w:t>Fourteenth meeting</w:t>
      </w:r>
    </w:p>
    <w:p w14:paraId="6873F1AA" w14:textId="77777777" w:rsidR="000F14EE" w:rsidRDefault="00C45A9D" w:rsidP="00E908C5">
      <w:pPr>
        <w:pStyle w:val="Cornernotation"/>
        <w:kinsoku w:val="0"/>
        <w:overflowPunct w:val="0"/>
        <w:autoSpaceDE w:val="0"/>
        <w:autoSpaceDN w:val="0"/>
        <w:ind w:left="187" w:right="4423" w:hanging="187"/>
        <w:rPr>
          <w:snapToGrid w:val="0"/>
          <w:kern w:val="22"/>
          <w:szCs w:val="22"/>
          <w:lang w:val="en-GB"/>
        </w:rPr>
      </w:pPr>
      <w:r w:rsidRPr="00EC6497">
        <w:rPr>
          <w:snapToGrid w:val="0"/>
          <w:kern w:val="22"/>
          <w:szCs w:val="22"/>
          <w:lang w:val="en-GB"/>
        </w:rPr>
        <w:t>Sharm El-Sheikh, Egypt</w:t>
      </w:r>
      <w:r w:rsidR="00660370" w:rsidRPr="00EC6497">
        <w:rPr>
          <w:snapToGrid w:val="0"/>
          <w:kern w:val="22"/>
          <w:szCs w:val="22"/>
          <w:lang w:val="en-GB"/>
        </w:rPr>
        <w:t xml:space="preserve">, </w:t>
      </w:r>
      <w:r w:rsidR="00676FCE" w:rsidRPr="00EC6497">
        <w:rPr>
          <w:snapToGrid w:val="0"/>
          <w:kern w:val="22"/>
          <w:szCs w:val="22"/>
          <w:lang w:val="en-GB"/>
        </w:rPr>
        <w:t>1</w:t>
      </w:r>
      <w:r w:rsidR="00676FCE">
        <w:rPr>
          <w:snapToGrid w:val="0"/>
          <w:kern w:val="22"/>
          <w:szCs w:val="22"/>
          <w:lang w:val="en-GB"/>
        </w:rPr>
        <w:t>7</w:t>
      </w:r>
      <w:r w:rsidRPr="00EC6497">
        <w:rPr>
          <w:snapToGrid w:val="0"/>
          <w:kern w:val="22"/>
          <w:szCs w:val="22"/>
          <w:lang w:val="en-GB"/>
        </w:rPr>
        <w:t>-</w:t>
      </w:r>
      <w:r w:rsidR="00676FCE" w:rsidRPr="00EC6497">
        <w:rPr>
          <w:snapToGrid w:val="0"/>
          <w:kern w:val="22"/>
          <w:szCs w:val="22"/>
          <w:lang w:val="en-GB"/>
        </w:rPr>
        <w:t>2</w:t>
      </w:r>
      <w:r w:rsidR="00676FCE">
        <w:rPr>
          <w:snapToGrid w:val="0"/>
          <w:kern w:val="22"/>
          <w:szCs w:val="22"/>
          <w:lang w:val="en-GB"/>
        </w:rPr>
        <w:t>9</w:t>
      </w:r>
      <w:r w:rsidR="00676FCE" w:rsidRPr="00EC6497">
        <w:rPr>
          <w:snapToGrid w:val="0"/>
          <w:kern w:val="22"/>
          <w:szCs w:val="22"/>
          <w:lang w:val="en-GB"/>
        </w:rPr>
        <w:t xml:space="preserve"> </w:t>
      </w:r>
      <w:r w:rsidRPr="00EC6497">
        <w:rPr>
          <w:snapToGrid w:val="0"/>
          <w:kern w:val="22"/>
          <w:szCs w:val="22"/>
          <w:lang w:val="en-GB"/>
        </w:rPr>
        <w:t>November 2018</w:t>
      </w:r>
    </w:p>
    <w:p w14:paraId="7687B70C" w14:textId="1E96122C" w:rsidR="002976C8" w:rsidRPr="00EC6497" w:rsidRDefault="000F14EE" w:rsidP="00E908C5">
      <w:pPr>
        <w:pStyle w:val="Cornernotation"/>
        <w:kinsoku w:val="0"/>
        <w:overflowPunct w:val="0"/>
        <w:autoSpaceDE w:val="0"/>
        <w:autoSpaceDN w:val="0"/>
        <w:spacing w:after="120"/>
        <w:ind w:right="4423"/>
        <w:rPr>
          <w:snapToGrid w:val="0"/>
          <w:kern w:val="22"/>
          <w:szCs w:val="22"/>
          <w:lang w:val="en-GB"/>
        </w:rPr>
      </w:pPr>
      <w:r>
        <w:rPr>
          <w:snapToGrid w:val="0"/>
          <w:kern w:val="22"/>
          <w:szCs w:val="22"/>
          <w:lang w:val="en-GB"/>
        </w:rPr>
        <w:t>I</w:t>
      </w:r>
      <w:r w:rsidR="002976C8">
        <w:rPr>
          <w:snapToGrid w:val="0"/>
          <w:kern w:val="22"/>
          <w:szCs w:val="22"/>
          <w:lang w:val="en-GB"/>
        </w:rPr>
        <w:t>tem 11</w:t>
      </w:r>
      <w:r>
        <w:rPr>
          <w:snapToGrid w:val="0"/>
          <w:kern w:val="22"/>
          <w:szCs w:val="22"/>
          <w:lang w:val="en-GB"/>
        </w:rPr>
        <w:t xml:space="preserve"> of the provisional agenda</w:t>
      </w:r>
      <w:r w:rsidR="00E32DDB">
        <w:rPr>
          <w:snapToGrid w:val="0"/>
          <w:kern w:val="22"/>
          <w:szCs w:val="22"/>
          <w:lang w:val="en-GB"/>
        </w:rPr>
        <w:t>*</w:t>
      </w:r>
    </w:p>
    <w:p w14:paraId="505BAAB5" w14:textId="45D7F219" w:rsidR="00125375" w:rsidRPr="00EC6497" w:rsidRDefault="00A058B5" w:rsidP="00EC6497">
      <w:pPr>
        <w:kinsoku w:val="0"/>
        <w:overflowPunct w:val="0"/>
        <w:autoSpaceDE w:val="0"/>
        <w:autoSpaceDN w:val="0"/>
        <w:spacing w:before="240" w:after="120"/>
        <w:jc w:val="center"/>
        <w:rPr>
          <w:b/>
          <w:bCs/>
          <w:caps/>
          <w:snapToGrid w:val="0"/>
          <w:kern w:val="22"/>
          <w:szCs w:val="22"/>
          <w:lang w:val="en-GB"/>
        </w:rPr>
      </w:pPr>
      <w:sdt>
        <w:sdtPr>
          <w:rPr>
            <w:b/>
            <w:caps/>
            <w:kern w:val="20"/>
            <w:szCs w:val="22"/>
            <w:lang w:val="en-GB" w:eastAsia="en-U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12DEA">
            <w:rPr>
              <w:b/>
              <w:caps/>
              <w:kern w:val="20"/>
              <w:szCs w:val="22"/>
              <w:lang w:val="en-GB" w:eastAsia="en-US"/>
            </w:rPr>
            <w:t xml:space="preserve">Progress report on </w:t>
          </w:r>
          <w:r w:rsidR="00373008">
            <w:rPr>
              <w:b/>
              <w:caps/>
              <w:kern w:val="20"/>
              <w:szCs w:val="22"/>
              <w:lang w:val="en-GB" w:eastAsia="en-US"/>
            </w:rPr>
            <w:t>Knowledge Management</w:t>
          </w:r>
          <w:r w:rsidR="00312DEA">
            <w:rPr>
              <w:b/>
              <w:caps/>
              <w:kern w:val="20"/>
              <w:szCs w:val="22"/>
              <w:lang w:val="en-GB" w:eastAsia="en-US"/>
            </w:rPr>
            <w:t xml:space="preserve"> activities</w:t>
          </w:r>
        </w:sdtContent>
      </w:sdt>
    </w:p>
    <w:p w14:paraId="61891B16" w14:textId="4C421154" w:rsidR="00373008" w:rsidRPr="00373008" w:rsidRDefault="00373008" w:rsidP="00373008">
      <w:pPr>
        <w:pStyle w:val="Heading2"/>
        <w:rPr>
          <w:rFonts w:ascii="Times New Roman Bold" w:hAnsi="Times New Roman Bold" w:cs="Times New Roman Bold"/>
          <w:b w:val="0"/>
          <w:i/>
          <w:caps/>
          <w:snapToGrid w:val="0"/>
          <w:lang w:val="en-GB"/>
        </w:rPr>
      </w:pPr>
      <w:r w:rsidRPr="00373008">
        <w:rPr>
          <w:b w:val="0"/>
          <w:i/>
          <w:snapToGrid w:val="0"/>
        </w:rPr>
        <w:t>Note by the Executive Secretary</w:t>
      </w:r>
    </w:p>
    <w:p w14:paraId="22EBA4A7" w14:textId="41B8FDED" w:rsidR="007924B1" w:rsidRPr="007924B1" w:rsidRDefault="007924B1" w:rsidP="00A210FC">
      <w:pPr>
        <w:pStyle w:val="Para10"/>
        <w:keepLines/>
        <w:numPr>
          <w:ilvl w:val="0"/>
          <w:numId w:val="58"/>
        </w:numPr>
        <w:suppressLineNumbers/>
        <w:suppressAutoHyphens/>
        <w:ind w:left="0" w:firstLine="0"/>
        <w:rPr>
          <w:rFonts w:eastAsia="Malgun Gothic"/>
          <w:kern w:val="22"/>
          <w:szCs w:val="22"/>
          <w:lang w:eastAsia="en-US"/>
        </w:rPr>
      </w:pPr>
      <w:r w:rsidRPr="007924B1">
        <w:rPr>
          <w:rFonts w:eastAsia="Malgun Gothic"/>
          <w:kern w:val="22"/>
          <w:szCs w:val="22"/>
          <w:lang w:eastAsia="en-US"/>
        </w:rPr>
        <w:t xml:space="preserve">In paragraph 19 of decision XII/2 B, the Conference of the Parties requested the Executive Secretary to develop a web strategy to ensure </w:t>
      </w:r>
      <w:r w:rsidR="008C48E9">
        <w:rPr>
          <w:rFonts w:eastAsia="Malgun Gothic"/>
          <w:kern w:val="22"/>
          <w:szCs w:val="22"/>
          <w:lang w:eastAsia="en-US"/>
        </w:rPr>
        <w:t xml:space="preserve">central access to </w:t>
      </w:r>
      <w:r w:rsidRPr="007924B1">
        <w:rPr>
          <w:rFonts w:eastAsia="Malgun Gothic"/>
          <w:kern w:val="22"/>
          <w:szCs w:val="22"/>
          <w:lang w:eastAsia="en-US"/>
        </w:rPr>
        <w:t>all information common or relevant to the clearing</w:t>
      </w:r>
      <w:r w:rsidRPr="007924B1">
        <w:rPr>
          <w:rFonts w:eastAsia="Malgun Gothic"/>
          <w:kern w:val="22"/>
          <w:szCs w:val="22"/>
          <w:lang w:eastAsia="en-US"/>
        </w:rPr>
        <w:noBreakHyphen/>
        <w:t>house mechanism, the Access and Benefit</w:t>
      </w:r>
      <w:r w:rsidRPr="007924B1">
        <w:rPr>
          <w:rFonts w:eastAsia="Malgun Gothic"/>
          <w:kern w:val="22"/>
          <w:szCs w:val="22"/>
          <w:lang w:eastAsia="en-US"/>
        </w:rPr>
        <w:noBreakHyphen/>
        <w:t>sharing Clearing-House and the Biosafety Clearing</w:t>
      </w:r>
      <w:r w:rsidRPr="007924B1">
        <w:rPr>
          <w:rFonts w:eastAsia="Malgun Gothic"/>
          <w:kern w:val="22"/>
          <w:szCs w:val="22"/>
          <w:lang w:eastAsia="en-US"/>
        </w:rPr>
        <w:noBreakHyphen/>
        <w:t>House, as well as other platforms developed under the Convention. In response to this request, the Executive Secretary prepared a “Web Strategy for the Convention and its Protocols” and made it available to the thirteenth meeting of the Conference of the Parties (CBD/COP/13/14/Add.1).</w:t>
      </w:r>
    </w:p>
    <w:p w14:paraId="45187050" w14:textId="77777777" w:rsidR="007924B1" w:rsidRPr="007924B1" w:rsidRDefault="007924B1" w:rsidP="00A210FC">
      <w:pPr>
        <w:pStyle w:val="Para10"/>
        <w:keepLines/>
        <w:numPr>
          <w:ilvl w:val="0"/>
          <w:numId w:val="58"/>
        </w:numPr>
        <w:suppressLineNumbers/>
        <w:suppressAutoHyphens/>
        <w:ind w:left="0" w:firstLine="0"/>
        <w:rPr>
          <w:rFonts w:eastAsia="Malgun Gothic"/>
          <w:kern w:val="22"/>
          <w:szCs w:val="22"/>
          <w:lang w:eastAsia="en-US"/>
        </w:rPr>
      </w:pPr>
      <w:r w:rsidRPr="007924B1">
        <w:rPr>
          <w:rFonts w:eastAsia="Malgun Gothic"/>
          <w:kern w:val="22"/>
          <w:szCs w:val="22"/>
          <w:lang w:eastAsia="en-US"/>
        </w:rPr>
        <w:t>In paragraphs 15(</w:t>
      </w:r>
      <w:proofErr w:type="spellStart"/>
      <w:r w:rsidRPr="007924B1">
        <w:rPr>
          <w:rFonts w:eastAsia="Malgun Gothic"/>
          <w:kern w:val="22"/>
          <w:szCs w:val="22"/>
          <w:lang w:eastAsia="en-US"/>
        </w:rPr>
        <w:t>i</w:t>
      </w:r>
      <w:proofErr w:type="spellEnd"/>
      <w:r w:rsidRPr="007924B1">
        <w:rPr>
          <w:rFonts w:eastAsia="Malgun Gothic"/>
          <w:kern w:val="22"/>
          <w:szCs w:val="22"/>
          <w:lang w:eastAsia="en-US"/>
        </w:rPr>
        <w:t>), (j) and (k) of decision XIII/23, the Conference of the Parties requested the Executive Secretary to implement the web strategy in line with the Framework for a Communications Strategy, as adopted in decision XIII/22; to update the web strategy with priority actions to be taken before 2018 based on decisions from the last meetings of the Parties; and further develop the Clearing-House Mechanism, in line with the web strategy and with the work programme for the clearing-house mechanism in support of the Strategic Plan for Biodiversity 2011</w:t>
      </w:r>
      <w:r w:rsidRPr="007924B1">
        <w:rPr>
          <w:rFonts w:eastAsia="Malgun Gothic"/>
          <w:kern w:val="22"/>
          <w:szCs w:val="22"/>
          <w:lang w:eastAsia="en-US"/>
        </w:rPr>
        <w:noBreakHyphen/>
        <w:t>2020.</w:t>
      </w:r>
    </w:p>
    <w:p w14:paraId="55997824" w14:textId="6DB6F5F9" w:rsidR="007924B1" w:rsidRPr="007924B1" w:rsidRDefault="007924B1" w:rsidP="00A210FC">
      <w:pPr>
        <w:pStyle w:val="Para10"/>
        <w:keepLines/>
        <w:numPr>
          <w:ilvl w:val="0"/>
          <w:numId w:val="58"/>
        </w:numPr>
        <w:suppressLineNumbers/>
        <w:suppressAutoHyphens/>
        <w:ind w:left="0" w:firstLine="0"/>
        <w:rPr>
          <w:rFonts w:eastAsia="Malgun Gothic"/>
          <w:kern w:val="22"/>
          <w:szCs w:val="22"/>
          <w:lang w:eastAsia="en-US"/>
        </w:rPr>
      </w:pPr>
      <w:r w:rsidRPr="007924B1">
        <w:rPr>
          <w:rFonts w:eastAsia="Malgun Gothic"/>
          <w:kern w:val="22"/>
          <w:szCs w:val="22"/>
          <w:lang w:eastAsia="en-US"/>
        </w:rPr>
        <w:t xml:space="preserve">This </w:t>
      </w:r>
      <w:r w:rsidR="0054566A">
        <w:rPr>
          <w:rFonts w:eastAsia="Malgun Gothic"/>
          <w:kern w:val="22"/>
          <w:szCs w:val="22"/>
          <w:lang w:eastAsia="en-US"/>
        </w:rPr>
        <w:t>report</w:t>
      </w:r>
      <w:r w:rsidR="00E32DDB" w:rsidRPr="00A210FC">
        <w:rPr>
          <w:rFonts w:eastAsia="Malgun Gothic"/>
          <w:kern w:val="22"/>
          <w:szCs w:val="22"/>
          <w:lang w:eastAsia="en-US"/>
        </w:rPr>
        <w:t xml:space="preserve"> summarizes the main activities carried out by the Secretariat of the Convention on Biological Diversity (CBD) in response to the above-mentioned requests and in accordance with the mission, goals and objectives of the clearing-house mechanism. </w:t>
      </w:r>
      <w:r w:rsidR="00E96EE6">
        <w:rPr>
          <w:rFonts w:eastAsia="Malgun Gothic"/>
          <w:kern w:val="22"/>
          <w:szCs w:val="22"/>
          <w:lang w:eastAsia="en-US"/>
        </w:rPr>
        <w:t>It</w:t>
      </w:r>
      <w:r w:rsidR="00E32DDB" w:rsidRPr="00A210FC">
        <w:rPr>
          <w:rFonts w:eastAsia="Malgun Gothic"/>
          <w:kern w:val="22"/>
          <w:szCs w:val="22"/>
          <w:lang w:eastAsia="en-US"/>
        </w:rPr>
        <w:t xml:space="preserve"> updates the inform</w:t>
      </w:r>
      <w:r w:rsidR="00E908C5">
        <w:rPr>
          <w:rFonts w:eastAsia="Malgun Gothic"/>
          <w:kern w:val="22"/>
          <w:szCs w:val="22"/>
          <w:lang w:eastAsia="en-US"/>
        </w:rPr>
        <w:t xml:space="preserve">ation provided in document </w:t>
      </w:r>
      <w:r w:rsidR="00E32DDB" w:rsidRPr="00A210FC">
        <w:rPr>
          <w:rFonts w:eastAsia="Malgun Gothic"/>
          <w:kern w:val="22"/>
          <w:szCs w:val="22"/>
          <w:lang w:eastAsia="en-US"/>
        </w:rPr>
        <w:t>CBD/SBI/2/9 submitted to the second meeting of the Subsidiary Body on Implementation (SBI 2).</w:t>
      </w:r>
      <w:r w:rsidRPr="007924B1">
        <w:rPr>
          <w:rFonts w:eastAsia="Malgun Gothic"/>
          <w:kern w:val="22"/>
          <w:szCs w:val="22"/>
          <w:lang w:eastAsia="en-US"/>
        </w:rPr>
        <w:t xml:space="preserve"> It also highlights relevant initiatives undertaken in collaboration with partners and the work of the Informal Advisory Committee to the Clearing-House Mechanism.</w:t>
      </w:r>
    </w:p>
    <w:p w14:paraId="7BA2D710" w14:textId="77777777" w:rsidR="007924B1" w:rsidRPr="007924B1" w:rsidRDefault="007924B1" w:rsidP="007924B1">
      <w:pPr>
        <w:keepNext/>
        <w:tabs>
          <w:tab w:val="left" w:pos="720"/>
        </w:tabs>
        <w:spacing w:before="120" w:after="120"/>
        <w:jc w:val="center"/>
        <w:outlineLvl w:val="1"/>
        <w:rPr>
          <w:rFonts w:eastAsia="MS Mincho"/>
          <w:b/>
          <w:bCs/>
          <w:iCs/>
          <w:kern w:val="22"/>
          <w:szCs w:val="22"/>
          <w:lang w:val="en-GB" w:eastAsia="en-US"/>
        </w:rPr>
      </w:pPr>
      <w:r w:rsidRPr="007924B1">
        <w:rPr>
          <w:rFonts w:eastAsia="MS Mincho"/>
          <w:b/>
          <w:bCs/>
          <w:iCs/>
          <w:kern w:val="22"/>
          <w:szCs w:val="22"/>
          <w:lang w:val="en-GB" w:eastAsia="en-US"/>
        </w:rPr>
        <w:t>A.</w:t>
      </w:r>
      <w:r w:rsidRPr="007924B1">
        <w:rPr>
          <w:rFonts w:eastAsia="MS Mincho"/>
          <w:b/>
          <w:bCs/>
          <w:iCs/>
          <w:kern w:val="22"/>
          <w:szCs w:val="22"/>
          <w:lang w:val="en-GB" w:eastAsia="en-US"/>
        </w:rPr>
        <w:tab/>
        <w:t>Update of the Web Strategy</w:t>
      </w:r>
    </w:p>
    <w:p w14:paraId="4CEA7B1C" w14:textId="481182A0" w:rsidR="00D97BF7" w:rsidRPr="002321AC" w:rsidRDefault="00D97BF7" w:rsidP="00D97BF7">
      <w:pPr>
        <w:pStyle w:val="Para10"/>
        <w:keepLines/>
        <w:numPr>
          <w:ilvl w:val="0"/>
          <w:numId w:val="58"/>
        </w:numPr>
        <w:suppressLineNumbers/>
        <w:suppressAutoHyphens/>
        <w:ind w:left="0" w:firstLine="0"/>
        <w:rPr>
          <w:rFonts w:eastAsia="Malgun Gothic"/>
          <w:kern w:val="22"/>
          <w:szCs w:val="22"/>
          <w:lang w:eastAsia="en-US"/>
        </w:rPr>
      </w:pPr>
      <w:r w:rsidRPr="002321AC">
        <w:rPr>
          <w:rFonts w:eastAsia="Malgun Gothic"/>
          <w:kern w:val="22"/>
          <w:szCs w:val="22"/>
          <w:lang w:eastAsia="en-US"/>
        </w:rPr>
        <w:t>Pursuant to the request in paragraph 15(</w:t>
      </w:r>
      <w:proofErr w:type="spellStart"/>
      <w:r w:rsidRPr="002321AC">
        <w:rPr>
          <w:rFonts w:eastAsia="Malgun Gothic"/>
          <w:kern w:val="22"/>
          <w:szCs w:val="22"/>
          <w:lang w:eastAsia="en-US"/>
        </w:rPr>
        <w:t>i</w:t>
      </w:r>
      <w:proofErr w:type="spellEnd"/>
      <w:r w:rsidRPr="002321AC">
        <w:rPr>
          <w:rFonts w:eastAsia="Malgun Gothic"/>
          <w:kern w:val="22"/>
          <w:szCs w:val="22"/>
          <w:lang w:eastAsia="en-US"/>
        </w:rPr>
        <w:t xml:space="preserve">) of decision XIII/23, the Secretariat has undertaken </w:t>
      </w:r>
      <w:proofErr w:type="gramStart"/>
      <w:r w:rsidRPr="002321AC">
        <w:rPr>
          <w:rFonts w:eastAsia="Malgun Gothic"/>
          <w:kern w:val="22"/>
          <w:szCs w:val="22"/>
          <w:lang w:eastAsia="en-US"/>
        </w:rPr>
        <w:t>a numb</w:t>
      </w:r>
      <w:r w:rsidR="00E908C5">
        <w:rPr>
          <w:rFonts w:eastAsia="Malgun Gothic"/>
          <w:kern w:val="22"/>
          <w:szCs w:val="22"/>
          <w:lang w:eastAsia="en-US"/>
        </w:rPr>
        <w:t>er of</w:t>
      </w:r>
      <w:proofErr w:type="gramEnd"/>
      <w:r w:rsidR="00E908C5">
        <w:rPr>
          <w:rFonts w:eastAsia="Malgun Gothic"/>
          <w:kern w:val="22"/>
          <w:szCs w:val="22"/>
          <w:lang w:eastAsia="en-US"/>
        </w:rPr>
        <w:t xml:space="preserve"> actions to implement the w</w:t>
      </w:r>
      <w:r w:rsidRPr="002321AC">
        <w:rPr>
          <w:rFonts w:eastAsia="Malgun Gothic"/>
          <w:kern w:val="22"/>
          <w:szCs w:val="22"/>
          <w:lang w:eastAsia="en-US"/>
        </w:rPr>
        <w:t>eb strategy for the Convention and its Protocols. The</w:t>
      </w:r>
      <w:r>
        <w:rPr>
          <w:rFonts w:eastAsia="Malgun Gothic"/>
          <w:kern w:val="22"/>
          <w:szCs w:val="22"/>
          <w:lang w:eastAsia="en-US"/>
        </w:rPr>
        <w:t xml:space="preserve"> Secretariat </w:t>
      </w:r>
      <w:r w:rsidRPr="002321AC">
        <w:rPr>
          <w:rFonts w:eastAsia="Malgun Gothic"/>
          <w:kern w:val="22"/>
          <w:szCs w:val="22"/>
          <w:lang w:eastAsia="en-US"/>
        </w:rPr>
        <w:t>developed an implementation approach and a roadmap which inclu</w:t>
      </w:r>
      <w:bookmarkStart w:id="1" w:name="_GoBack"/>
      <w:bookmarkEnd w:id="1"/>
      <w:r w:rsidRPr="002321AC">
        <w:rPr>
          <w:rFonts w:eastAsia="Malgun Gothic"/>
          <w:kern w:val="22"/>
          <w:szCs w:val="22"/>
          <w:lang w:eastAsia="en-US"/>
        </w:rPr>
        <w:t>des two phases. The first phase is to be completed prior to the fourteenth meeting of the Conference of the Parties, focusing on urgent activities and deliverables expected to be completed by that meeting, as requested by the Conference of the Parties. The first phase includes the development of the first version of a new CBD website, which is expected to be more dynamic, attractive and user-friendly. The second phase will run until the fifteenth meeting of the Conference of the Parties in 2020 and will focus on the implementation of the remaining deliverables identified in the web strategy and further improvement of first-phase deliverables. The list of activities and deliverables for the two phases were presented in the draft updated web strategy, made available as information document CBD/SBI/2/INF/16.</w:t>
      </w:r>
    </w:p>
    <w:p w14:paraId="5A81C68C" w14:textId="69954EB9" w:rsidR="00D97BF7" w:rsidRDefault="00D97BF7" w:rsidP="00D97BF7">
      <w:pPr>
        <w:pStyle w:val="Para10"/>
        <w:keepLines/>
        <w:numPr>
          <w:ilvl w:val="0"/>
          <w:numId w:val="58"/>
        </w:numPr>
        <w:suppressLineNumbers/>
        <w:suppressAutoHyphens/>
        <w:ind w:left="0" w:firstLine="0"/>
        <w:rPr>
          <w:rFonts w:eastAsia="Malgun Gothic"/>
          <w:kern w:val="22"/>
          <w:szCs w:val="22"/>
          <w:lang w:eastAsia="en-US"/>
        </w:rPr>
      </w:pPr>
      <w:r w:rsidRPr="00A210FC">
        <w:rPr>
          <w:rFonts w:eastAsia="Malgun Gothic"/>
          <w:kern w:val="22"/>
          <w:szCs w:val="22"/>
          <w:lang w:eastAsia="en-US"/>
        </w:rPr>
        <w:lastRenderedPageBreak/>
        <w:t>During</w:t>
      </w:r>
      <w:r>
        <w:rPr>
          <w:rFonts w:eastAsia="Malgun Gothic"/>
          <w:kern w:val="22"/>
          <w:szCs w:val="22"/>
          <w:lang w:eastAsia="en-US"/>
        </w:rPr>
        <w:t xml:space="preserve"> the first phase, the Secretariat selected a contracting firm to execute the initial phase of the </w:t>
      </w:r>
      <w:r w:rsidRPr="007924B1">
        <w:rPr>
          <w:rFonts w:eastAsia="Malgun Gothic"/>
          <w:kern w:val="22"/>
          <w:szCs w:val="22"/>
          <w:lang w:eastAsia="en-US"/>
        </w:rPr>
        <w:t>new CBD website</w:t>
      </w:r>
      <w:r>
        <w:rPr>
          <w:rFonts w:eastAsia="Malgun Gothic"/>
          <w:kern w:val="22"/>
          <w:szCs w:val="22"/>
          <w:lang w:eastAsia="en-US"/>
        </w:rPr>
        <w:t>. This includes the design of a wire-frame, icons and color schemes and a mock-up website, including a functional home page and several other pages to be made available for review at the fourteenth meeting of the Conference of the Parties. In accordance with the United Nations common software standards</w:t>
      </w:r>
      <w:r w:rsidR="00651AA5">
        <w:rPr>
          <w:rFonts w:eastAsia="Malgun Gothic"/>
          <w:kern w:val="22"/>
          <w:szCs w:val="22"/>
          <w:lang w:eastAsia="en-US"/>
        </w:rPr>
        <w:t>,</w:t>
      </w:r>
      <w:r>
        <w:rPr>
          <w:rFonts w:eastAsia="Malgun Gothic"/>
          <w:kern w:val="22"/>
          <w:szCs w:val="22"/>
          <w:lang w:eastAsia="en-US"/>
        </w:rPr>
        <w:t xml:space="preserve"> Drupal 8 was chosen as the Content Management System for the website. Further work will follow to develop the infrastructure, refine the design and functionality based on feedback, and review and migrate content from the current design infrastructure.</w:t>
      </w:r>
    </w:p>
    <w:p w14:paraId="3FAADFD9" w14:textId="77777777" w:rsidR="00D97BF7" w:rsidRDefault="00D97BF7" w:rsidP="00D97BF7">
      <w:pPr>
        <w:pStyle w:val="Para10"/>
        <w:keepLines/>
        <w:numPr>
          <w:ilvl w:val="0"/>
          <w:numId w:val="58"/>
        </w:numPr>
        <w:suppressLineNumbers/>
        <w:suppressAutoHyphens/>
        <w:ind w:left="0" w:firstLine="0"/>
        <w:rPr>
          <w:rFonts w:eastAsia="Malgun Gothic"/>
          <w:kern w:val="22"/>
          <w:szCs w:val="22"/>
          <w:lang w:eastAsia="en-US"/>
        </w:rPr>
      </w:pPr>
      <w:r>
        <w:rPr>
          <w:rFonts w:eastAsia="Malgun Gothic"/>
          <w:kern w:val="22"/>
          <w:szCs w:val="22"/>
          <w:lang w:eastAsia="en-US"/>
        </w:rPr>
        <w:t xml:space="preserve">Additionally, a smartphone application has been developed to provide easy access to documents and logistical information relating to meetings of the Convention and its Protocols. The application will be launched at the fourteenth meeting of the Conference of the Parties and will be available in the Apple and Android app stores. </w:t>
      </w:r>
    </w:p>
    <w:p w14:paraId="0E4D5190" w14:textId="4E7E80F6" w:rsidR="00D97BF7" w:rsidRDefault="00166CF4" w:rsidP="00D97BF7">
      <w:pPr>
        <w:pStyle w:val="Para10"/>
        <w:keepLines/>
        <w:numPr>
          <w:ilvl w:val="0"/>
          <w:numId w:val="58"/>
        </w:numPr>
        <w:suppressLineNumbers/>
        <w:suppressAutoHyphens/>
        <w:ind w:left="0" w:firstLine="0"/>
        <w:rPr>
          <w:rFonts w:eastAsia="Malgun Gothic"/>
          <w:kern w:val="22"/>
          <w:szCs w:val="22"/>
          <w:lang w:eastAsia="en-US"/>
        </w:rPr>
      </w:pPr>
      <w:r>
        <w:rPr>
          <w:rFonts w:eastAsia="Malgun Gothic"/>
          <w:kern w:val="22"/>
          <w:szCs w:val="22"/>
          <w:lang w:eastAsia="en-US"/>
        </w:rPr>
        <w:t>A timeline-</w:t>
      </w:r>
      <w:r w:rsidR="00D97BF7">
        <w:rPr>
          <w:rFonts w:eastAsia="Malgun Gothic"/>
          <w:kern w:val="22"/>
          <w:szCs w:val="22"/>
          <w:lang w:eastAsia="en-US"/>
        </w:rPr>
        <w:t>based overview calendar of meetings and parallel events for the UN Biodiversity Conference 2018 is also available on the meeting website, providing a quick, high-level view of events</w:t>
      </w:r>
      <w:r>
        <w:rPr>
          <w:rFonts w:eastAsia="Malgun Gothic"/>
          <w:kern w:val="22"/>
          <w:szCs w:val="22"/>
          <w:lang w:eastAsia="en-US"/>
        </w:rPr>
        <w:t>.</w:t>
      </w:r>
    </w:p>
    <w:p w14:paraId="38780660" w14:textId="38AFACBD" w:rsidR="007924B1" w:rsidRPr="007924B1" w:rsidRDefault="00E749A3" w:rsidP="007924B1">
      <w:pPr>
        <w:keepNext/>
        <w:tabs>
          <w:tab w:val="left" w:pos="720"/>
        </w:tabs>
        <w:spacing w:before="120" w:after="120"/>
        <w:jc w:val="center"/>
        <w:outlineLvl w:val="1"/>
        <w:rPr>
          <w:rFonts w:eastAsia="MS Mincho"/>
          <w:b/>
          <w:bCs/>
          <w:iCs/>
          <w:kern w:val="22"/>
          <w:szCs w:val="22"/>
          <w:lang w:val="en-GB" w:eastAsia="en-US"/>
        </w:rPr>
      </w:pPr>
      <w:r>
        <w:rPr>
          <w:rFonts w:eastAsia="MS Mincho"/>
          <w:b/>
          <w:bCs/>
          <w:iCs/>
          <w:kern w:val="22"/>
          <w:szCs w:val="22"/>
          <w:lang w:val="en-GB" w:eastAsia="en-US"/>
        </w:rPr>
        <w:t>B</w:t>
      </w:r>
      <w:r w:rsidR="007924B1" w:rsidRPr="007924B1">
        <w:rPr>
          <w:rFonts w:eastAsia="MS Mincho"/>
          <w:b/>
          <w:bCs/>
          <w:iCs/>
          <w:kern w:val="22"/>
          <w:szCs w:val="22"/>
          <w:lang w:val="en-GB" w:eastAsia="en-US"/>
        </w:rPr>
        <w:t>.</w:t>
      </w:r>
      <w:r w:rsidR="007924B1" w:rsidRPr="007924B1">
        <w:rPr>
          <w:rFonts w:eastAsia="MS Mincho"/>
          <w:b/>
          <w:bCs/>
          <w:iCs/>
          <w:kern w:val="22"/>
          <w:szCs w:val="22"/>
          <w:lang w:val="en-GB" w:eastAsia="en-US"/>
        </w:rPr>
        <w:tab/>
        <w:t>Web translation</w:t>
      </w:r>
    </w:p>
    <w:p w14:paraId="60635C3A" w14:textId="39A4EBE6" w:rsidR="009E5088" w:rsidRPr="009E5088" w:rsidRDefault="00A210FC" w:rsidP="009E5088">
      <w:pPr>
        <w:pStyle w:val="Para10"/>
        <w:keepLines/>
        <w:numPr>
          <w:ilvl w:val="0"/>
          <w:numId w:val="58"/>
        </w:numPr>
        <w:suppressLineNumbers/>
        <w:suppressAutoHyphens/>
        <w:ind w:left="0" w:firstLine="0"/>
        <w:rPr>
          <w:rFonts w:eastAsia="Malgun Gothic"/>
          <w:kern w:val="22"/>
          <w:szCs w:val="22"/>
          <w:lang w:eastAsia="en-US"/>
        </w:rPr>
      </w:pPr>
      <w:r w:rsidRPr="00AB437B">
        <w:rPr>
          <w:rFonts w:eastAsia="Malgun Gothic"/>
          <w:kern w:val="22"/>
          <w:szCs w:val="22"/>
          <w:lang w:eastAsia="en-US"/>
        </w:rPr>
        <w:t>T</w:t>
      </w:r>
      <w:r w:rsidR="007924B1" w:rsidRPr="007924B1">
        <w:rPr>
          <w:rFonts w:eastAsia="Malgun Gothic"/>
          <w:kern w:val="22"/>
          <w:szCs w:val="22"/>
          <w:lang w:eastAsia="en-US"/>
        </w:rPr>
        <w:t xml:space="preserve">he web translation process </w:t>
      </w:r>
      <w:r w:rsidRPr="00AB437B">
        <w:rPr>
          <w:rFonts w:eastAsia="Malgun Gothic"/>
          <w:kern w:val="22"/>
          <w:szCs w:val="22"/>
          <w:lang w:eastAsia="en-US"/>
        </w:rPr>
        <w:t>continued</w:t>
      </w:r>
      <w:r w:rsidR="007924B1" w:rsidRPr="007924B1">
        <w:rPr>
          <w:rFonts w:eastAsia="Malgun Gothic"/>
          <w:kern w:val="22"/>
          <w:szCs w:val="22"/>
          <w:lang w:eastAsia="en-US"/>
        </w:rPr>
        <w:t xml:space="preserve"> in all six official languages of the United Nations (Arabic, Chinese, English, French, Russian and Spanish) with the translator roster and the available budget, including voluntary funding from the European Union. For the period from 1 </w:t>
      </w:r>
      <w:r w:rsidRPr="00AB437B">
        <w:rPr>
          <w:rFonts w:eastAsia="Malgun Gothic"/>
          <w:kern w:val="22"/>
          <w:szCs w:val="22"/>
          <w:lang w:eastAsia="en-US"/>
        </w:rPr>
        <w:t>March 2018</w:t>
      </w:r>
      <w:r w:rsidR="0031686F">
        <w:rPr>
          <w:rFonts w:eastAsia="Malgun Gothic"/>
          <w:kern w:val="22"/>
          <w:szCs w:val="22"/>
          <w:lang w:eastAsia="en-US"/>
        </w:rPr>
        <w:t xml:space="preserve"> to 31 August</w:t>
      </w:r>
      <w:r w:rsidR="007924B1" w:rsidRPr="007924B1">
        <w:rPr>
          <w:rFonts w:eastAsia="Malgun Gothic"/>
          <w:kern w:val="22"/>
          <w:szCs w:val="22"/>
          <w:lang w:eastAsia="en-US"/>
        </w:rPr>
        <w:t xml:space="preserve"> 2018, overall web translation amounted to </w:t>
      </w:r>
      <w:r w:rsidR="00336FDB" w:rsidRPr="00336FDB">
        <w:rPr>
          <w:rFonts w:eastAsia="Malgun Gothic"/>
          <w:kern w:val="22"/>
          <w:szCs w:val="22"/>
          <w:lang w:eastAsia="en-US"/>
        </w:rPr>
        <w:t>168,763 words (31,442 in Arabic, 61,284 in Chinese, 22,876 in French, 30,405 in Russian and 22,756</w:t>
      </w:r>
      <w:r w:rsidR="007924B1" w:rsidRPr="007924B1">
        <w:rPr>
          <w:rFonts w:eastAsia="Malgun Gothic"/>
          <w:kern w:val="22"/>
          <w:szCs w:val="22"/>
          <w:lang w:eastAsia="en-US"/>
        </w:rPr>
        <w:t xml:space="preserve"> in Spanish).</w:t>
      </w:r>
    </w:p>
    <w:p w14:paraId="46B2D3FE" w14:textId="4682A308" w:rsidR="007924B1" w:rsidRPr="007924B1" w:rsidRDefault="00E749A3" w:rsidP="007924B1">
      <w:pPr>
        <w:keepNext/>
        <w:tabs>
          <w:tab w:val="left" w:pos="720"/>
        </w:tabs>
        <w:spacing w:before="120" w:after="120"/>
        <w:jc w:val="center"/>
        <w:outlineLvl w:val="1"/>
        <w:rPr>
          <w:rFonts w:eastAsia="MS Mincho"/>
          <w:b/>
          <w:bCs/>
          <w:iCs/>
          <w:kern w:val="22"/>
          <w:szCs w:val="22"/>
          <w:lang w:val="en-GB" w:eastAsia="en-US"/>
        </w:rPr>
      </w:pPr>
      <w:r>
        <w:rPr>
          <w:rFonts w:eastAsia="MS Mincho"/>
          <w:b/>
          <w:bCs/>
          <w:iCs/>
          <w:kern w:val="22"/>
          <w:szCs w:val="22"/>
          <w:lang w:val="en-GB" w:eastAsia="en-US"/>
        </w:rPr>
        <w:t>C</w:t>
      </w:r>
      <w:r w:rsidR="007924B1" w:rsidRPr="007924B1">
        <w:rPr>
          <w:rFonts w:eastAsia="MS Mincho"/>
          <w:b/>
          <w:bCs/>
          <w:iCs/>
          <w:kern w:val="22"/>
          <w:szCs w:val="22"/>
          <w:lang w:val="en-GB" w:eastAsia="en-US"/>
        </w:rPr>
        <w:t>.</w:t>
      </w:r>
      <w:r w:rsidR="007924B1" w:rsidRPr="007924B1">
        <w:rPr>
          <w:rFonts w:eastAsia="MS Mincho"/>
          <w:b/>
          <w:bCs/>
          <w:iCs/>
          <w:kern w:val="22"/>
          <w:szCs w:val="22"/>
          <w:lang w:val="en-GB" w:eastAsia="en-US"/>
        </w:rPr>
        <w:tab/>
        <w:t>Support to national clearing-house mechanisms</w:t>
      </w:r>
    </w:p>
    <w:p w14:paraId="557B868C" w14:textId="77777777" w:rsidR="007924B1" w:rsidRPr="007924B1" w:rsidRDefault="007924B1" w:rsidP="00AB437B">
      <w:pPr>
        <w:pStyle w:val="Para10"/>
        <w:keepLines/>
        <w:numPr>
          <w:ilvl w:val="0"/>
          <w:numId w:val="58"/>
        </w:numPr>
        <w:suppressLineNumbers/>
        <w:suppressAutoHyphens/>
        <w:ind w:left="0" w:firstLine="0"/>
        <w:rPr>
          <w:rFonts w:eastAsia="Malgun Gothic"/>
          <w:kern w:val="22"/>
          <w:szCs w:val="22"/>
          <w:lang w:eastAsia="en-US"/>
        </w:rPr>
      </w:pPr>
      <w:r w:rsidRPr="007924B1">
        <w:rPr>
          <w:rFonts w:eastAsia="Malgun Gothic"/>
          <w:kern w:val="22"/>
          <w:szCs w:val="22"/>
          <w:lang w:eastAsia="en-US"/>
        </w:rPr>
        <w:t xml:space="preserve">In decision XII/2 B, the Conference of the Parties invited Parties and partners to provide support to </w:t>
      </w:r>
      <w:r w:rsidRPr="001B3897">
        <w:rPr>
          <w:rFonts w:eastAsia="Malgun Gothic"/>
          <w:kern w:val="22"/>
          <w:szCs w:val="22"/>
          <w:lang w:eastAsia="en-US"/>
        </w:rPr>
        <w:t>developing</w:t>
      </w:r>
      <w:r w:rsidRPr="007924B1">
        <w:rPr>
          <w:rFonts w:eastAsia="Malgun Gothic"/>
          <w:kern w:val="22"/>
          <w:szCs w:val="22"/>
          <w:lang w:eastAsia="en-US"/>
        </w:rPr>
        <w:t xml:space="preserve"> country Parties that were </w:t>
      </w:r>
      <w:r w:rsidRPr="001B3897">
        <w:rPr>
          <w:rFonts w:eastAsia="Malgun Gothic"/>
          <w:kern w:val="22"/>
          <w:szCs w:val="22"/>
          <w:lang w:eastAsia="en-US"/>
        </w:rPr>
        <w:t>developing</w:t>
      </w:r>
      <w:r w:rsidRPr="007924B1">
        <w:rPr>
          <w:rFonts w:eastAsia="Malgun Gothic"/>
          <w:kern w:val="22"/>
          <w:szCs w:val="22"/>
          <w:lang w:eastAsia="en-US"/>
        </w:rPr>
        <w:t xml:space="preserve"> their national clearing-house mechanisms (para. 15), and it also invited Parties and donors to continue to provide financial support to establish and strengthen their national clearing-house mechanisms, including for content preparation and for translation to facilitate the sharing of information and knowledge (para. 16). In paragraph 12 of decision XIII/23, the Conference of the Parties encouraged Parties to continue their efforts to establish, sustain and further develop effective national clearing-house mechanisms in support of their national biodiversity strategies and action plans. </w:t>
      </w:r>
    </w:p>
    <w:p w14:paraId="7EE58970" w14:textId="1058E4DD" w:rsidR="007924B1" w:rsidRPr="002C23E0" w:rsidRDefault="007924B1" w:rsidP="00AB437B">
      <w:pPr>
        <w:pStyle w:val="Para10"/>
        <w:keepLines/>
        <w:numPr>
          <w:ilvl w:val="0"/>
          <w:numId w:val="58"/>
        </w:numPr>
        <w:suppressLineNumbers/>
        <w:suppressAutoHyphens/>
        <w:ind w:left="0" w:firstLine="0"/>
        <w:rPr>
          <w:rFonts w:eastAsia="Malgun Gothic"/>
          <w:kern w:val="22"/>
          <w:szCs w:val="22"/>
          <w:lang w:eastAsia="en-US"/>
        </w:rPr>
      </w:pPr>
      <w:r w:rsidRPr="002C23E0">
        <w:rPr>
          <w:rFonts w:eastAsia="Malgun Gothic"/>
          <w:kern w:val="22"/>
          <w:szCs w:val="22"/>
          <w:lang w:eastAsia="en-US"/>
        </w:rPr>
        <w:t>The Secretariat provided support for the development of national CHMs during 2017-2018. This included organization of two regional capacity-building workshops on the CHM referred to in document CBD/SBI/2/INF/6</w:t>
      </w:r>
      <w:r w:rsidR="00166CF4">
        <w:rPr>
          <w:rFonts w:eastAsia="Malgun Gothic"/>
          <w:kern w:val="22"/>
          <w:szCs w:val="22"/>
          <w:lang w:eastAsia="en-US"/>
        </w:rPr>
        <w:t>,</w:t>
      </w:r>
      <w:r w:rsidRPr="002C23E0">
        <w:rPr>
          <w:rFonts w:eastAsia="Malgun Gothic"/>
          <w:kern w:val="22"/>
          <w:szCs w:val="22"/>
          <w:lang w:eastAsia="en-US"/>
        </w:rPr>
        <w:t xml:space="preserve"> as well as support to further develop and rollout the </w:t>
      </w:r>
      <w:proofErr w:type="spellStart"/>
      <w:r w:rsidRPr="002C23E0">
        <w:rPr>
          <w:rFonts w:eastAsia="Malgun Gothic"/>
          <w:kern w:val="22"/>
          <w:szCs w:val="22"/>
          <w:lang w:eastAsia="en-US"/>
        </w:rPr>
        <w:t>Bioland</w:t>
      </w:r>
      <w:proofErr w:type="spellEnd"/>
      <w:r w:rsidRPr="002C23E0">
        <w:rPr>
          <w:rFonts w:eastAsia="Malgun Gothic"/>
          <w:kern w:val="22"/>
          <w:szCs w:val="22"/>
          <w:lang w:eastAsia="en-US"/>
        </w:rPr>
        <w:t xml:space="preserve"> tool facilitating the establishment of national CHMs. The first version of the </w:t>
      </w:r>
      <w:proofErr w:type="spellStart"/>
      <w:r w:rsidRPr="002C23E0">
        <w:rPr>
          <w:rFonts w:eastAsia="Malgun Gothic"/>
          <w:kern w:val="22"/>
          <w:szCs w:val="22"/>
          <w:lang w:eastAsia="en-US"/>
        </w:rPr>
        <w:t>Bioland</w:t>
      </w:r>
      <w:proofErr w:type="spellEnd"/>
      <w:r w:rsidRPr="002C23E0">
        <w:rPr>
          <w:rFonts w:eastAsia="Malgun Gothic"/>
          <w:kern w:val="22"/>
          <w:szCs w:val="22"/>
          <w:lang w:eastAsia="en-US"/>
        </w:rPr>
        <w:t xml:space="preserve"> tool to assist Parties in the establishment of their national clearing</w:t>
      </w:r>
      <w:r w:rsidRPr="002C23E0">
        <w:rPr>
          <w:rFonts w:eastAsia="Malgun Gothic"/>
          <w:kern w:val="22"/>
          <w:szCs w:val="22"/>
          <w:lang w:eastAsia="en-US"/>
        </w:rPr>
        <w:noBreakHyphen/>
        <w:t xml:space="preserve">house mechanisms was presented in </w:t>
      </w:r>
      <w:r w:rsidR="001B3897" w:rsidRPr="002C23E0">
        <w:rPr>
          <w:rFonts w:eastAsia="Malgun Gothic"/>
          <w:kern w:val="22"/>
          <w:szCs w:val="22"/>
          <w:lang w:eastAsia="en-US"/>
        </w:rPr>
        <w:t>workshops held during 2017-2018</w:t>
      </w:r>
      <w:r w:rsidRPr="002C23E0">
        <w:rPr>
          <w:rFonts w:eastAsia="Malgun Gothic"/>
          <w:kern w:val="22"/>
          <w:szCs w:val="22"/>
          <w:lang w:eastAsia="en-US"/>
        </w:rPr>
        <w:t>. Since then, the Secretariat has prepared an upgraded version of this tool</w:t>
      </w:r>
      <w:r w:rsidR="00287D42" w:rsidRPr="002C23E0">
        <w:rPr>
          <w:rFonts w:eastAsia="Malgun Gothic"/>
          <w:kern w:val="22"/>
          <w:szCs w:val="22"/>
          <w:lang w:eastAsia="en-US"/>
        </w:rPr>
        <w:t>, which provides new features focusing on usability</w:t>
      </w:r>
      <w:r w:rsidRPr="002C23E0">
        <w:rPr>
          <w:rFonts w:eastAsia="Malgun Gothic"/>
          <w:kern w:val="22"/>
          <w:szCs w:val="22"/>
          <w:lang w:eastAsia="en-US"/>
        </w:rPr>
        <w:t xml:space="preserve">. Among other things, this new version is expected to facilitate the migration from existing national CHM built with the European CHM PTK to the new </w:t>
      </w:r>
      <w:proofErr w:type="spellStart"/>
      <w:r w:rsidRPr="002C23E0">
        <w:rPr>
          <w:rFonts w:eastAsia="Malgun Gothic"/>
          <w:kern w:val="22"/>
          <w:szCs w:val="22"/>
          <w:lang w:eastAsia="en-US"/>
        </w:rPr>
        <w:t>Bioland</w:t>
      </w:r>
      <w:proofErr w:type="spellEnd"/>
      <w:r w:rsidRPr="002C23E0">
        <w:rPr>
          <w:rFonts w:eastAsia="Malgun Gothic"/>
          <w:kern w:val="22"/>
          <w:szCs w:val="22"/>
          <w:lang w:eastAsia="en-US"/>
        </w:rPr>
        <w:t xml:space="preserve"> tool. The current version of this tool can be visualized at </w:t>
      </w:r>
      <w:hyperlink r:id="rId12" w:history="1">
        <w:r w:rsidRPr="002C23E0">
          <w:rPr>
            <w:rFonts w:eastAsia="Malgun Gothic"/>
            <w:kern w:val="22"/>
            <w:szCs w:val="22"/>
            <w:lang w:eastAsia="en-US"/>
          </w:rPr>
          <w:t>https://demo.chm-cbd.net</w:t>
        </w:r>
      </w:hyperlink>
      <w:r w:rsidRPr="002C23E0">
        <w:rPr>
          <w:rFonts w:eastAsia="Malgun Gothic"/>
          <w:kern w:val="22"/>
          <w:szCs w:val="22"/>
          <w:lang w:eastAsia="en-US"/>
        </w:rPr>
        <w:t xml:space="preserve">. Several Parties that had already established a national clearing-house mechanism have expressed interest in migrating their existing national CHM websites to the </w:t>
      </w:r>
      <w:proofErr w:type="spellStart"/>
      <w:r w:rsidRPr="002C23E0">
        <w:rPr>
          <w:rFonts w:eastAsia="Malgun Gothic"/>
          <w:kern w:val="22"/>
          <w:szCs w:val="22"/>
          <w:lang w:eastAsia="en-US"/>
        </w:rPr>
        <w:t>Bioland</w:t>
      </w:r>
      <w:proofErr w:type="spellEnd"/>
      <w:r w:rsidRPr="002C23E0">
        <w:rPr>
          <w:rFonts w:eastAsia="Malgun Gothic"/>
          <w:kern w:val="22"/>
          <w:szCs w:val="22"/>
          <w:lang w:eastAsia="en-US"/>
        </w:rPr>
        <w:t xml:space="preserve"> tool. </w:t>
      </w:r>
    </w:p>
    <w:p w14:paraId="46D6930F" w14:textId="1CB5319D" w:rsidR="007924B1" w:rsidRPr="007924B1" w:rsidRDefault="00E749A3" w:rsidP="007924B1">
      <w:pPr>
        <w:keepNext/>
        <w:tabs>
          <w:tab w:val="left" w:pos="720"/>
        </w:tabs>
        <w:spacing w:before="120" w:after="120"/>
        <w:jc w:val="center"/>
        <w:outlineLvl w:val="1"/>
        <w:rPr>
          <w:rFonts w:eastAsia="MS Mincho"/>
          <w:b/>
          <w:bCs/>
          <w:iCs/>
          <w:kern w:val="22"/>
          <w:szCs w:val="22"/>
          <w:lang w:val="en-GB" w:eastAsia="en-US"/>
        </w:rPr>
      </w:pPr>
      <w:r>
        <w:rPr>
          <w:rFonts w:eastAsia="MS Mincho"/>
          <w:b/>
          <w:bCs/>
          <w:iCs/>
          <w:kern w:val="22"/>
          <w:szCs w:val="22"/>
          <w:lang w:val="en-GB" w:eastAsia="en-US"/>
        </w:rPr>
        <w:t>D</w:t>
      </w:r>
      <w:r w:rsidR="007924B1" w:rsidRPr="007924B1">
        <w:rPr>
          <w:rFonts w:eastAsia="MS Mincho"/>
          <w:b/>
          <w:bCs/>
          <w:iCs/>
          <w:kern w:val="22"/>
          <w:szCs w:val="22"/>
          <w:lang w:val="en-GB" w:eastAsia="en-US"/>
        </w:rPr>
        <w:t>.</w:t>
      </w:r>
      <w:r w:rsidR="007924B1" w:rsidRPr="007924B1">
        <w:rPr>
          <w:rFonts w:eastAsia="MS Mincho"/>
          <w:b/>
          <w:bCs/>
          <w:iCs/>
          <w:kern w:val="22"/>
          <w:szCs w:val="22"/>
          <w:lang w:val="en-GB" w:eastAsia="en-US"/>
        </w:rPr>
        <w:tab/>
        <w:t>Award for national clearing-house mechanisms</w:t>
      </w:r>
    </w:p>
    <w:p w14:paraId="30D48C94" w14:textId="023BDB3E" w:rsidR="007924B1" w:rsidRDefault="007924B1" w:rsidP="00AB437B">
      <w:pPr>
        <w:pStyle w:val="Para10"/>
        <w:keepLines/>
        <w:numPr>
          <w:ilvl w:val="0"/>
          <w:numId w:val="58"/>
        </w:numPr>
        <w:suppressLineNumbers/>
        <w:suppressAutoHyphens/>
        <w:ind w:left="0" w:firstLine="0"/>
        <w:rPr>
          <w:rFonts w:eastAsia="Malgun Gothic"/>
          <w:kern w:val="22"/>
          <w:szCs w:val="22"/>
          <w:lang w:eastAsia="en-US"/>
        </w:rPr>
      </w:pPr>
      <w:r w:rsidRPr="007924B1">
        <w:rPr>
          <w:rFonts w:eastAsia="Malgun Gothic"/>
          <w:kern w:val="22"/>
          <w:szCs w:val="22"/>
          <w:lang w:eastAsia="en-US"/>
        </w:rPr>
        <w:t>In paragraph 15 of decision XII/2 B, the Conference of the Parties requested the Executive Secretary to propose, in collaboration with the Informal Advisory Committee to the Clearing</w:t>
      </w:r>
      <w:r w:rsidRPr="007924B1">
        <w:rPr>
          <w:rFonts w:eastAsia="Malgun Gothic"/>
          <w:kern w:val="22"/>
          <w:szCs w:val="22"/>
          <w:lang w:eastAsia="en-US"/>
        </w:rPr>
        <w:noBreakHyphen/>
        <w:t>House Mechanism, a process to grant, at the thirteenth, fourteenth and fifteenth meetings of the Conference of the Parties, subject to the availability of resources, an award to the Parties that would have made the most significant progress in the establishment or further development of their national clearing-house mechanisms. As requested, the first set of awards was granted at the thirteenth meeting of the Conference of the Parties. Notification 2018-010 issued 15 January 2018 launched the process for the second set of awards to be granted at the fourteenth meeting of the Conference of the Parties</w:t>
      </w:r>
      <w:r w:rsidR="0031686F">
        <w:rPr>
          <w:rFonts w:eastAsia="Malgun Gothic"/>
          <w:kern w:val="22"/>
          <w:szCs w:val="22"/>
          <w:lang w:eastAsia="en-US"/>
        </w:rPr>
        <w:t>. Parties had</w:t>
      </w:r>
      <w:r w:rsidRPr="007924B1">
        <w:rPr>
          <w:rFonts w:eastAsia="Malgun Gothic"/>
          <w:kern w:val="22"/>
          <w:szCs w:val="22"/>
          <w:lang w:eastAsia="en-US"/>
        </w:rPr>
        <w:t xml:space="preserve"> until 31 </w:t>
      </w:r>
      <w:r w:rsidR="001D3CAD">
        <w:rPr>
          <w:rFonts w:eastAsia="Malgun Gothic"/>
          <w:kern w:val="22"/>
          <w:szCs w:val="22"/>
          <w:lang w:eastAsia="en-US"/>
        </w:rPr>
        <w:t>August</w:t>
      </w:r>
      <w:r w:rsidR="001D3CAD" w:rsidRPr="007924B1">
        <w:rPr>
          <w:rFonts w:eastAsia="Malgun Gothic"/>
          <w:kern w:val="22"/>
          <w:szCs w:val="22"/>
          <w:lang w:eastAsia="en-US"/>
        </w:rPr>
        <w:t xml:space="preserve"> </w:t>
      </w:r>
      <w:r w:rsidRPr="007924B1">
        <w:rPr>
          <w:rFonts w:eastAsia="Malgun Gothic"/>
          <w:kern w:val="22"/>
          <w:szCs w:val="22"/>
          <w:lang w:eastAsia="en-US"/>
        </w:rPr>
        <w:t>2018 to submit their questionnaires as indication of their interest in being considered for the awards.</w:t>
      </w:r>
      <w:r w:rsidR="00334E1F">
        <w:rPr>
          <w:rFonts w:eastAsia="Malgun Gothic"/>
          <w:kern w:val="22"/>
          <w:szCs w:val="22"/>
          <w:lang w:eastAsia="en-US"/>
        </w:rPr>
        <w:t xml:space="preserve"> In response a total of 32 applications were received.</w:t>
      </w:r>
    </w:p>
    <w:p w14:paraId="773F47A3" w14:textId="090A3192" w:rsidR="0031686F" w:rsidRPr="002C23E0" w:rsidRDefault="0031686F" w:rsidP="00AB437B">
      <w:pPr>
        <w:pStyle w:val="Para10"/>
        <w:keepLines/>
        <w:numPr>
          <w:ilvl w:val="0"/>
          <w:numId w:val="58"/>
        </w:numPr>
        <w:suppressLineNumbers/>
        <w:suppressAutoHyphens/>
        <w:ind w:left="0" w:firstLine="0"/>
        <w:rPr>
          <w:rFonts w:eastAsia="Malgun Gothic"/>
          <w:kern w:val="22"/>
          <w:szCs w:val="22"/>
          <w:lang w:eastAsia="en-US"/>
        </w:rPr>
      </w:pPr>
      <w:r w:rsidRPr="002C23E0">
        <w:rPr>
          <w:rFonts w:eastAsia="Malgun Gothic"/>
          <w:kern w:val="22"/>
          <w:szCs w:val="22"/>
          <w:lang w:eastAsia="en-US"/>
        </w:rPr>
        <w:lastRenderedPageBreak/>
        <w:t xml:space="preserve">The awards jury </w:t>
      </w:r>
      <w:r w:rsidR="009B2CC0" w:rsidRPr="002C23E0">
        <w:rPr>
          <w:rFonts w:eastAsia="Malgun Gothic"/>
          <w:kern w:val="22"/>
          <w:szCs w:val="22"/>
          <w:lang w:eastAsia="en-US"/>
        </w:rPr>
        <w:t>met</w:t>
      </w:r>
      <w:r w:rsidRPr="002C23E0">
        <w:rPr>
          <w:rFonts w:eastAsia="Malgun Gothic"/>
          <w:kern w:val="22"/>
          <w:szCs w:val="22"/>
          <w:lang w:eastAsia="en-US"/>
        </w:rPr>
        <w:t xml:space="preserve"> </w:t>
      </w:r>
      <w:r w:rsidR="00334E1F" w:rsidRPr="002C23E0">
        <w:rPr>
          <w:rFonts w:eastAsia="Malgun Gothic"/>
          <w:kern w:val="22"/>
          <w:szCs w:val="22"/>
          <w:lang w:eastAsia="en-US"/>
        </w:rPr>
        <w:t>on 27-28</w:t>
      </w:r>
      <w:r w:rsidRPr="002C23E0">
        <w:rPr>
          <w:rFonts w:eastAsia="Malgun Gothic"/>
          <w:kern w:val="22"/>
          <w:szCs w:val="22"/>
          <w:lang w:eastAsia="en-US"/>
        </w:rPr>
        <w:t xml:space="preserve"> September 2018 to rate and review the </w:t>
      </w:r>
      <w:r w:rsidR="00334E1F" w:rsidRPr="002C23E0">
        <w:rPr>
          <w:rFonts w:eastAsia="Malgun Gothic"/>
          <w:kern w:val="22"/>
          <w:szCs w:val="22"/>
          <w:lang w:eastAsia="en-US"/>
        </w:rPr>
        <w:t xml:space="preserve">applications </w:t>
      </w:r>
      <w:r w:rsidRPr="002C23E0">
        <w:rPr>
          <w:rFonts w:eastAsia="Malgun Gothic"/>
          <w:kern w:val="22"/>
          <w:szCs w:val="22"/>
          <w:lang w:eastAsia="en-US"/>
        </w:rPr>
        <w:t>and select the winners of the Award from among the submissions received. A ceremony to announce the award winners will be held during COP 14 in Egypt.</w:t>
      </w:r>
    </w:p>
    <w:p w14:paraId="6521D358" w14:textId="6E3D275A" w:rsidR="007924B1" w:rsidRPr="007924B1" w:rsidRDefault="00E749A3" w:rsidP="007924B1">
      <w:pPr>
        <w:keepNext/>
        <w:tabs>
          <w:tab w:val="left" w:pos="720"/>
        </w:tabs>
        <w:spacing w:before="120" w:after="120"/>
        <w:jc w:val="center"/>
        <w:outlineLvl w:val="1"/>
        <w:rPr>
          <w:rFonts w:eastAsia="MS Mincho"/>
          <w:b/>
          <w:bCs/>
          <w:i/>
          <w:iCs/>
          <w:kern w:val="22"/>
          <w:szCs w:val="22"/>
          <w:lang w:val="en-GB" w:eastAsia="en-US"/>
        </w:rPr>
      </w:pPr>
      <w:r>
        <w:rPr>
          <w:rFonts w:eastAsia="MS Mincho"/>
          <w:b/>
          <w:bCs/>
          <w:iCs/>
          <w:kern w:val="22"/>
          <w:szCs w:val="22"/>
          <w:lang w:val="en-GB" w:eastAsia="en-US"/>
        </w:rPr>
        <w:t>E</w:t>
      </w:r>
      <w:r w:rsidR="007924B1" w:rsidRPr="007924B1">
        <w:rPr>
          <w:rFonts w:eastAsia="MS Mincho"/>
          <w:b/>
          <w:bCs/>
          <w:iCs/>
          <w:kern w:val="22"/>
          <w:szCs w:val="22"/>
          <w:lang w:val="en-GB" w:eastAsia="en-US"/>
        </w:rPr>
        <w:t>.</w:t>
      </w:r>
      <w:r w:rsidR="007924B1" w:rsidRPr="007924B1">
        <w:rPr>
          <w:rFonts w:eastAsia="MS Mincho"/>
          <w:b/>
          <w:bCs/>
          <w:iCs/>
          <w:kern w:val="22"/>
          <w:szCs w:val="22"/>
          <w:lang w:val="en-GB" w:eastAsia="en-US"/>
        </w:rPr>
        <w:tab/>
        <w:t>Other initiatives implemented in collaboration with partners</w:t>
      </w:r>
    </w:p>
    <w:p w14:paraId="5DB5BF0B" w14:textId="77777777" w:rsidR="007924B1" w:rsidRPr="007924B1" w:rsidRDefault="007924B1" w:rsidP="00AB437B">
      <w:pPr>
        <w:pStyle w:val="Para10"/>
        <w:keepLines/>
        <w:numPr>
          <w:ilvl w:val="0"/>
          <w:numId w:val="58"/>
        </w:numPr>
        <w:suppressLineNumbers/>
        <w:suppressAutoHyphens/>
        <w:ind w:left="0" w:firstLine="0"/>
        <w:rPr>
          <w:rFonts w:eastAsia="Malgun Gothic"/>
          <w:kern w:val="22"/>
          <w:szCs w:val="22"/>
          <w:lang w:eastAsia="en-US"/>
        </w:rPr>
      </w:pPr>
      <w:r w:rsidRPr="007924B1">
        <w:rPr>
          <w:rFonts w:eastAsia="Malgun Gothic"/>
          <w:kern w:val="22"/>
          <w:szCs w:val="22"/>
          <w:lang w:eastAsia="en-US"/>
        </w:rPr>
        <w:t>The Secretariat continued to collaborate with the Multilateral Environmental Agreement Knowledge Management (MEA-IKM) Initiative on various issues, including the Law and Environment Ontology (LEO), interoperability, e-learning, the use of the Akoma-</w:t>
      </w:r>
      <w:proofErr w:type="spellStart"/>
      <w:r w:rsidRPr="007924B1">
        <w:rPr>
          <w:rFonts w:eastAsia="Malgun Gothic"/>
          <w:kern w:val="22"/>
          <w:szCs w:val="22"/>
          <w:lang w:eastAsia="en-US"/>
        </w:rPr>
        <w:t>Ntoso</w:t>
      </w:r>
      <w:proofErr w:type="spellEnd"/>
      <w:r w:rsidRPr="007924B1">
        <w:rPr>
          <w:rFonts w:eastAsia="Malgun Gothic"/>
          <w:kern w:val="22"/>
          <w:szCs w:val="22"/>
          <w:lang w:eastAsia="en-US"/>
        </w:rPr>
        <w:t xml:space="preserve"> format adopted for United Nations documents, and synergies in national reporting through the Data Reporting Tool (DART). Further information is available at </w:t>
      </w:r>
      <w:hyperlink r:id="rId13" w:history="1">
        <w:r w:rsidRPr="00AB437B">
          <w:rPr>
            <w:rFonts w:eastAsia="Malgun Gothic"/>
            <w:kern w:val="22"/>
            <w:szCs w:val="22"/>
            <w:lang w:eastAsia="en-US"/>
          </w:rPr>
          <w:t>https://www.informea.org/about</w:t>
        </w:r>
      </w:hyperlink>
      <w:r w:rsidRPr="007924B1">
        <w:rPr>
          <w:rFonts w:eastAsia="Malgun Gothic"/>
          <w:kern w:val="22"/>
          <w:szCs w:val="22"/>
          <w:lang w:eastAsia="en-US"/>
        </w:rPr>
        <w:t>.</w:t>
      </w:r>
    </w:p>
    <w:p w14:paraId="206EEE4D" w14:textId="3B1BA74C" w:rsidR="007924B1" w:rsidRPr="007924B1" w:rsidRDefault="00E749A3" w:rsidP="007924B1">
      <w:pPr>
        <w:keepNext/>
        <w:tabs>
          <w:tab w:val="left" w:pos="720"/>
        </w:tabs>
        <w:spacing w:before="120" w:after="120"/>
        <w:jc w:val="center"/>
        <w:outlineLvl w:val="1"/>
        <w:rPr>
          <w:rFonts w:eastAsia="MS Mincho"/>
          <w:b/>
          <w:bCs/>
          <w:iCs/>
          <w:kern w:val="22"/>
          <w:szCs w:val="22"/>
          <w:lang w:val="en-GB" w:eastAsia="en-US"/>
        </w:rPr>
      </w:pPr>
      <w:r>
        <w:rPr>
          <w:rFonts w:eastAsia="MS Mincho"/>
          <w:b/>
          <w:bCs/>
          <w:iCs/>
          <w:kern w:val="22"/>
          <w:szCs w:val="22"/>
          <w:lang w:val="en-GB" w:eastAsia="en-US"/>
        </w:rPr>
        <w:t>F</w:t>
      </w:r>
      <w:r w:rsidR="007924B1" w:rsidRPr="007924B1">
        <w:rPr>
          <w:rFonts w:eastAsia="MS Mincho"/>
          <w:b/>
          <w:bCs/>
          <w:iCs/>
          <w:kern w:val="22"/>
          <w:szCs w:val="22"/>
          <w:lang w:val="en-GB" w:eastAsia="en-US"/>
        </w:rPr>
        <w:t>.</w:t>
      </w:r>
      <w:r w:rsidR="007924B1" w:rsidRPr="007924B1">
        <w:rPr>
          <w:rFonts w:eastAsia="MS Mincho"/>
          <w:b/>
          <w:bCs/>
          <w:iCs/>
          <w:kern w:val="22"/>
          <w:szCs w:val="22"/>
          <w:lang w:val="en-GB" w:eastAsia="en-US"/>
        </w:rPr>
        <w:tab/>
        <w:t>Work of the Informal Advisory Committee to the Clearing-House Mechanism</w:t>
      </w:r>
    </w:p>
    <w:p w14:paraId="177419AE" w14:textId="073A0725" w:rsidR="0054566A" w:rsidRDefault="00241710" w:rsidP="0054566A">
      <w:pPr>
        <w:pStyle w:val="Para10"/>
        <w:keepLines/>
        <w:numPr>
          <w:ilvl w:val="0"/>
          <w:numId w:val="58"/>
        </w:numPr>
        <w:suppressLineNumbers/>
        <w:suppressAutoHyphens/>
        <w:ind w:left="0" w:firstLine="0"/>
        <w:rPr>
          <w:rFonts w:eastAsia="Malgun Gothic"/>
          <w:kern w:val="22"/>
          <w:szCs w:val="22"/>
          <w:lang w:eastAsia="en-US"/>
        </w:rPr>
      </w:pPr>
      <w:r w:rsidRPr="00241710">
        <w:rPr>
          <w:rFonts w:eastAsia="Malgun Gothic"/>
          <w:kern w:val="22"/>
          <w:szCs w:val="22"/>
          <w:lang w:eastAsia="en-US"/>
        </w:rPr>
        <w:t xml:space="preserve">A </w:t>
      </w:r>
      <w:r w:rsidR="007924B1" w:rsidRPr="007924B1">
        <w:rPr>
          <w:rFonts w:eastAsia="Malgun Gothic"/>
          <w:kern w:val="22"/>
          <w:szCs w:val="22"/>
          <w:lang w:eastAsia="en-US"/>
        </w:rPr>
        <w:t xml:space="preserve">face-to-face meeting took place in Montreal on </w:t>
      </w:r>
      <w:r w:rsidRPr="00241710">
        <w:rPr>
          <w:rFonts w:eastAsia="Malgun Gothic"/>
          <w:kern w:val="22"/>
          <w:szCs w:val="22"/>
          <w:lang w:eastAsia="en-US"/>
        </w:rPr>
        <w:t xml:space="preserve">the margins of </w:t>
      </w:r>
      <w:r w:rsidR="00166CF4">
        <w:rPr>
          <w:rFonts w:eastAsia="Malgun Gothic"/>
          <w:kern w:val="22"/>
          <w:szCs w:val="22"/>
          <w:lang w:eastAsia="en-US"/>
        </w:rPr>
        <w:t>the second meeting of the Subsidiary Body on Implementation</w:t>
      </w:r>
      <w:r w:rsidRPr="00241710">
        <w:rPr>
          <w:rFonts w:eastAsia="Malgun Gothic"/>
          <w:kern w:val="22"/>
          <w:szCs w:val="22"/>
          <w:lang w:eastAsia="en-US"/>
        </w:rPr>
        <w:t xml:space="preserve"> on 10 July 2018</w:t>
      </w:r>
      <w:r w:rsidR="007924B1" w:rsidRPr="007924B1">
        <w:rPr>
          <w:rFonts w:eastAsia="Malgun Gothic"/>
          <w:kern w:val="22"/>
          <w:szCs w:val="22"/>
          <w:lang w:eastAsia="en-US"/>
        </w:rPr>
        <w:t xml:space="preserve">. The recommendations of that meeting are available in </w:t>
      </w:r>
      <w:r w:rsidRPr="00241710">
        <w:rPr>
          <w:rFonts w:eastAsia="Malgun Gothic"/>
          <w:kern w:val="22"/>
          <w:szCs w:val="22"/>
          <w:lang w:eastAsia="en-US"/>
        </w:rPr>
        <w:t>document CBD/CHM/IAC/2018/1/2</w:t>
      </w:r>
      <w:r w:rsidR="007924B1" w:rsidRPr="007924B1">
        <w:rPr>
          <w:rFonts w:eastAsia="Malgun Gothic"/>
          <w:kern w:val="22"/>
          <w:szCs w:val="22"/>
          <w:lang w:eastAsia="en-US"/>
        </w:rPr>
        <w:t>.</w:t>
      </w:r>
    </w:p>
    <w:p w14:paraId="6CB6920D" w14:textId="77777777" w:rsidR="005327CF" w:rsidRDefault="005327CF" w:rsidP="005327CF">
      <w:pPr>
        <w:spacing w:after="200" w:line="276" w:lineRule="auto"/>
        <w:jc w:val="left"/>
        <w:rPr>
          <w:lang w:val="en-GB"/>
        </w:rPr>
      </w:pPr>
    </w:p>
    <w:p w14:paraId="03152B67" w14:textId="400E6F8E" w:rsidR="0054566A" w:rsidRPr="00195023" w:rsidRDefault="00166CF4" w:rsidP="00166CF4">
      <w:pPr>
        <w:spacing w:after="200" w:line="276" w:lineRule="auto"/>
        <w:jc w:val="center"/>
        <w:rPr>
          <w:lang w:val="en-GB"/>
        </w:rPr>
      </w:pPr>
      <w:r>
        <w:rPr>
          <w:lang w:val="en-GB"/>
        </w:rPr>
        <w:t>__________</w:t>
      </w:r>
    </w:p>
    <w:sectPr w:rsidR="0054566A" w:rsidRPr="00195023" w:rsidSect="0054566A">
      <w:headerReference w:type="even" r:id="rId14"/>
      <w:headerReference w:type="default" r:id="rId15"/>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6F193" w14:textId="77777777" w:rsidR="005260E9" w:rsidRDefault="005260E9" w:rsidP="00CF1848">
      <w:r>
        <w:separator/>
      </w:r>
    </w:p>
  </w:endnote>
  <w:endnote w:type="continuationSeparator" w:id="0">
    <w:p w14:paraId="4511AA91" w14:textId="77777777" w:rsidR="005260E9" w:rsidRDefault="005260E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altName w:val="Arial"/>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B5A192" w14:textId="77777777" w:rsidR="005260E9" w:rsidRDefault="005260E9" w:rsidP="00CF1848">
      <w:r>
        <w:separator/>
      </w:r>
    </w:p>
  </w:footnote>
  <w:footnote w:type="continuationSeparator" w:id="0">
    <w:p w14:paraId="6EECDD71" w14:textId="77777777" w:rsidR="005260E9" w:rsidRDefault="005260E9"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EndPr/>
    <w:sdtContent>
      <w:p w14:paraId="64554647" w14:textId="2B660A0A" w:rsidR="00404C1E" w:rsidRPr="00EC6497" w:rsidRDefault="0054566A" w:rsidP="00EC6497">
        <w:pPr>
          <w:pStyle w:val="Header"/>
          <w:tabs>
            <w:tab w:val="clear" w:pos="4320"/>
            <w:tab w:val="clear" w:pos="8640"/>
          </w:tabs>
          <w:rPr>
            <w:noProof/>
            <w:kern w:val="22"/>
            <w:szCs w:val="22"/>
            <w:lang w:val="en-GB"/>
          </w:rPr>
        </w:pPr>
        <w:r>
          <w:rPr>
            <w:noProof/>
            <w:kern w:val="22"/>
            <w:szCs w:val="22"/>
            <w:lang w:val="en-US"/>
          </w:rPr>
          <w:t>CBD/COP/14/INF/4</w:t>
        </w:r>
      </w:p>
    </w:sdtContent>
  </w:sdt>
  <w:p w14:paraId="36761119" w14:textId="77777777" w:rsidR="00404C1E" w:rsidRPr="00EC6497" w:rsidRDefault="00404C1E" w:rsidP="00EC6497">
    <w:pPr>
      <w:pStyle w:val="Header"/>
      <w:tabs>
        <w:tab w:val="clear" w:pos="4320"/>
        <w:tab w:val="clear" w:pos="8640"/>
      </w:tabs>
      <w:rPr>
        <w:noProof/>
        <w:kern w:val="22"/>
        <w:szCs w:val="22"/>
        <w:lang w:val="en-GB"/>
      </w:rPr>
    </w:pPr>
    <w:r w:rsidRPr="00EC6497">
      <w:rPr>
        <w:noProof/>
        <w:kern w:val="22"/>
        <w:szCs w:val="22"/>
        <w:lang w:val="en-GB"/>
      </w:rPr>
      <w:t xml:space="preserve">Page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D97BF7">
      <w:rPr>
        <w:noProof/>
        <w:kern w:val="22"/>
        <w:szCs w:val="22"/>
        <w:lang w:val="en-GB"/>
      </w:rPr>
      <w:t>2</w:t>
    </w:r>
    <w:r w:rsidRPr="00EC6497">
      <w:rPr>
        <w:noProof/>
        <w:kern w:val="22"/>
        <w:szCs w:val="22"/>
        <w:lang w:val="en-GB"/>
      </w:rPr>
      <w:fldChar w:fldCharType="end"/>
    </w:r>
  </w:p>
  <w:p w14:paraId="6A7AB6DC" w14:textId="77777777" w:rsidR="00404C1E" w:rsidRPr="00EC6497" w:rsidRDefault="00404C1E" w:rsidP="00EC6497">
    <w:pPr>
      <w:pStyle w:val="Header"/>
      <w:tabs>
        <w:tab w:val="clear" w:pos="4320"/>
        <w:tab w:val="clear" w:pos="8640"/>
      </w:tabs>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2640E78" w14:textId="2FE58486" w:rsidR="00FC39EF" w:rsidRPr="00EC6497" w:rsidRDefault="0054566A" w:rsidP="00FC39EF">
        <w:pPr>
          <w:pStyle w:val="Header"/>
          <w:tabs>
            <w:tab w:val="clear" w:pos="4320"/>
            <w:tab w:val="clear" w:pos="8640"/>
          </w:tabs>
          <w:kinsoku w:val="0"/>
          <w:overflowPunct w:val="0"/>
          <w:autoSpaceDE w:val="0"/>
          <w:autoSpaceDN w:val="0"/>
          <w:jc w:val="right"/>
          <w:rPr>
            <w:noProof/>
            <w:szCs w:val="22"/>
            <w:lang w:val="en-GB"/>
          </w:rPr>
        </w:pPr>
        <w:r>
          <w:rPr>
            <w:noProof/>
            <w:szCs w:val="22"/>
            <w:lang w:val="en-US"/>
          </w:rPr>
          <w:t>CBD/COP/14/INF/4</w:t>
        </w:r>
      </w:p>
    </w:sdtContent>
  </w:sdt>
  <w:p w14:paraId="238BD5B5" w14:textId="77777777" w:rsidR="00FC39EF" w:rsidRPr="00EC6497" w:rsidRDefault="00FC39EF" w:rsidP="00FC39EF">
    <w:pPr>
      <w:pStyle w:val="Header"/>
      <w:tabs>
        <w:tab w:val="clear" w:pos="4320"/>
        <w:tab w:val="clear" w:pos="8640"/>
      </w:tabs>
      <w:kinsoku w:val="0"/>
      <w:overflowPunct w:val="0"/>
      <w:autoSpaceDE w:val="0"/>
      <w:autoSpaceDN w:val="0"/>
      <w:jc w:val="right"/>
      <w:rPr>
        <w:noProof/>
        <w:szCs w:val="22"/>
        <w:lang w:val="en-GB"/>
      </w:rPr>
    </w:pPr>
    <w:r w:rsidRPr="00EC6497">
      <w:rPr>
        <w:noProof/>
        <w:szCs w:val="22"/>
        <w:lang w:val="en-GB"/>
      </w:rPr>
      <w:t xml:space="preserve">Page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sidR="00D97BF7">
      <w:rPr>
        <w:noProof/>
        <w:szCs w:val="22"/>
        <w:lang w:val="en-GB"/>
      </w:rPr>
      <w:t>3</w:t>
    </w:r>
    <w:r w:rsidRPr="00EC6497">
      <w:rPr>
        <w:noProof/>
        <w:szCs w:val="22"/>
        <w:lang w:val="en-GB"/>
      </w:rPr>
      <w:fldChar w:fldCharType="end"/>
    </w:r>
  </w:p>
  <w:p w14:paraId="05EE6F5A" w14:textId="77777777" w:rsidR="00FC39EF" w:rsidRDefault="00FC39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0DAE4F18"/>
    <w:lvl w:ilvl="0" w:tplc="6A92E88E">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1"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A74E7D"/>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0"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3"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4"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5"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0"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29"/>
  </w:num>
  <w:num w:numId="3">
    <w:abstractNumId w:val="52"/>
  </w:num>
  <w:num w:numId="4">
    <w:abstractNumId w:val="32"/>
  </w:num>
  <w:num w:numId="5">
    <w:abstractNumId w:val="21"/>
  </w:num>
  <w:num w:numId="6">
    <w:abstractNumId w:val="22"/>
  </w:num>
  <w:num w:numId="7">
    <w:abstractNumId w:val="61"/>
  </w:num>
  <w:num w:numId="8">
    <w:abstractNumId w:val="27"/>
  </w:num>
  <w:num w:numId="9">
    <w:abstractNumId w:val="4"/>
  </w:num>
  <w:num w:numId="10">
    <w:abstractNumId w:val="58"/>
  </w:num>
  <w:num w:numId="11">
    <w:abstractNumId w:val="12"/>
  </w:num>
  <w:num w:numId="12">
    <w:abstractNumId w:val="24"/>
  </w:num>
  <w:num w:numId="13">
    <w:abstractNumId w:val="13"/>
  </w:num>
  <w:num w:numId="14">
    <w:abstractNumId w:val="3"/>
  </w:num>
  <w:num w:numId="15">
    <w:abstractNumId w:val="18"/>
  </w:num>
  <w:num w:numId="16">
    <w:abstractNumId w:val="56"/>
  </w:num>
  <w:num w:numId="17">
    <w:abstractNumId w:val="41"/>
  </w:num>
  <w:num w:numId="18">
    <w:abstractNumId w:val="15"/>
  </w:num>
  <w:num w:numId="19">
    <w:abstractNumId w:val="46"/>
  </w:num>
  <w:num w:numId="20">
    <w:abstractNumId w:val="55"/>
  </w:num>
  <w:num w:numId="21">
    <w:abstractNumId w:val="0"/>
  </w:num>
  <w:num w:numId="22">
    <w:abstractNumId w:val="25"/>
  </w:num>
  <w:num w:numId="23">
    <w:abstractNumId w:val="44"/>
  </w:num>
  <w:num w:numId="24">
    <w:abstractNumId w:val="39"/>
  </w:num>
  <w:num w:numId="25">
    <w:abstractNumId w:val="5"/>
  </w:num>
  <w:num w:numId="26">
    <w:abstractNumId w:val="14"/>
  </w:num>
  <w:num w:numId="27">
    <w:abstractNumId w:val="6"/>
  </w:num>
  <w:num w:numId="28">
    <w:abstractNumId w:val="45"/>
  </w:num>
  <w:num w:numId="29">
    <w:abstractNumId w:val="60"/>
  </w:num>
  <w:num w:numId="30">
    <w:abstractNumId w:val="23"/>
  </w:num>
  <w:num w:numId="31">
    <w:abstractNumId w:val="50"/>
  </w:num>
  <w:num w:numId="32">
    <w:abstractNumId w:val="33"/>
  </w:num>
  <w:num w:numId="33">
    <w:abstractNumId w:val="35"/>
  </w:num>
  <w:num w:numId="34">
    <w:abstractNumId w:val="8"/>
  </w:num>
  <w:num w:numId="35">
    <w:abstractNumId w:val="31"/>
  </w:num>
  <w:num w:numId="36">
    <w:abstractNumId w:val="37"/>
  </w:num>
  <w:num w:numId="37">
    <w:abstractNumId w:val="34"/>
  </w:num>
  <w:num w:numId="38">
    <w:abstractNumId w:val="9"/>
  </w:num>
  <w:num w:numId="39">
    <w:abstractNumId w:val="30"/>
  </w:num>
  <w:num w:numId="40">
    <w:abstractNumId w:val="48"/>
  </w:num>
  <w:num w:numId="41">
    <w:abstractNumId w:val="11"/>
  </w:num>
  <w:num w:numId="42">
    <w:abstractNumId w:val="43"/>
  </w:num>
  <w:num w:numId="43">
    <w:abstractNumId w:val="59"/>
  </w:num>
  <w:num w:numId="44">
    <w:abstractNumId w:val="28"/>
  </w:num>
  <w:num w:numId="45">
    <w:abstractNumId w:val="54"/>
  </w:num>
  <w:num w:numId="46">
    <w:abstractNumId w:val="10"/>
  </w:num>
  <w:num w:numId="47">
    <w:abstractNumId w:val="26"/>
  </w:num>
  <w:num w:numId="48">
    <w:abstractNumId w:val="7"/>
  </w:num>
  <w:num w:numId="49">
    <w:abstractNumId w:val="53"/>
  </w:num>
  <w:num w:numId="50">
    <w:abstractNumId w:val="42"/>
  </w:num>
  <w:num w:numId="51">
    <w:abstractNumId w:val="57"/>
  </w:num>
  <w:num w:numId="52">
    <w:abstractNumId w:val="38"/>
  </w:num>
  <w:num w:numId="53">
    <w:abstractNumId w:val="19"/>
  </w:num>
  <w:num w:numId="54">
    <w:abstractNumId w:val="20"/>
  </w:num>
  <w:num w:numId="55">
    <w:abstractNumId w:val="2"/>
  </w:num>
  <w:num w:numId="56">
    <w:abstractNumId w:val="4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num>
  <w:num w:numId="58">
    <w:abstractNumId w:val="17"/>
  </w:num>
  <w:num w:numId="59">
    <w:abstractNumId w:val="49"/>
  </w:num>
  <w:num w:numId="60">
    <w:abstractNumId w:val="51"/>
  </w:num>
  <w:num w:numId="61">
    <w:abstractNumId w:val="36"/>
  </w:num>
  <w:num w:numId="62">
    <w:abstractNumId w:val="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757"/>
    <w:rsid w:val="00002218"/>
    <w:rsid w:val="00003CCD"/>
    <w:rsid w:val="00004C24"/>
    <w:rsid w:val="00005084"/>
    <w:rsid w:val="00007B1E"/>
    <w:rsid w:val="00012805"/>
    <w:rsid w:val="00012FE9"/>
    <w:rsid w:val="00014DEC"/>
    <w:rsid w:val="00016451"/>
    <w:rsid w:val="000164F2"/>
    <w:rsid w:val="0002024B"/>
    <w:rsid w:val="0002111D"/>
    <w:rsid w:val="00023E62"/>
    <w:rsid w:val="0002526A"/>
    <w:rsid w:val="000254FF"/>
    <w:rsid w:val="000264EC"/>
    <w:rsid w:val="0002724D"/>
    <w:rsid w:val="00027A8C"/>
    <w:rsid w:val="0004117A"/>
    <w:rsid w:val="0004148A"/>
    <w:rsid w:val="000417E0"/>
    <w:rsid w:val="000442DE"/>
    <w:rsid w:val="00050388"/>
    <w:rsid w:val="0005364D"/>
    <w:rsid w:val="00055620"/>
    <w:rsid w:val="000576D8"/>
    <w:rsid w:val="00057E8B"/>
    <w:rsid w:val="0006112E"/>
    <w:rsid w:val="00061DB4"/>
    <w:rsid w:val="00061E68"/>
    <w:rsid w:val="00062174"/>
    <w:rsid w:val="00062449"/>
    <w:rsid w:val="00062912"/>
    <w:rsid w:val="00067384"/>
    <w:rsid w:val="000721ED"/>
    <w:rsid w:val="00072F83"/>
    <w:rsid w:val="00076848"/>
    <w:rsid w:val="00082939"/>
    <w:rsid w:val="00084315"/>
    <w:rsid w:val="0008623C"/>
    <w:rsid w:val="000938AC"/>
    <w:rsid w:val="00096A6A"/>
    <w:rsid w:val="000A0AC1"/>
    <w:rsid w:val="000A1FE3"/>
    <w:rsid w:val="000A4FE3"/>
    <w:rsid w:val="000A69A0"/>
    <w:rsid w:val="000B130C"/>
    <w:rsid w:val="000B3227"/>
    <w:rsid w:val="000B5600"/>
    <w:rsid w:val="000C1B84"/>
    <w:rsid w:val="000C2486"/>
    <w:rsid w:val="000D259A"/>
    <w:rsid w:val="000D385D"/>
    <w:rsid w:val="000D38BA"/>
    <w:rsid w:val="000D459E"/>
    <w:rsid w:val="000D6C51"/>
    <w:rsid w:val="000D6E73"/>
    <w:rsid w:val="000E34FD"/>
    <w:rsid w:val="000E47FC"/>
    <w:rsid w:val="000E4D76"/>
    <w:rsid w:val="000E598B"/>
    <w:rsid w:val="000E673A"/>
    <w:rsid w:val="000F05B5"/>
    <w:rsid w:val="000F1256"/>
    <w:rsid w:val="000F14EE"/>
    <w:rsid w:val="000F20EE"/>
    <w:rsid w:val="000F5918"/>
    <w:rsid w:val="000F5D4D"/>
    <w:rsid w:val="000F74F5"/>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CFA"/>
    <w:rsid w:val="0014690B"/>
    <w:rsid w:val="001504C8"/>
    <w:rsid w:val="00150706"/>
    <w:rsid w:val="00152601"/>
    <w:rsid w:val="00153BA8"/>
    <w:rsid w:val="00154265"/>
    <w:rsid w:val="0016237D"/>
    <w:rsid w:val="001644E3"/>
    <w:rsid w:val="00166CF4"/>
    <w:rsid w:val="00166F54"/>
    <w:rsid w:val="001716DA"/>
    <w:rsid w:val="00172AF6"/>
    <w:rsid w:val="00176939"/>
    <w:rsid w:val="00176CEE"/>
    <w:rsid w:val="00187124"/>
    <w:rsid w:val="00187D9D"/>
    <w:rsid w:val="001933FC"/>
    <w:rsid w:val="00193563"/>
    <w:rsid w:val="00193574"/>
    <w:rsid w:val="00194A25"/>
    <w:rsid w:val="00195023"/>
    <w:rsid w:val="00197C35"/>
    <w:rsid w:val="001A0561"/>
    <w:rsid w:val="001B3897"/>
    <w:rsid w:val="001B4CCF"/>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20111C"/>
    <w:rsid w:val="00201F2B"/>
    <w:rsid w:val="002051A4"/>
    <w:rsid w:val="00206C9F"/>
    <w:rsid w:val="00206E27"/>
    <w:rsid w:val="00207FD0"/>
    <w:rsid w:val="00210C96"/>
    <w:rsid w:val="00211D4D"/>
    <w:rsid w:val="00213837"/>
    <w:rsid w:val="00215989"/>
    <w:rsid w:val="0022378B"/>
    <w:rsid w:val="00224043"/>
    <w:rsid w:val="0022652F"/>
    <w:rsid w:val="002324F8"/>
    <w:rsid w:val="00236663"/>
    <w:rsid w:val="00237E6E"/>
    <w:rsid w:val="0024012F"/>
    <w:rsid w:val="00241590"/>
    <w:rsid w:val="00241710"/>
    <w:rsid w:val="0024221D"/>
    <w:rsid w:val="00245B97"/>
    <w:rsid w:val="00247DDB"/>
    <w:rsid w:val="00252411"/>
    <w:rsid w:val="002536B0"/>
    <w:rsid w:val="00256A8E"/>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6B5D"/>
    <w:rsid w:val="002D0051"/>
    <w:rsid w:val="002D011B"/>
    <w:rsid w:val="002D28EB"/>
    <w:rsid w:val="002D2C0C"/>
    <w:rsid w:val="002D464A"/>
    <w:rsid w:val="002D4A7A"/>
    <w:rsid w:val="002D5E19"/>
    <w:rsid w:val="002E041A"/>
    <w:rsid w:val="002E2E93"/>
    <w:rsid w:val="002E3CE6"/>
    <w:rsid w:val="002E5CF1"/>
    <w:rsid w:val="002F214B"/>
    <w:rsid w:val="003013B8"/>
    <w:rsid w:val="003044F9"/>
    <w:rsid w:val="00305138"/>
    <w:rsid w:val="00305DF7"/>
    <w:rsid w:val="00312DEA"/>
    <w:rsid w:val="0031393E"/>
    <w:rsid w:val="003149C0"/>
    <w:rsid w:val="0031596E"/>
    <w:rsid w:val="0031686F"/>
    <w:rsid w:val="00323D65"/>
    <w:rsid w:val="00331960"/>
    <w:rsid w:val="003323FE"/>
    <w:rsid w:val="00332CF1"/>
    <w:rsid w:val="00334E1F"/>
    <w:rsid w:val="00334EAC"/>
    <w:rsid w:val="00335390"/>
    <w:rsid w:val="00335417"/>
    <w:rsid w:val="00336FDB"/>
    <w:rsid w:val="00343AB4"/>
    <w:rsid w:val="00344A65"/>
    <w:rsid w:val="00344AAC"/>
    <w:rsid w:val="003451A9"/>
    <w:rsid w:val="00361356"/>
    <w:rsid w:val="0036275E"/>
    <w:rsid w:val="00365518"/>
    <w:rsid w:val="0037012C"/>
    <w:rsid w:val="003710D5"/>
    <w:rsid w:val="0037115C"/>
    <w:rsid w:val="00372F74"/>
    <w:rsid w:val="00373008"/>
    <w:rsid w:val="00373754"/>
    <w:rsid w:val="00374B33"/>
    <w:rsid w:val="003811F4"/>
    <w:rsid w:val="003814FD"/>
    <w:rsid w:val="00383096"/>
    <w:rsid w:val="00385901"/>
    <w:rsid w:val="00386CA3"/>
    <w:rsid w:val="00391474"/>
    <w:rsid w:val="00394FD5"/>
    <w:rsid w:val="00395F2D"/>
    <w:rsid w:val="00396549"/>
    <w:rsid w:val="00396744"/>
    <w:rsid w:val="003A0EFB"/>
    <w:rsid w:val="003A4921"/>
    <w:rsid w:val="003A5614"/>
    <w:rsid w:val="003A7E91"/>
    <w:rsid w:val="003C4918"/>
    <w:rsid w:val="003C7D75"/>
    <w:rsid w:val="003C7E48"/>
    <w:rsid w:val="003D1EBA"/>
    <w:rsid w:val="003D5748"/>
    <w:rsid w:val="003D6C86"/>
    <w:rsid w:val="003D722F"/>
    <w:rsid w:val="003E18AD"/>
    <w:rsid w:val="003E3D87"/>
    <w:rsid w:val="003E6458"/>
    <w:rsid w:val="003F0BCF"/>
    <w:rsid w:val="003F59C6"/>
    <w:rsid w:val="00401EFF"/>
    <w:rsid w:val="0040228E"/>
    <w:rsid w:val="004035F1"/>
    <w:rsid w:val="0040384A"/>
    <w:rsid w:val="00404C1E"/>
    <w:rsid w:val="00407349"/>
    <w:rsid w:val="004102CB"/>
    <w:rsid w:val="0041478E"/>
    <w:rsid w:val="00415390"/>
    <w:rsid w:val="00415443"/>
    <w:rsid w:val="0041584A"/>
    <w:rsid w:val="00416AA4"/>
    <w:rsid w:val="004208EE"/>
    <w:rsid w:val="0042168F"/>
    <w:rsid w:val="00422188"/>
    <w:rsid w:val="00422949"/>
    <w:rsid w:val="004233B0"/>
    <w:rsid w:val="004253DF"/>
    <w:rsid w:val="00430D29"/>
    <w:rsid w:val="004313CF"/>
    <w:rsid w:val="0043222E"/>
    <w:rsid w:val="00432FC6"/>
    <w:rsid w:val="0043482B"/>
    <w:rsid w:val="0043495A"/>
    <w:rsid w:val="00436793"/>
    <w:rsid w:val="0043724E"/>
    <w:rsid w:val="004404E6"/>
    <w:rsid w:val="004412F7"/>
    <w:rsid w:val="00442C39"/>
    <w:rsid w:val="0044707E"/>
    <w:rsid w:val="00450781"/>
    <w:rsid w:val="0045256D"/>
    <w:rsid w:val="00452701"/>
    <w:rsid w:val="0045341C"/>
    <w:rsid w:val="00455143"/>
    <w:rsid w:val="00457F1C"/>
    <w:rsid w:val="004608FB"/>
    <w:rsid w:val="00460E31"/>
    <w:rsid w:val="004644C2"/>
    <w:rsid w:val="00464749"/>
    <w:rsid w:val="00464BF1"/>
    <w:rsid w:val="00465E9A"/>
    <w:rsid w:val="00470E9F"/>
    <w:rsid w:val="0047284E"/>
    <w:rsid w:val="00472FE0"/>
    <w:rsid w:val="00473C3A"/>
    <w:rsid w:val="00476174"/>
    <w:rsid w:val="00476289"/>
    <w:rsid w:val="004814B9"/>
    <w:rsid w:val="00484126"/>
    <w:rsid w:val="00485959"/>
    <w:rsid w:val="0049239C"/>
    <w:rsid w:val="00492C8E"/>
    <w:rsid w:val="00497C2F"/>
    <w:rsid w:val="004A7AD5"/>
    <w:rsid w:val="004A7D0E"/>
    <w:rsid w:val="004B53E8"/>
    <w:rsid w:val="004B5515"/>
    <w:rsid w:val="004B7733"/>
    <w:rsid w:val="004C0E79"/>
    <w:rsid w:val="004C279D"/>
    <w:rsid w:val="004D1251"/>
    <w:rsid w:val="004D192D"/>
    <w:rsid w:val="004D6D16"/>
    <w:rsid w:val="004D7146"/>
    <w:rsid w:val="004E039C"/>
    <w:rsid w:val="004E0BF0"/>
    <w:rsid w:val="004E2884"/>
    <w:rsid w:val="004E43F1"/>
    <w:rsid w:val="004E546B"/>
    <w:rsid w:val="004E5E5B"/>
    <w:rsid w:val="004E6FDF"/>
    <w:rsid w:val="004E729A"/>
    <w:rsid w:val="004F0D5C"/>
    <w:rsid w:val="004F345D"/>
    <w:rsid w:val="004F5063"/>
    <w:rsid w:val="00501D93"/>
    <w:rsid w:val="00502A2E"/>
    <w:rsid w:val="00504B97"/>
    <w:rsid w:val="00505130"/>
    <w:rsid w:val="00505730"/>
    <w:rsid w:val="00511873"/>
    <w:rsid w:val="00513360"/>
    <w:rsid w:val="005139A0"/>
    <w:rsid w:val="00516BAB"/>
    <w:rsid w:val="0051721B"/>
    <w:rsid w:val="0052192D"/>
    <w:rsid w:val="00522279"/>
    <w:rsid w:val="0052417D"/>
    <w:rsid w:val="00524358"/>
    <w:rsid w:val="00524526"/>
    <w:rsid w:val="005260E9"/>
    <w:rsid w:val="00526E66"/>
    <w:rsid w:val="005274F4"/>
    <w:rsid w:val="005303C2"/>
    <w:rsid w:val="00530B66"/>
    <w:rsid w:val="005327CF"/>
    <w:rsid w:val="00532AAF"/>
    <w:rsid w:val="00533E7C"/>
    <w:rsid w:val="00534681"/>
    <w:rsid w:val="005406E4"/>
    <w:rsid w:val="005407EF"/>
    <w:rsid w:val="00541FC4"/>
    <w:rsid w:val="00542267"/>
    <w:rsid w:val="00542BC8"/>
    <w:rsid w:val="00543A42"/>
    <w:rsid w:val="0054566A"/>
    <w:rsid w:val="0054723C"/>
    <w:rsid w:val="00547A3B"/>
    <w:rsid w:val="005521C9"/>
    <w:rsid w:val="0055456D"/>
    <w:rsid w:val="00556911"/>
    <w:rsid w:val="0055799B"/>
    <w:rsid w:val="00560C48"/>
    <w:rsid w:val="005641C1"/>
    <w:rsid w:val="00564A36"/>
    <w:rsid w:val="00571619"/>
    <w:rsid w:val="00574BEE"/>
    <w:rsid w:val="00577440"/>
    <w:rsid w:val="0058128B"/>
    <w:rsid w:val="005831D9"/>
    <w:rsid w:val="00583333"/>
    <w:rsid w:val="0059024D"/>
    <w:rsid w:val="005902CA"/>
    <w:rsid w:val="00590342"/>
    <w:rsid w:val="00592CC8"/>
    <w:rsid w:val="005950D7"/>
    <w:rsid w:val="005977A3"/>
    <w:rsid w:val="005A004E"/>
    <w:rsid w:val="005A1473"/>
    <w:rsid w:val="005A1D30"/>
    <w:rsid w:val="005A4B7F"/>
    <w:rsid w:val="005A729C"/>
    <w:rsid w:val="005B6EF5"/>
    <w:rsid w:val="005C0328"/>
    <w:rsid w:val="005C047C"/>
    <w:rsid w:val="005C2473"/>
    <w:rsid w:val="005C3D0D"/>
    <w:rsid w:val="005C4CDD"/>
    <w:rsid w:val="005C6E60"/>
    <w:rsid w:val="005C7C94"/>
    <w:rsid w:val="005D0C18"/>
    <w:rsid w:val="005D5E4B"/>
    <w:rsid w:val="005D6D93"/>
    <w:rsid w:val="005E0E08"/>
    <w:rsid w:val="005E2F96"/>
    <w:rsid w:val="005E3A80"/>
    <w:rsid w:val="005E425E"/>
    <w:rsid w:val="005E707F"/>
    <w:rsid w:val="005F204A"/>
    <w:rsid w:val="005F3B7B"/>
    <w:rsid w:val="005F47F1"/>
    <w:rsid w:val="005F6690"/>
    <w:rsid w:val="005F66F3"/>
    <w:rsid w:val="005F6C17"/>
    <w:rsid w:val="00604AAC"/>
    <w:rsid w:val="00604DAF"/>
    <w:rsid w:val="0060610E"/>
    <w:rsid w:val="00606BE5"/>
    <w:rsid w:val="00607E93"/>
    <w:rsid w:val="00611491"/>
    <w:rsid w:val="00614256"/>
    <w:rsid w:val="00615C96"/>
    <w:rsid w:val="00616B11"/>
    <w:rsid w:val="00617488"/>
    <w:rsid w:val="006206CD"/>
    <w:rsid w:val="00624347"/>
    <w:rsid w:val="00626A76"/>
    <w:rsid w:val="00627EAB"/>
    <w:rsid w:val="0063084E"/>
    <w:rsid w:val="00630AAA"/>
    <w:rsid w:val="006335FD"/>
    <w:rsid w:val="00637E69"/>
    <w:rsid w:val="0064087C"/>
    <w:rsid w:val="006452EF"/>
    <w:rsid w:val="00645A3A"/>
    <w:rsid w:val="00651AA5"/>
    <w:rsid w:val="006532BE"/>
    <w:rsid w:val="00653330"/>
    <w:rsid w:val="006541CE"/>
    <w:rsid w:val="006543C7"/>
    <w:rsid w:val="00655DC9"/>
    <w:rsid w:val="00655EEA"/>
    <w:rsid w:val="00660370"/>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C0DBA"/>
    <w:rsid w:val="006C367D"/>
    <w:rsid w:val="006C5BA0"/>
    <w:rsid w:val="006C62FA"/>
    <w:rsid w:val="006C65CB"/>
    <w:rsid w:val="006D398D"/>
    <w:rsid w:val="006D68BC"/>
    <w:rsid w:val="006E0E09"/>
    <w:rsid w:val="006E17E2"/>
    <w:rsid w:val="006E369B"/>
    <w:rsid w:val="006F0979"/>
    <w:rsid w:val="006F160B"/>
    <w:rsid w:val="006F22FF"/>
    <w:rsid w:val="006F5D1A"/>
    <w:rsid w:val="006F79F7"/>
    <w:rsid w:val="00700492"/>
    <w:rsid w:val="007026C5"/>
    <w:rsid w:val="00703EE4"/>
    <w:rsid w:val="00707A67"/>
    <w:rsid w:val="0071045A"/>
    <w:rsid w:val="00711BBA"/>
    <w:rsid w:val="007146ED"/>
    <w:rsid w:val="007179B4"/>
    <w:rsid w:val="00717D88"/>
    <w:rsid w:val="007271FA"/>
    <w:rsid w:val="00730D71"/>
    <w:rsid w:val="0073277F"/>
    <w:rsid w:val="007327A3"/>
    <w:rsid w:val="0073432B"/>
    <w:rsid w:val="00735D1B"/>
    <w:rsid w:val="00737587"/>
    <w:rsid w:val="00744934"/>
    <w:rsid w:val="00746C8B"/>
    <w:rsid w:val="007471EF"/>
    <w:rsid w:val="00754889"/>
    <w:rsid w:val="00756A0B"/>
    <w:rsid w:val="00756D72"/>
    <w:rsid w:val="0076162D"/>
    <w:rsid w:val="00762DE2"/>
    <w:rsid w:val="00764BDC"/>
    <w:rsid w:val="007654BD"/>
    <w:rsid w:val="00767475"/>
    <w:rsid w:val="00767B99"/>
    <w:rsid w:val="0077054C"/>
    <w:rsid w:val="00773BA1"/>
    <w:rsid w:val="00775692"/>
    <w:rsid w:val="00784660"/>
    <w:rsid w:val="00786AF6"/>
    <w:rsid w:val="00787EA0"/>
    <w:rsid w:val="007924B1"/>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104B"/>
    <w:rsid w:val="007C23ED"/>
    <w:rsid w:val="007C2D2A"/>
    <w:rsid w:val="007C4217"/>
    <w:rsid w:val="007C5DD0"/>
    <w:rsid w:val="007C7A9A"/>
    <w:rsid w:val="007D0173"/>
    <w:rsid w:val="007D0FEB"/>
    <w:rsid w:val="007D11ED"/>
    <w:rsid w:val="007D2C0F"/>
    <w:rsid w:val="007D2CF2"/>
    <w:rsid w:val="007D5AB0"/>
    <w:rsid w:val="007D6538"/>
    <w:rsid w:val="007E0111"/>
    <w:rsid w:val="007E01B6"/>
    <w:rsid w:val="007E0839"/>
    <w:rsid w:val="007E09DA"/>
    <w:rsid w:val="007E2661"/>
    <w:rsid w:val="007E6901"/>
    <w:rsid w:val="007E7B44"/>
    <w:rsid w:val="007F24EA"/>
    <w:rsid w:val="007F5BE8"/>
    <w:rsid w:val="007F65EC"/>
    <w:rsid w:val="00801D48"/>
    <w:rsid w:val="00801F64"/>
    <w:rsid w:val="0080696F"/>
    <w:rsid w:val="00806AD3"/>
    <w:rsid w:val="00806B5D"/>
    <w:rsid w:val="00812A60"/>
    <w:rsid w:val="00814AB2"/>
    <w:rsid w:val="00816C8D"/>
    <w:rsid w:val="008178B6"/>
    <w:rsid w:val="008239DA"/>
    <w:rsid w:val="00824D91"/>
    <w:rsid w:val="008311D9"/>
    <w:rsid w:val="00832F67"/>
    <w:rsid w:val="00833026"/>
    <w:rsid w:val="00833FBA"/>
    <w:rsid w:val="00835126"/>
    <w:rsid w:val="00836B3D"/>
    <w:rsid w:val="00837FA8"/>
    <w:rsid w:val="00842F4E"/>
    <w:rsid w:val="008470FD"/>
    <w:rsid w:val="008471A9"/>
    <w:rsid w:val="00851388"/>
    <w:rsid w:val="00851DEC"/>
    <w:rsid w:val="00852B3F"/>
    <w:rsid w:val="00853741"/>
    <w:rsid w:val="0085469B"/>
    <w:rsid w:val="008569E2"/>
    <w:rsid w:val="0086169B"/>
    <w:rsid w:val="00863F34"/>
    <w:rsid w:val="0086488D"/>
    <w:rsid w:val="00875D02"/>
    <w:rsid w:val="00880695"/>
    <w:rsid w:val="00880B23"/>
    <w:rsid w:val="0088203B"/>
    <w:rsid w:val="0088205C"/>
    <w:rsid w:val="00885694"/>
    <w:rsid w:val="00886A2D"/>
    <w:rsid w:val="00890EC7"/>
    <w:rsid w:val="00891D19"/>
    <w:rsid w:val="00895C7F"/>
    <w:rsid w:val="008A1C9D"/>
    <w:rsid w:val="008A272A"/>
    <w:rsid w:val="008A4777"/>
    <w:rsid w:val="008A671A"/>
    <w:rsid w:val="008A7C4F"/>
    <w:rsid w:val="008B27F3"/>
    <w:rsid w:val="008B4909"/>
    <w:rsid w:val="008B5084"/>
    <w:rsid w:val="008B50BC"/>
    <w:rsid w:val="008B5CD9"/>
    <w:rsid w:val="008B6E06"/>
    <w:rsid w:val="008C1E4A"/>
    <w:rsid w:val="008C48E9"/>
    <w:rsid w:val="008C58C1"/>
    <w:rsid w:val="008C5C18"/>
    <w:rsid w:val="008D48D2"/>
    <w:rsid w:val="008D6BE3"/>
    <w:rsid w:val="008E157F"/>
    <w:rsid w:val="008E4CAC"/>
    <w:rsid w:val="008E5022"/>
    <w:rsid w:val="008E577D"/>
    <w:rsid w:val="008F1F06"/>
    <w:rsid w:val="008F36FE"/>
    <w:rsid w:val="008F4C5D"/>
    <w:rsid w:val="008F5A8E"/>
    <w:rsid w:val="0090209C"/>
    <w:rsid w:val="00902144"/>
    <w:rsid w:val="0090280C"/>
    <w:rsid w:val="00905560"/>
    <w:rsid w:val="00907C06"/>
    <w:rsid w:val="00910B13"/>
    <w:rsid w:val="0091142E"/>
    <w:rsid w:val="009123E2"/>
    <w:rsid w:val="00913F9A"/>
    <w:rsid w:val="00914AF4"/>
    <w:rsid w:val="00920C83"/>
    <w:rsid w:val="00921A14"/>
    <w:rsid w:val="0092485D"/>
    <w:rsid w:val="00925675"/>
    <w:rsid w:val="00927121"/>
    <w:rsid w:val="009274E2"/>
    <w:rsid w:val="009317DB"/>
    <w:rsid w:val="00933654"/>
    <w:rsid w:val="009352C1"/>
    <w:rsid w:val="00941A9E"/>
    <w:rsid w:val="00944D6E"/>
    <w:rsid w:val="009505C9"/>
    <w:rsid w:val="009529A1"/>
    <w:rsid w:val="0095327F"/>
    <w:rsid w:val="00955311"/>
    <w:rsid w:val="00955CA0"/>
    <w:rsid w:val="00961BCD"/>
    <w:rsid w:val="009655E2"/>
    <w:rsid w:val="00965A70"/>
    <w:rsid w:val="00967AE9"/>
    <w:rsid w:val="009713B3"/>
    <w:rsid w:val="00973214"/>
    <w:rsid w:val="00973993"/>
    <w:rsid w:val="00976B6D"/>
    <w:rsid w:val="00981628"/>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7319"/>
    <w:rsid w:val="009B2CC0"/>
    <w:rsid w:val="009B6C10"/>
    <w:rsid w:val="009B6DC5"/>
    <w:rsid w:val="009B71D1"/>
    <w:rsid w:val="009C0248"/>
    <w:rsid w:val="009C027A"/>
    <w:rsid w:val="009C06AF"/>
    <w:rsid w:val="009C1405"/>
    <w:rsid w:val="009C6414"/>
    <w:rsid w:val="009D458B"/>
    <w:rsid w:val="009D550F"/>
    <w:rsid w:val="009E0753"/>
    <w:rsid w:val="009E4969"/>
    <w:rsid w:val="009E5088"/>
    <w:rsid w:val="009E6538"/>
    <w:rsid w:val="009E6D15"/>
    <w:rsid w:val="009E7BFF"/>
    <w:rsid w:val="009F06E4"/>
    <w:rsid w:val="009F0B46"/>
    <w:rsid w:val="009F340F"/>
    <w:rsid w:val="00A019FA"/>
    <w:rsid w:val="00A03DEF"/>
    <w:rsid w:val="00A04A38"/>
    <w:rsid w:val="00A04E05"/>
    <w:rsid w:val="00A051A9"/>
    <w:rsid w:val="00A058B5"/>
    <w:rsid w:val="00A05F7C"/>
    <w:rsid w:val="00A07F4B"/>
    <w:rsid w:val="00A10C75"/>
    <w:rsid w:val="00A1213A"/>
    <w:rsid w:val="00A15B41"/>
    <w:rsid w:val="00A17CFE"/>
    <w:rsid w:val="00A210FC"/>
    <w:rsid w:val="00A2286E"/>
    <w:rsid w:val="00A23967"/>
    <w:rsid w:val="00A2563C"/>
    <w:rsid w:val="00A259FC"/>
    <w:rsid w:val="00A268F9"/>
    <w:rsid w:val="00A310E1"/>
    <w:rsid w:val="00A317BC"/>
    <w:rsid w:val="00A3222A"/>
    <w:rsid w:val="00A33354"/>
    <w:rsid w:val="00A34A90"/>
    <w:rsid w:val="00A35AD3"/>
    <w:rsid w:val="00A35CD8"/>
    <w:rsid w:val="00A37C24"/>
    <w:rsid w:val="00A37C8B"/>
    <w:rsid w:val="00A408CF"/>
    <w:rsid w:val="00A433D6"/>
    <w:rsid w:val="00A50644"/>
    <w:rsid w:val="00A50735"/>
    <w:rsid w:val="00A509DB"/>
    <w:rsid w:val="00A578CB"/>
    <w:rsid w:val="00A609FF"/>
    <w:rsid w:val="00A65644"/>
    <w:rsid w:val="00A70152"/>
    <w:rsid w:val="00A719E4"/>
    <w:rsid w:val="00A76CDE"/>
    <w:rsid w:val="00A8154C"/>
    <w:rsid w:val="00A818BD"/>
    <w:rsid w:val="00A8698F"/>
    <w:rsid w:val="00A87077"/>
    <w:rsid w:val="00A953FC"/>
    <w:rsid w:val="00A959DC"/>
    <w:rsid w:val="00A9718C"/>
    <w:rsid w:val="00AA0007"/>
    <w:rsid w:val="00AA2A85"/>
    <w:rsid w:val="00AA3543"/>
    <w:rsid w:val="00AB437B"/>
    <w:rsid w:val="00AB4861"/>
    <w:rsid w:val="00AB5420"/>
    <w:rsid w:val="00AB62F4"/>
    <w:rsid w:val="00AB6333"/>
    <w:rsid w:val="00AC0F08"/>
    <w:rsid w:val="00AC4219"/>
    <w:rsid w:val="00AC659E"/>
    <w:rsid w:val="00AD2094"/>
    <w:rsid w:val="00AD3539"/>
    <w:rsid w:val="00AD43CE"/>
    <w:rsid w:val="00AE5126"/>
    <w:rsid w:val="00AE5995"/>
    <w:rsid w:val="00AF0431"/>
    <w:rsid w:val="00AF189E"/>
    <w:rsid w:val="00AF1EAA"/>
    <w:rsid w:val="00AF2255"/>
    <w:rsid w:val="00B040B7"/>
    <w:rsid w:val="00B0478A"/>
    <w:rsid w:val="00B061E5"/>
    <w:rsid w:val="00B06FA8"/>
    <w:rsid w:val="00B1275A"/>
    <w:rsid w:val="00B12830"/>
    <w:rsid w:val="00B140EC"/>
    <w:rsid w:val="00B15CDE"/>
    <w:rsid w:val="00B16361"/>
    <w:rsid w:val="00B164DE"/>
    <w:rsid w:val="00B21590"/>
    <w:rsid w:val="00B239F1"/>
    <w:rsid w:val="00B24964"/>
    <w:rsid w:val="00B24BA6"/>
    <w:rsid w:val="00B26274"/>
    <w:rsid w:val="00B30E09"/>
    <w:rsid w:val="00B316A4"/>
    <w:rsid w:val="00B3363F"/>
    <w:rsid w:val="00B3369F"/>
    <w:rsid w:val="00B33A09"/>
    <w:rsid w:val="00B33DA8"/>
    <w:rsid w:val="00B3715C"/>
    <w:rsid w:val="00B40A5D"/>
    <w:rsid w:val="00B43F31"/>
    <w:rsid w:val="00B454B5"/>
    <w:rsid w:val="00B45CFA"/>
    <w:rsid w:val="00B46C72"/>
    <w:rsid w:val="00B51298"/>
    <w:rsid w:val="00B517BC"/>
    <w:rsid w:val="00B531E0"/>
    <w:rsid w:val="00B53A62"/>
    <w:rsid w:val="00B53B11"/>
    <w:rsid w:val="00B53F62"/>
    <w:rsid w:val="00B578D5"/>
    <w:rsid w:val="00B60481"/>
    <w:rsid w:val="00B617AE"/>
    <w:rsid w:val="00B618BD"/>
    <w:rsid w:val="00B64B67"/>
    <w:rsid w:val="00B6515B"/>
    <w:rsid w:val="00B6739C"/>
    <w:rsid w:val="00B72B19"/>
    <w:rsid w:val="00B80D3C"/>
    <w:rsid w:val="00B8118A"/>
    <w:rsid w:val="00B8432E"/>
    <w:rsid w:val="00B84927"/>
    <w:rsid w:val="00B85936"/>
    <w:rsid w:val="00B85CF9"/>
    <w:rsid w:val="00B91D73"/>
    <w:rsid w:val="00B95039"/>
    <w:rsid w:val="00BA2262"/>
    <w:rsid w:val="00BA6E8B"/>
    <w:rsid w:val="00BA706A"/>
    <w:rsid w:val="00BB045D"/>
    <w:rsid w:val="00BB356D"/>
    <w:rsid w:val="00BB450E"/>
    <w:rsid w:val="00BB55BF"/>
    <w:rsid w:val="00BC2013"/>
    <w:rsid w:val="00BC23A2"/>
    <w:rsid w:val="00BC605A"/>
    <w:rsid w:val="00BD2318"/>
    <w:rsid w:val="00BD5CDC"/>
    <w:rsid w:val="00BD6277"/>
    <w:rsid w:val="00BE0CC1"/>
    <w:rsid w:val="00BE1DE2"/>
    <w:rsid w:val="00BE6C11"/>
    <w:rsid w:val="00BF08CB"/>
    <w:rsid w:val="00BF2756"/>
    <w:rsid w:val="00BF2FCB"/>
    <w:rsid w:val="00C027E0"/>
    <w:rsid w:val="00C0443C"/>
    <w:rsid w:val="00C05CD9"/>
    <w:rsid w:val="00C07CA4"/>
    <w:rsid w:val="00C10B55"/>
    <w:rsid w:val="00C17C39"/>
    <w:rsid w:val="00C208BB"/>
    <w:rsid w:val="00C228D2"/>
    <w:rsid w:val="00C236A0"/>
    <w:rsid w:val="00C240FA"/>
    <w:rsid w:val="00C2735D"/>
    <w:rsid w:val="00C27A61"/>
    <w:rsid w:val="00C30FDC"/>
    <w:rsid w:val="00C33FE5"/>
    <w:rsid w:val="00C40B65"/>
    <w:rsid w:val="00C41EDE"/>
    <w:rsid w:val="00C42EB0"/>
    <w:rsid w:val="00C45A9D"/>
    <w:rsid w:val="00C45D0A"/>
    <w:rsid w:val="00C45FCD"/>
    <w:rsid w:val="00C475FD"/>
    <w:rsid w:val="00C4779E"/>
    <w:rsid w:val="00C47CAA"/>
    <w:rsid w:val="00C47CE3"/>
    <w:rsid w:val="00C501C0"/>
    <w:rsid w:val="00C55272"/>
    <w:rsid w:val="00C55708"/>
    <w:rsid w:val="00C564BC"/>
    <w:rsid w:val="00C60E06"/>
    <w:rsid w:val="00C61544"/>
    <w:rsid w:val="00C661A5"/>
    <w:rsid w:val="00C666C7"/>
    <w:rsid w:val="00C6777B"/>
    <w:rsid w:val="00C70204"/>
    <w:rsid w:val="00C70A31"/>
    <w:rsid w:val="00C7106F"/>
    <w:rsid w:val="00C730FE"/>
    <w:rsid w:val="00C73B5C"/>
    <w:rsid w:val="00C76B4C"/>
    <w:rsid w:val="00C77530"/>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257C"/>
    <w:rsid w:val="00CB5557"/>
    <w:rsid w:val="00CB6870"/>
    <w:rsid w:val="00CC2314"/>
    <w:rsid w:val="00CC68A7"/>
    <w:rsid w:val="00CD1FEE"/>
    <w:rsid w:val="00CD2B40"/>
    <w:rsid w:val="00CD2EA0"/>
    <w:rsid w:val="00CD51EA"/>
    <w:rsid w:val="00CD54E9"/>
    <w:rsid w:val="00CD63A5"/>
    <w:rsid w:val="00CD6E37"/>
    <w:rsid w:val="00CD6FB6"/>
    <w:rsid w:val="00CD7905"/>
    <w:rsid w:val="00CE0CB9"/>
    <w:rsid w:val="00CE4413"/>
    <w:rsid w:val="00CE53F3"/>
    <w:rsid w:val="00CE62F7"/>
    <w:rsid w:val="00CE74B5"/>
    <w:rsid w:val="00CE76B7"/>
    <w:rsid w:val="00CF0C4B"/>
    <w:rsid w:val="00CF1848"/>
    <w:rsid w:val="00CF2C22"/>
    <w:rsid w:val="00CF70E1"/>
    <w:rsid w:val="00D03E86"/>
    <w:rsid w:val="00D05EC5"/>
    <w:rsid w:val="00D1149F"/>
    <w:rsid w:val="00D11A99"/>
    <w:rsid w:val="00D12528"/>
    <w:rsid w:val="00D1587A"/>
    <w:rsid w:val="00D165D1"/>
    <w:rsid w:val="00D21F2E"/>
    <w:rsid w:val="00D24335"/>
    <w:rsid w:val="00D26C64"/>
    <w:rsid w:val="00D304CF"/>
    <w:rsid w:val="00D330E4"/>
    <w:rsid w:val="00D34754"/>
    <w:rsid w:val="00D36291"/>
    <w:rsid w:val="00D36466"/>
    <w:rsid w:val="00D419DF"/>
    <w:rsid w:val="00D43F2A"/>
    <w:rsid w:val="00D45B3E"/>
    <w:rsid w:val="00D540A1"/>
    <w:rsid w:val="00D54D9F"/>
    <w:rsid w:val="00D56B37"/>
    <w:rsid w:val="00D56E7E"/>
    <w:rsid w:val="00D60291"/>
    <w:rsid w:val="00D61766"/>
    <w:rsid w:val="00D639AF"/>
    <w:rsid w:val="00D6523F"/>
    <w:rsid w:val="00D67226"/>
    <w:rsid w:val="00D675D8"/>
    <w:rsid w:val="00D73CF9"/>
    <w:rsid w:val="00D75617"/>
    <w:rsid w:val="00D76993"/>
    <w:rsid w:val="00D76A18"/>
    <w:rsid w:val="00D76CFE"/>
    <w:rsid w:val="00D7719C"/>
    <w:rsid w:val="00D81B13"/>
    <w:rsid w:val="00D8270E"/>
    <w:rsid w:val="00D837A3"/>
    <w:rsid w:val="00D920BB"/>
    <w:rsid w:val="00D92311"/>
    <w:rsid w:val="00D97BF7"/>
    <w:rsid w:val="00DA0C7E"/>
    <w:rsid w:val="00DA10A6"/>
    <w:rsid w:val="00DA32A9"/>
    <w:rsid w:val="00DA433F"/>
    <w:rsid w:val="00DA5E68"/>
    <w:rsid w:val="00DA756C"/>
    <w:rsid w:val="00DA75EE"/>
    <w:rsid w:val="00DB12AA"/>
    <w:rsid w:val="00DB2D29"/>
    <w:rsid w:val="00DB58CB"/>
    <w:rsid w:val="00DB58F4"/>
    <w:rsid w:val="00DC45BB"/>
    <w:rsid w:val="00DC7B03"/>
    <w:rsid w:val="00DC7C61"/>
    <w:rsid w:val="00DD0AF9"/>
    <w:rsid w:val="00DD1019"/>
    <w:rsid w:val="00DD118C"/>
    <w:rsid w:val="00DD1F68"/>
    <w:rsid w:val="00DD2946"/>
    <w:rsid w:val="00DD4CAD"/>
    <w:rsid w:val="00DD4DBE"/>
    <w:rsid w:val="00DD6DC7"/>
    <w:rsid w:val="00DE0480"/>
    <w:rsid w:val="00DE6A04"/>
    <w:rsid w:val="00DE7821"/>
    <w:rsid w:val="00DF0624"/>
    <w:rsid w:val="00DF28AD"/>
    <w:rsid w:val="00DF39A8"/>
    <w:rsid w:val="00DF3BE4"/>
    <w:rsid w:val="00DF49DB"/>
    <w:rsid w:val="00DF5B20"/>
    <w:rsid w:val="00DF6441"/>
    <w:rsid w:val="00DF714E"/>
    <w:rsid w:val="00E00E4F"/>
    <w:rsid w:val="00E0166B"/>
    <w:rsid w:val="00E01F1F"/>
    <w:rsid w:val="00E06D44"/>
    <w:rsid w:val="00E112D1"/>
    <w:rsid w:val="00E119FA"/>
    <w:rsid w:val="00E11AEB"/>
    <w:rsid w:val="00E13361"/>
    <w:rsid w:val="00E13996"/>
    <w:rsid w:val="00E164D0"/>
    <w:rsid w:val="00E17F93"/>
    <w:rsid w:val="00E244C3"/>
    <w:rsid w:val="00E24F9F"/>
    <w:rsid w:val="00E27CE1"/>
    <w:rsid w:val="00E32DDB"/>
    <w:rsid w:val="00E33144"/>
    <w:rsid w:val="00E347CC"/>
    <w:rsid w:val="00E35920"/>
    <w:rsid w:val="00E36E20"/>
    <w:rsid w:val="00E40529"/>
    <w:rsid w:val="00E409C3"/>
    <w:rsid w:val="00E42716"/>
    <w:rsid w:val="00E451CA"/>
    <w:rsid w:val="00E538FB"/>
    <w:rsid w:val="00E55858"/>
    <w:rsid w:val="00E56535"/>
    <w:rsid w:val="00E56F13"/>
    <w:rsid w:val="00E56FD9"/>
    <w:rsid w:val="00E60309"/>
    <w:rsid w:val="00E66235"/>
    <w:rsid w:val="00E66E3D"/>
    <w:rsid w:val="00E678BA"/>
    <w:rsid w:val="00E726B7"/>
    <w:rsid w:val="00E749A3"/>
    <w:rsid w:val="00E74BF1"/>
    <w:rsid w:val="00E833E1"/>
    <w:rsid w:val="00E837D8"/>
    <w:rsid w:val="00E83C24"/>
    <w:rsid w:val="00E85E57"/>
    <w:rsid w:val="00E908C5"/>
    <w:rsid w:val="00E937CC"/>
    <w:rsid w:val="00E937EB"/>
    <w:rsid w:val="00E94115"/>
    <w:rsid w:val="00E953AA"/>
    <w:rsid w:val="00E96EE6"/>
    <w:rsid w:val="00E97141"/>
    <w:rsid w:val="00E97387"/>
    <w:rsid w:val="00EA2DE8"/>
    <w:rsid w:val="00EA4F6D"/>
    <w:rsid w:val="00EA68EA"/>
    <w:rsid w:val="00EB0107"/>
    <w:rsid w:val="00EB32AF"/>
    <w:rsid w:val="00EB64CF"/>
    <w:rsid w:val="00EB7D72"/>
    <w:rsid w:val="00EC1C4F"/>
    <w:rsid w:val="00EC277E"/>
    <w:rsid w:val="00EC286B"/>
    <w:rsid w:val="00EC2AF3"/>
    <w:rsid w:val="00EC2EA4"/>
    <w:rsid w:val="00EC4772"/>
    <w:rsid w:val="00EC4E8C"/>
    <w:rsid w:val="00EC58F4"/>
    <w:rsid w:val="00EC6497"/>
    <w:rsid w:val="00EC7202"/>
    <w:rsid w:val="00ED1E2B"/>
    <w:rsid w:val="00ED333B"/>
    <w:rsid w:val="00ED5D21"/>
    <w:rsid w:val="00ED79E8"/>
    <w:rsid w:val="00EE1719"/>
    <w:rsid w:val="00EE2247"/>
    <w:rsid w:val="00EE2ECF"/>
    <w:rsid w:val="00EE3262"/>
    <w:rsid w:val="00EE3B09"/>
    <w:rsid w:val="00EE3FCF"/>
    <w:rsid w:val="00EE598E"/>
    <w:rsid w:val="00EF27AB"/>
    <w:rsid w:val="00F02E6A"/>
    <w:rsid w:val="00F05205"/>
    <w:rsid w:val="00F061BF"/>
    <w:rsid w:val="00F11062"/>
    <w:rsid w:val="00F11211"/>
    <w:rsid w:val="00F12B1A"/>
    <w:rsid w:val="00F145F7"/>
    <w:rsid w:val="00F20734"/>
    <w:rsid w:val="00F20E82"/>
    <w:rsid w:val="00F23E07"/>
    <w:rsid w:val="00F24CFF"/>
    <w:rsid w:val="00F341AC"/>
    <w:rsid w:val="00F35B4B"/>
    <w:rsid w:val="00F36839"/>
    <w:rsid w:val="00F446EC"/>
    <w:rsid w:val="00F511A7"/>
    <w:rsid w:val="00F52591"/>
    <w:rsid w:val="00F547F0"/>
    <w:rsid w:val="00F563BA"/>
    <w:rsid w:val="00F577A5"/>
    <w:rsid w:val="00F66F4E"/>
    <w:rsid w:val="00F67263"/>
    <w:rsid w:val="00F7035D"/>
    <w:rsid w:val="00F73034"/>
    <w:rsid w:val="00F7340B"/>
    <w:rsid w:val="00F81443"/>
    <w:rsid w:val="00F86C8A"/>
    <w:rsid w:val="00F875A5"/>
    <w:rsid w:val="00F929B4"/>
    <w:rsid w:val="00F9400D"/>
    <w:rsid w:val="00F940DC"/>
    <w:rsid w:val="00F94774"/>
    <w:rsid w:val="00F95BEC"/>
    <w:rsid w:val="00F95DB4"/>
    <w:rsid w:val="00FA3377"/>
    <w:rsid w:val="00FA4218"/>
    <w:rsid w:val="00FA5EE5"/>
    <w:rsid w:val="00FA61A6"/>
    <w:rsid w:val="00FA6728"/>
    <w:rsid w:val="00FB3A6A"/>
    <w:rsid w:val="00FB75EF"/>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3302"/>
    <w:rsid w:val="00FD390E"/>
    <w:rsid w:val="00FD39A3"/>
    <w:rsid w:val="00FD42A5"/>
    <w:rsid w:val="00FD62B0"/>
    <w:rsid w:val="00FD6F5E"/>
    <w:rsid w:val="00FD7183"/>
    <w:rsid w:val="00FE0F9A"/>
    <w:rsid w:val="00FE689E"/>
    <w:rsid w:val="00FE77A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D010123"/>
  <w15:docId w15:val="{C814D08C-CA3B-4145-9172-4AD076CA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008"/>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54889"/>
    <w:pPr>
      <w:ind w:left="720" w:hanging="720"/>
    </w:pPr>
    <w:rPr>
      <w:b/>
      <w:caps/>
    </w:rPr>
  </w:style>
  <w:style w:type="paragraph" w:styleId="TO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lang w:eastAsia="x-none"/>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eastAsia="x-none"/>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nformea.org/about"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emo.chm-cbd.ne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altName w:val="Arial"/>
    <w:panose1 w:val="020B05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0DAC"/>
    <w:rsid w:val="00047233"/>
    <w:rsid w:val="000641DE"/>
    <w:rsid w:val="00096D89"/>
    <w:rsid w:val="00204ED8"/>
    <w:rsid w:val="00230705"/>
    <w:rsid w:val="002B14E1"/>
    <w:rsid w:val="002C0DD3"/>
    <w:rsid w:val="002F2938"/>
    <w:rsid w:val="00370849"/>
    <w:rsid w:val="0039049F"/>
    <w:rsid w:val="00395245"/>
    <w:rsid w:val="003A3875"/>
    <w:rsid w:val="004550D6"/>
    <w:rsid w:val="004C0272"/>
    <w:rsid w:val="00500A2B"/>
    <w:rsid w:val="00532A72"/>
    <w:rsid w:val="00542298"/>
    <w:rsid w:val="00572D54"/>
    <w:rsid w:val="0058288D"/>
    <w:rsid w:val="005839CF"/>
    <w:rsid w:val="005A6A38"/>
    <w:rsid w:val="005E1DAB"/>
    <w:rsid w:val="0061507A"/>
    <w:rsid w:val="00635A0E"/>
    <w:rsid w:val="00646798"/>
    <w:rsid w:val="00663AA0"/>
    <w:rsid w:val="006801B3"/>
    <w:rsid w:val="006A7700"/>
    <w:rsid w:val="006C3A73"/>
    <w:rsid w:val="006D72D7"/>
    <w:rsid w:val="006F19F8"/>
    <w:rsid w:val="00760C76"/>
    <w:rsid w:val="007D0300"/>
    <w:rsid w:val="007D213B"/>
    <w:rsid w:val="007E161D"/>
    <w:rsid w:val="007E7BE8"/>
    <w:rsid w:val="00810A55"/>
    <w:rsid w:val="00885D58"/>
    <w:rsid w:val="008B4025"/>
    <w:rsid w:val="008C6619"/>
    <w:rsid w:val="008D420E"/>
    <w:rsid w:val="008D4DEA"/>
    <w:rsid w:val="008E696C"/>
    <w:rsid w:val="00960D98"/>
    <w:rsid w:val="0098642F"/>
    <w:rsid w:val="00994663"/>
    <w:rsid w:val="00A2000A"/>
    <w:rsid w:val="00A859E7"/>
    <w:rsid w:val="00A87428"/>
    <w:rsid w:val="00AA2705"/>
    <w:rsid w:val="00B0408F"/>
    <w:rsid w:val="00B5145D"/>
    <w:rsid w:val="00B53BE2"/>
    <w:rsid w:val="00B77DD9"/>
    <w:rsid w:val="00B95F72"/>
    <w:rsid w:val="00C77FF7"/>
    <w:rsid w:val="00C83206"/>
    <w:rsid w:val="00CB03C8"/>
    <w:rsid w:val="00CB7346"/>
    <w:rsid w:val="00D6046A"/>
    <w:rsid w:val="00D72EDB"/>
    <w:rsid w:val="00DA5840"/>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2705"/>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1ED89A-B528-4DC8-B232-C71CB11C6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Progress report on Knowledge Management activities</vt:lpstr>
    </vt:vector>
  </TitlesOfParts>
  <Company>SCBD</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Knowledge Management activities</dc:title>
  <dc:subject>CBD/COP/14/INF/4</dc:subject>
  <dc:creator>SCBD</dc:creator>
  <cp:lastModifiedBy>Veronique Lefebvre</cp:lastModifiedBy>
  <cp:revision>3</cp:revision>
  <cp:lastPrinted>2018-11-02T22:17:00Z</cp:lastPrinted>
  <dcterms:created xsi:type="dcterms:W3CDTF">2018-11-03T01:59:00Z</dcterms:created>
  <dcterms:modified xsi:type="dcterms:W3CDTF">2018-11-05T21:32:00Z</dcterms:modified>
  <cp:contentStatus>GENERAL</cp:contentStatus>
</cp:coreProperties>
</file>