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106" w:type="dxa"/>
        <w:tblLook w:val="0000" w:firstRow="0" w:lastRow="0" w:firstColumn="0" w:lastColumn="0" w:noHBand="0" w:noVBand="0"/>
      </w:tblPr>
      <w:tblGrid>
        <w:gridCol w:w="936"/>
        <w:gridCol w:w="2144"/>
        <w:gridCol w:w="2997"/>
        <w:gridCol w:w="106"/>
        <w:gridCol w:w="13"/>
        <w:gridCol w:w="1084"/>
        <w:gridCol w:w="2510"/>
        <w:gridCol w:w="279"/>
        <w:gridCol w:w="138"/>
      </w:tblGrid>
      <w:tr w:rsidR="00D31999">
        <w:trPr>
          <w:gridAfter w:val="1"/>
          <w:wAfter w:w="141" w:type="dxa"/>
          <w:trHeight w:val="844"/>
        </w:trPr>
        <w:tc>
          <w:tcPr>
            <w:tcW w:w="976" w:type="dxa"/>
            <w:tcBorders>
              <w:top w:val="nil"/>
              <w:left w:val="nil"/>
              <w:bottom w:val="single" w:sz="12" w:space="0" w:color="auto"/>
              <w:right w:val="nil"/>
            </w:tcBorders>
          </w:tcPr>
          <w:p w:rsidR="00D31999" w:rsidRDefault="003B56D0">
            <w:pPr>
              <w:suppressLineNumbers/>
              <w:suppressAutoHyphens/>
              <w:rPr>
                <w:rFonts w:cs="Times New Roman"/>
                <w:snapToGrid w:val="0"/>
                <w:kern w:val="22"/>
                <w:sz w:val="24"/>
                <w:szCs w:val="24"/>
                <w:lang w:val="es-ES"/>
              </w:rPr>
            </w:pPr>
            <w:bookmarkStart w:id="0" w:name="_Toc522023191"/>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5pt;margin-top:0;width:37.5pt;height:31.7pt;z-index:251658240;visibility:visible;mso-position-vertical-relative:page">
                  <v:imagedata r:id="rId7" o:title=""/>
                  <w10:wrap anchory="page"/>
                </v:shape>
              </w:pict>
            </w:r>
          </w:p>
        </w:tc>
        <w:tc>
          <w:tcPr>
            <w:tcW w:w="5141" w:type="dxa"/>
            <w:gridSpan w:val="2"/>
            <w:tcBorders>
              <w:top w:val="nil"/>
              <w:left w:val="nil"/>
              <w:bottom w:val="single" w:sz="12" w:space="0" w:color="auto"/>
              <w:right w:val="nil"/>
            </w:tcBorders>
            <w:tcFitText/>
          </w:tcPr>
          <w:p w:rsidR="00D31999" w:rsidRDefault="003B56D0">
            <w:pPr>
              <w:suppressLineNumbers/>
              <w:suppressAutoHyphens/>
              <w:rPr>
                <w:rFonts w:cs="Times New Roman"/>
                <w:snapToGrid w:val="0"/>
                <w:kern w:val="22"/>
                <w:sz w:val="24"/>
                <w:szCs w:val="24"/>
                <w:lang w:val="es-ES"/>
              </w:rPr>
            </w:pPr>
            <w:r>
              <w:rPr>
                <w:noProof/>
                <w:lang w:val="es-ES" w:eastAsia="es-ES"/>
              </w:rPr>
              <w:pict>
                <v:shape id="Imagen 2" o:spid="_x0000_s1027" type="#_x0000_t75" style="position:absolute;left:0;text-align:left;margin-left:7.55pt;margin-top:.65pt;width:52.5pt;height:30pt;z-index:251659264;visibility:visible;mso-position-horizontal-relative:text;mso-position-vertical-relative:text">
                  <v:imagedata r:id="rId8" o:title=""/>
                  <w10:wrap type="square"/>
                </v:shape>
              </w:pict>
            </w:r>
          </w:p>
        </w:tc>
        <w:tc>
          <w:tcPr>
            <w:tcW w:w="4090" w:type="dxa"/>
            <w:gridSpan w:val="5"/>
            <w:tcBorders>
              <w:top w:val="nil"/>
              <w:left w:val="nil"/>
              <w:bottom w:val="single" w:sz="12" w:space="0" w:color="auto"/>
              <w:right w:val="nil"/>
            </w:tcBorders>
          </w:tcPr>
          <w:p w:rsidR="00D31999" w:rsidRDefault="00D31999">
            <w:pPr>
              <w:suppressLineNumbers/>
              <w:suppressAutoHyphens/>
              <w:jc w:val="right"/>
              <w:rPr>
                <w:rFonts w:ascii="Arial" w:hAnsi="Arial" w:cs="Arial"/>
                <w:b/>
                <w:bCs/>
                <w:snapToGrid w:val="0"/>
                <w:kern w:val="22"/>
                <w:sz w:val="32"/>
                <w:szCs w:val="32"/>
                <w:lang w:val="es-ES"/>
              </w:rPr>
            </w:pPr>
            <w:r>
              <w:rPr>
                <w:rFonts w:ascii="Arial" w:hAnsi="Arial" w:cs="Arial"/>
                <w:b/>
                <w:bCs/>
                <w:snapToGrid w:val="0"/>
                <w:kern w:val="22"/>
                <w:sz w:val="32"/>
                <w:szCs w:val="32"/>
                <w:lang w:val="es-ES"/>
              </w:rPr>
              <w:t>CBD</w:t>
            </w:r>
          </w:p>
        </w:tc>
      </w:tr>
      <w:tr w:rsidR="00D31999" w:rsidRPr="00713820">
        <w:tblPrEx>
          <w:tblBorders>
            <w:bottom w:val="single" w:sz="36" w:space="0" w:color="000000"/>
          </w:tblBorders>
        </w:tblPrEx>
        <w:trPr>
          <w:trHeight w:val="1693"/>
        </w:trPr>
        <w:tc>
          <w:tcPr>
            <w:tcW w:w="6227" w:type="dxa"/>
            <w:gridSpan w:val="4"/>
            <w:tcBorders>
              <w:top w:val="nil"/>
              <w:left w:val="nil"/>
              <w:bottom w:val="single" w:sz="36" w:space="0" w:color="000000"/>
              <w:right w:val="nil"/>
            </w:tcBorders>
          </w:tcPr>
          <w:p w:rsidR="00713820" w:rsidRDefault="00713820">
            <w:pPr>
              <w:suppressLineNumbers/>
              <w:suppressAutoHyphens/>
              <w:rPr>
                <w:rFonts w:cs="Times New Roman"/>
                <w:noProof/>
                <w:lang w:val="es-ES" w:eastAsia="es-ES"/>
              </w:rPr>
            </w:pPr>
          </w:p>
          <w:p w:rsidR="00713820" w:rsidRDefault="00713820">
            <w:pPr>
              <w:suppressLineNumbers/>
              <w:suppressAutoHyphens/>
              <w:rPr>
                <w:rFonts w:cs="Times New Roman"/>
                <w:noProof/>
                <w:lang w:val="es-ES" w:eastAsia="es-ES"/>
              </w:rPr>
            </w:pPr>
          </w:p>
          <w:p w:rsidR="00713820" w:rsidRDefault="00713820">
            <w:pPr>
              <w:suppressLineNumbers/>
              <w:suppressAutoHyphens/>
              <w:rPr>
                <w:rFonts w:cs="Times New Roman"/>
                <w:noProof/>
                <w:lang w:val="es-ES" w:eastAsia="es-ES"/>
              </w:rPr>
            </w:pPr>
            <w:r>
              <w:rPr>
                <w:rFonts w:cs="Times New Roman"/>
                <w:noProof/>
                <w:lang w:val="es-ES" w:eastAsia="es-ES"/>
              </w:rPr>
              <w:pict>
                <v:shape id="_x0000_i1028" type="#_x0000_t75" style="width:228.75pt;height:81.75pt;visibility:visible">
                  <v:imagedata r:id="rId9" o:title=""/>
                </v:shape>
              </w:pict>
            </w:r>
          </w:p>
          <w:p w:rsidR="00D31999" w:rsidRDefault="00D31999">
            <w:pPr>
              <w:suppressLineNumbers/>
              <w:suppressAutoHyphens/>
              <w:rPr>
                <w:rFonts w:ascii="Univers" w:hAnsi="Univers" w:cs="Univers"/>
                <w:snapToGrid w:val="0"/>
                <w:kern w:val="22"/>
                <w:lang w:val="es-ES"/>
              </w:rPr>
            </w:pPr>
          </w:p>
        </w:tc>
        <w:tc>
          <w:tcPr>
            <w:tcW w:w="1144" w:type="dxa"/>
            <w:gridSpan w:val="2"/>
            <w:tcBorders>
              <w:top w:val="nil"/>
              <w:left w:val="nil"/>
              <w:bottom w:val="single" w:sz="36" w:space="0" w:color="000000"/>
              <w:right w:val="nil"/>
            </w:tcBorders>
          </w:tcPr>
          <w:p w:rsidR="00D31999" w:rsidRDefault="00D31999">
            <w:pPr>
              <w:pStyle w:val="Header"/>
              <w:suppressLineNumbers/>
              <w:tabs>
                <w:tab w:val="clear" w:pos="4320"/>
                <w:tab w:val="clear" w:pos="8640"/>
              </w:tabs>
              <w:suppressAutoHyphens/>
              <w:rPr>
                <w:snapToGrid w:val="0"/>
                <w:kern w:val="22"/>
                <w:lang w:val="es-ES"/>
              </w:rPr>
            </w:pPr>
          </w:p>
        </w:tc>
        <w:tc>
          <w:tcPr>
            <w:tcW w:w="2977" w:type="dxa"/>
            <w:gridSpan w:val="3"/>
            <w:tcBorders>
              <w:top w:val="nil"/>
              <w:left w:val="nil"/>
              <w:bottom w:val="single" w:sz="36" w:space="0" w:color="000000"/>
              <w:right w:val="nil"/>
            </w:tcBorders>
          </w:tcPr>
          <w:p w:rsidR="00D31999" w:rsidRDefault="00D31999">
            <w:pPr>
              <w:suppressLineNumbers/>
              <w:suppressAutoHyphens/>
              <w:spacing w:before="120"/>
              <w:ind w:left="62"/>
              <w:jc w:val="left"/>
              <w:rPr>
                <w:rFonts w:cs="Times New Roman"/>
                <w:snapToGrid w:val="0"/>
                <w:kern w:val="22"/>
                <w:lang w:val="es-ES"/>
              </w:rPr>
            </w:pPr>
            <w:proofErr w:type="spellStart"/>
            <w:r>
              <w:rPr>
                <w:rFonts w:cs="Times New Roman"/>
                <w:snapToGrid w:val="0"/>
                <w:kern w:val="22"/>
                <w:lang w:val="es-ES"/>
              </w:rPr>
              <w:t>Distr</w:t>
            </w:r>
            <w:proofErr w:type="spellEnd"/>
            <w:r>
              <w:rPr>
                <w:rFonts w:cs="Times New Roman"/>
                <w:snapToGrid w:val="0"/>
                <w:kern w:val="22"/>
                <w:lang w:val="es-ES"/>
              </w:rPr>
              <w:t>.</w:t>
            </w:r>
          </w:p>
          <w:p w:rsidR="00D31999" w:rsidRDefault="00D31999">
            <w:pPr>
              <w:suppressLineNumbers/>
              <w:suppressAutoHyphens/>
              <w:ind w:left="62"/>
              <w:jc w:val="left"/>
              <w:rPr>
                <w:rFonts w:cs="Times New Roman"/>
                <w:snapToGrid w:val="0"/>
                <w:kern w:val="22"/>
                <w:lang w:val="es-ES"/>
              </w:rPr>
            </w:pPr>
            <w:r>
              <w:rPr>
                <w:rFonts w:cs="Times New Roman"/>
                <w:snapToGrid w:val="0"/>
                <w:kern w:val="22"/>
                <w:lang w:val="es-ES"/>
              </w:rPr>
              <w:t>GENERAL</w:t>
            </w:r>
          </w:p>
          <w:p w:rsidR="00D31999" w:rsidRDefault="00D31999">
            <w:pPr>
              <w:suppressLineNumbers/>
              <w:suppressAutoHyphens/>
              <w:ind w:left="62"/>
              <w:jc w:val="left"/>
              <w:rPr>
                <w:rFonts w:cs="Times New Roman"/>
                <w:snapToGrid w:val="0"/>
                <w:kern w:val="22"/>
                <w:lang w:val="es-ES"/>
              </w:rPr>
            </w:pPr>
          </w:p>
          <w:p w:rsidR="00D31999" w:rsidRDefault="00D31999">
            <w:pPr>
              <w:suppressLineNumbers/>
              <w:suppressAutoHyphens/>
              <w:ind w:left="62"/>
              <w:jc w:val="left"/>
              <w:rPr>
                <w:rFonts w:cs="Times New Roman"/>
                <w:snapToGrid w:val="0"/>
                <w:kern w:val="22"/>
                <w:lang w:val="es-ES"/>
              </w:rPr>
            </w:pPr>
            <w:r>
              <w:rPr>
                <w:rFonts w:cs="Times New Roman"/>
                <w:kern w:val="22"/>
                <w:lang w:val="es-ES"/>
              </w:rPr>
              <w:t>CBD/COP/15/3 CBD/CP/MOP/10/3 CBD/NP/MOP/4/3</w:t>
            </w:r>
          </w:p>
          <w:p w:rsidR="00D31999" w:rsidRDefault="00D31999">
            <w:pPr>
              <w:suppressLineNumbers/>
              <w:suppressAutoHyphens/>
              <w:ind w:left="62"/>
              <w:jc w:val="left"/>
              <w:rPr>
                <w:rFonts w:cs="Times New Roman"/>
                <w:snapToGrid w:val="0"/>
                <w:kern w:val="22"/>
                <w:lang w:val="es-ES"/>
              </w:rPr>
            </w:pPr>
            <w:r>
              <w:rPr>
                <w:rFonts w:cs="Times New Roman"/>
                <w:lang w:val="es-ES"/>
              </w:rPr>
              <w:t>25 de agosto de 2021</w:t>
            </w:r>
          </w:p>
          <w:p w:rsidR="00D31999" w:rsidRDefault="00D31999">
            <w:pPr>
              <w:suppressLineNumbers/>
              <w:suppressAutoHyphens/>
              <w:ind w:left="62"/>
              <w:jc w:val="left"/>
              <w:rPr>
                <w:rFonts w:cs="Times New Roman"/>
                <w:snapToGrid w:val="0"/>
                <w:kern w:val="22"/>
                <w:lang w:val="es-ES"/>
              </w:rPr>
            </w:pPr>
          </w:p>
          <w:p w:rsidR="00D31999" w:rsidRDefault="00D31999">
            <w:pPr>
              <w:suppressLineNumbers/>
              <w:suppressAutoHyphens/>
              <w:ind w:left="62"/>
              <w:jc w:val="left"/>
              <w:rPr>
                <w:rFonts w:cs="Times New Roman"/>
                <w:snapToGrid w:val="0"/>
                <w:kern w:val="22"/>
                <w:lang w:val="es-ES"/>
              </w:rPr>
            </w:pPr>
            <w:r>
              <w:rPr>
                <w:rFonts w:cs="Times New Roman"/>
                <w:snapToGrid w:val="0"/>
                <w:kern w:val="22"/>
                <w:lang w:val="es-ES"/>
              </w:rPr>
              <w:t>ESPAÑOL</w:t>
            </w:r>
          </w:p>
          <w:p w:rsidR="00D31999" w:rsidRDefault="00D31999">
            <w:pPr>
              <w:suppressLineNumbers/>
              <w:suppressAutoHyphens/>
              <w:ind w:left="62"/>
              <w:jc w:val="left"/>
              <w:rPr>
                <w:rFonts w:cs="Times New Roman"/>
                <w:snapToGrid w:val="0"/>
                <w:kern w:val="22"/>
                <w:u w:val="single"/>
                <w:lang w:val="es-ES"/>
              </w:rPr>
            </w:pPr>
            <w:r>
              <w:rPr>
                <w:rFonts w:cs="Times New Roman"/>
                <w:snapToGrid w:val="0"/>
                <w:kern w:val="22"/>
                <w:lang w:val="es-ES"/>
              </w:rPr>
              <w:t>ORIGINAL: INGLÉS</w:t>
            </w:r>
          </w:p>
        </w:tc>
      </w:tr>
      <w:tr w:rsidR="00D31999">
        <w:tblPrEx>
          <w:jc w:val="center"/>
          <w:tblInd w:w="0" w:type="dxa"/>
        </w:tblPrEx>
        <w:trPr>
          <w:gridAfter w:val="2"/>
          <w:wAfter w:w="425" w:type="dxa"/>
          <w:jc w:val="center"/>
        </w:trPr>
        <w:tc>
          <w:tcPr>
            <w:tcW w:w="3120" w:type="dxa"/>
            <w:gridSpan w:val="2"/>
            <w:tcBorders>
              <w:top w:val="nil"/>
              <w:left w:val="nil"/>
              <w:bottom w:val="nil"/>
              <w:right w:val="nil"/>
            </w:tcBorders>
          </w:tcPr>
          <w:p w:rsidR="00D31999" w:rsidRDefault="00D31999">
            <w:pPr>
              <w:pStyle w:val="Heading1"/>
              <w:suppressLineNumbers/>
              <w:tabs>
                <w:tab w:val="clear" w:pos="720"/>
              </w:tabs>
              <w:suppressAutoHyphens/>
              <w:spacing w:before="0" w:after="0"/>
              <w:ind w:left="152" w:hanging="152"/>
              <w:jc w:val="left"/>
              <w:rPr>
                <w:rFonts w:cs="Times New Roman"/>
                <w:kern w:val="22"/>
                <w:lang w:val="es-ES"/>
              </w:rPr>
            </w:pPr>
            <w:r>
              <w:rPr>
                <w:rFonts w:cs="Times New Roman"/>
                <w:color w:val="000000"/>
                <w:kern w:val="22"/>
                <w:lang w:val="es-ES"/>
              </w:rPr>
              <w:t>CONFERENCIA DE LAS PARTES EN EL CONVENIO SOBRE LA DIVERSIDAD BIOLÓGICA</w:t>
            </w:r>
          </w:p>
          <w:p w:rsidR="00D31999" w:rsidRDefault="00D31999">
            <w:pPr>
              <w:suppressLineNumbers/>
              <w:suppressAutoHyphens/>
              <w:kinsoku w:val="0"/>
              <w:overflowPunct w:val="0"/>
              <w:autoSpaceDE w:val="0"/>
              <w:autoSpaceDN w:val="0"/>
              <w:ind w:left="152" w:hanging="152"/>
              <w:jc w:val="left"/>
              <w:rPr>
                <w:rFonts w:cs="Times New Roman"/>
                <w:b/>
                <w:bCs/>
                <w:color w:val="000000"/>
                <w:kern w:val="22"/>
                <w:lang w:val="es-ES"/>
              </w:rPr>
            </w:pPr>
            <w:r>
              <w:rPr>
                <w:rFonts w:cs="Times New Roman"/>
                <w:color w:val="000000"/>
                <w:kern w:val="22"/>
                <w:lang w:val="es-ES"/>
              </w:rPr>
              <w:t>15ª reunión (Parte I)</w:t>
            </w:r>
          </w:p>
          <w:p w:rsidR="00D31999" w:rsidRDefault="00D31999">
            <w:pPr>
              <w:suppressLineNumbers/>
              <w:suppressAutoHyphens/>
              <w:kinsoku w:val="0"/>
              <w:overflowPunct w:val="0"/>
              <w:autoSpaceDE w:val="0"/>
              <w:autoSpaceDN w:val="0"/>
              <w:ind w:left="152" w:hanging="152"/>
              <w:jc w:val="left"/>
              <w:rPr>
                <w:rFonts w:cs="Times New Roman"/>
                <w:b/>
                <w:bCs/>
                <w:color w:val="000000"/>
                <w:kern w:val="22"/>
                <w:lang w:val="es-ES"/>
              </w:rPr>
            </w:pPr>
            <w:r>
              <w:rPr>
                <w:rFonts w:cs="Times New Roman"/>
                <w:color w:val="000000"/>
                <w:kern w:val="22"/>
                <w:lang w:val="es-ES"/>
              </w:rPr>
              <w:t>Tema 7 del programa provisional</w:t>
            </w:r>
            <w:r>
              <w:rPr>
                <w:rStyle w:val="FootnoteReference"/>
                <w:color w:val="000000"/>
                <w:kern w:val="22"/>
                <w:sz w:val="22"/>
                <w:szCs w:val="22"/>
                <w:lang w:val="es-ES"/>
              </w:rPr>
              <w:footnoteReference w:customMarkFollows="1" w:id="2"/>
              <w:t>*</w:t>
            </w:r>
          </w:p>
          <w:p w:rsidR="00D31999" w:rsidRDefault="00D31999">
            <w:pPr>
              <w:suppressLineNumbers/>
              <w:suppressAutoHyphens/>
              <w:kinsoku w:val="0"/>
              <w:overflowPunct w:val="0"/>
              <w:autoSpaceDE w:val="0"/>
              <w:autoSpaceDN w:val="0"/>
              <w:ind w:left="152" w:hanging="152"/>
              <w:jc w:val="left"/>
              <w:rPr>
                <w:rFonts w:cs="Times New Roman"/>
                <w:b/>
                <w:bCs/>
                <w:kern w:val="22"/>
                <w:lang w:val="es-ES"/>
              </w:rPr>
            </w:pPr>
            <w:r>
              <w:rPr>
                <w:rFonts w:cs="Times New Roman"/>
                <w:color w:val="000000"/>
                <w:kern w:val="22"/>
                <w:lang w:val="es-ES"/>
              </w:rPr>
              <w:t>Kunming, China, 11-15 de octubre de 2021</w:t>
            </w:r>
          </w:p>
        </w:tc>
        <w:tc>
          <w:tcPr>
            <w:tcW w:w="3120" w:type="dxa"/>
            <w:gridSpan w:val="3"/>
            <w:tcBorders>
              <w:top w:val="nil"/>
              <w:left w:val="nil"/>
              <w:bottom w:val="nil"/>
              <w:right w:val="nil"/>
            </w:tcBorders>
          </w:tcPr>
          <w:p w:rsidR="00D31999" w:rsidRDefault="00D31999">
            <w:pPr>
              <w:pStyle w:val="Heading1"/>
              <w:suppressLineNumbers/>
              <w:tabs>
                <w:tab w:val="clear" w:pos="720"/>
              </w:tabs>
              <w:suppressAutoHyphens/>
              <w:spacing w:before="0" w:after="0"/>
              <w:ind w:left="152" w:hanging="152"/>
              <w:jc w:val="left"/>
              <w:rPr>
                <w:rFonts w:cs="Times New Roman"/>
                <w:kern w:val="22"/>
                <w:lang w:val="es-ES"/>
              </w:rPr>
            </w:pPr>
            <w:r>
              <w:rPr>
                <w:rFonts w:cs="Times New Roman"/>
                <w:color w:val="000000"/>
                <w:kern w:val="22"/>
                <w:lang w:val="es-ES"/>
              </w:rPr>
              <w:t xml:space="preserve">CONFERENCIA DE LAS PARTES EN EL CONVENIO SOBRE LA DIVERSIDAD BIOLÓGICA QUE ACTÚA COMO REUNIÓN DE LAS PARTES EN EL PROTOCOLO </w:t>
            </w:r>
            <w:proofErr w:type="gramStart"/>
            <w:r>
              <w:rPr>
                <w:rFonts w:cs="Times New Roman"/>
                <w:color w:val="000000"/>
                <w:kern w:val="22"/>
                <w:lang w:val="es-ES"/>
              </w:rPr>
              <w:t>DE  CARTAGENA</w:t>
            </w:r>
            <w:proofErr w:type="gramEnd"/>
            <w:r>
              <w:rPr>
                <w:rFonts w:cs="Times New Roman"/>
                <w:color w:val="000000"/>
                <w:kern w:val="22"/>
                <w:lang w:val="es-ES"/>
              </w:rPr>
              <w:t xml:space="preserve"> SOBRE SEGURIDAD DE LA BIOTECNOLOGÍA</w:t>
            </w:r>
          </w:p>
          <w:p w:rsidR="00D31999" w:rsidRDefault="00D31999">
            <w:pPr>
              <w:suppressLineNumbers/>
              <w:suppressAutoHyphens/>
              <w:kinsoku w:val="0"/>
              <w:overflowPunct w:val="0"/>
              <w:autoSpaceDE w:val="0"/>
              <w:autoSpaceDN w:val="0"/>
              <w:ind w:left="152" w:hanging="152"/>
              <w:jc w:val="left"/>
              <w:rPr>
                <w:rFonts w:cs="Times New Roman"/>
                <w:b/>
                <w:bCs/>
                <w:kern w:val="22"/>
                <w:lang w:val="es-ES"/>
              </w:rPr>
            </w:pPr>
            <w:r>
              <w:rPr>
                <w:rFonts w:cs="Times New Roman"/>
                <w:color w:val="000000"/>
                <w:kern w:val="22"/>
                <w:lang w:val="es-ES"/>
              </w:rPr>
              <w:t>10ª reunión (Parte I)</w:t>
            </w:r>
          </w:p>
          <w:p w:rsidR="00D31999" w:rsidRDefault="00D31999">
            <w:pPr>
              <w:suppressLineNumbers/>
              <w:suppressAutoHyphens/>
              <w:kinsoku w:val="0"/>
              <w:overflowPunct w:val="0"/>
              <w:autoSpaceDE w:val="0"/>
              <w:autoSpaceDN w:val="0"/>
              <w:ind w:left="152" w:hanging="152"/>
              <w:jc w:val="left"/>
              <w:rPr>
                <w:rFonts w:cs="Times New Roman"/>
                <w:b/>
                <w:bCs/>
                <w:color w:val="000000"/>
                <w:lang w:val="es-ES"/>
              </w:rPr>
            </w:pPr>
            <w:r>
              <w:rPr>
                <w:rFonts w:cs="Times New Roman"/>
                <w:color w:val="000000"/>
                <w:kern w:val="22"/>
                <w:lang w:val="es-ES"/>
              </w:rPr>
              <w:t>Tema 6 del programa provisional</w:t>
            </w:r>
            <w:r>
              <w:rPr>
                <w:rStyle w:val="FootnoteReference"/>
                <w:color w:val="000000"/>
                <w:kern w:val="22"/>
                <w:sz w:val="22"/>
                <w:szCs w:val="22"/>
                <w:lang w:val="es-ES"/>
              </w:rPr>
              <w:footnoteReference w:customMarkFollows="1" w:id="3"/>
              <w:t>**</w:t>
            </w:r>
          </w:p>
          <w:p w:rsidR="00D31999" w:rsidRDefault="00D31999">
            <w:pPr>
              <w:suppressLineNumbers/>
              <w:suppressAutoHyphens/>
              <w:kinsoku w:val="0"/>
              <w:overflowPunct w:val="0"/>
              <w:autoSpaceDE w:val="0"/>
              <w:autoSpaceDN w:val="0"/>
              <w:ind w:left="152" w:hanging="152"/>
              <w:jc w:val="left"/>
              <w:rPr>
                <w:rFonts w:cs="Times New Roman"/>
                <w:b/>
                <w:bCs/>
                <w:kern w:val="22"/>
                <w:lang w:val="es-ES"/>
              </w:rPr>
            </w:pPr>
            <w:r>
              <w:rPr>
                <w:rFonts w:cs="Times New Roman"/>
                <w:color w:val="000000"/>
                <w:kern w:val="22"/>
                <w:lang w:val="es-ES"/>
              </w:rPr>
              <w:t>Kunming, China, 11-15 de octubre de 2021</w:t>
            </w:r>
          </w:p>
        </w:tc>
        <w:tc>
          <w:tcPr>
            <w:tcW w:w="3683" w:type="dxa"/>
            <w:gridSpan w:val="2"/>
            <w:tcBorders>
              <w:top w:val="nil"/>
              <w:left w:val="nil"/>
              <w:bottom w:val="nil"/>
              <w:right w:val="nil"/>
            </w:tcBorders>
          </w:tcPr>
          <w:p w:rsidR="00D31999" w:rsidRDefault="00D31999">
            <w:pPr>
              <w:pStyle w:val="Heading1"/>
              <w:suppressLineNumbers/>
              <w:tabs>
                <w:tab w:val="clear" w:pos="720"/>
              </w:tabs>
              <w:suppressAutoHyphens/>
              <w:spacing w:before="0" w:after="0"/>
              <w:ind w:left="152" w:hanging="152"/>
              <w:jc w:val="left"/>
              <w:rPr>
                <w:rFonts w:cs="Times New Roman"/>
                <w:kern w:val="22"/>
                <w:lang w:val="es-ES"/>
              </w:rPr>
            </w:pPr>
            <w:r>
              <w:rPr>
                <w:rFonts w:cs="Times New Roman"/>
                <w:color w:val="000000"/>
                <w:kern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D31999" w:rsidRDefault="00D31999">
            <w:pPr>
              <w:suppressLineNumbers/>
              <w:suppressAutoHyphens/>
              <w:kinsoku w:val="0"/>
              <w:overflowPunct w:val="0"/>
              <w:autoSpaceDE w:val="0"/>
              <w:autoSpaceDN w:val="0"/>
              <w:ind w:left="152" w:hanging="152"/>
              <w:jc w:val="left"/>
              <w:rPr>
                <w:rFonts w:cs="Times New Roman"/>
                <w:b/>
                <w:bCs/>
                <w:kern w:val="22"/>
                <w:lang w:val="es-ES"/>
              </w:rPr>
            </w:pPr>
            <w:r>
              <w:rPr>
                <w:rFonts w:cs="Times New Roman"/>
                <w:color w:val="000000"/>
                <w:kern w:val="22"/>
                <w:lang w:val="es-ES"/>
              </w:rPr>
              <w:t>4ª reunión (Parte I)</w:t>
            </w:r>
          </w:p>
          <w:p w:rsidR="00D31999" w:rsidRDefault="00D31999">
            <w:pPr>
              <w:suppressLineNumbers/>
              <w:suppressAutoHyphens/>
              <w:kinsoku w:val="0"/>
              <w:overflowPunct w:val="0"/>
              <w:autoSpaceDE w:val="0"/>
              <w:autoSpaceDN w:val="0"/>
              <w:ind w:left="152" w:hanging="152"/>
              <w:jc w:val="left"/>
              <w:rPr>
                <w:rFonts w:cs="Times New Roman"/>
                <w:b/>
                <w:bCs/>
                <w:color w:val="000000"/>
                <w:lang w:val="es-ES"/>
              </w:rPr>
            </w:pPr>
            <w:r>
              <w:rPr>
                <w:rFonts w:cs="Times New Roman"/>
                <w:color w:val="000000"/>
                <w:kern w:val="22"/>
                <w:lang w:val="es-ES"/>
              </w:rPr>
              <w:t>Tema 6 del programa provisional</w:t>
            </w:r>
            <w:r>
              <w:rPr>
                <w:rStyle w:val="FootnoteReference"/>
                <w:color w:val="000000"/>
                <w:kern w:val="22"/>
                <w:sz w:val="22"/>
                <w:szCs w:val="22"/>
                <w:lang w:val="es-ES"/>
              </w:rPr>
              <w:footnoteReference w:customMarkFollows="1" w:id="4"/>
              <w:t>***</w:t>
            </w:r>
          </w:p>
          <w:p w:rsidR="00D31999" w:rsidRDefault="00D31999">
            <w:pPr>
              <w:suppressLineNumbers/>
              <w:suppressAutoHyphens/>
              <w:kinsoku w:val="0"/>
              <w:overflowPunct w:val="0"/>
              <w:autoSpaceDE w:val="0"/>
              <w:autoSpaceDN w:val="0"/>
              <w:ind w:left="152" w:hanging="152"/>
              <w:jc w:val="left"/>
              <w:rPr>
                <w:rFonts w:cs="Times New Roman"/>
                <w:b/>
                <w:bCs/>
                <w:kern w:val="22"/>
                <w:lang w:val="es-ES"/>
              </w:rPr>
            </w:pPr>
            <w:r>
              <w:rPr>
                <w:rFonts w:cs="Times New Roman"/>
                <w:color w:val="000000"/>
                <w:kern w:val="22"/>
                <w:lang w:val="es-ES"/>
              </w:rPr>
              <w:t>Kunming, China, 11-15 de octubre de 2021</w:t>
            </w:r>
          </w:p>
        </w:tc>
      </w:tr>
    </w:tbl>
    <w:p w:rsidR="00D31999" w:rsidRDefault="00D31999">
      <w:pPr>
        <w:suppressLineNumbers/>
        <w:suppressAutoHyphens/>
        <w:autoSpaceDE w:val="0"/>
        <w:autoSpaceDN w:val="0"/>
        <w:adjustRightInd w:val="0"/>
        <w:rPr>
          <w:rFonts w:eastAsia="???" w:cs="Times New Roman"/>
          <w:color w:val="000000"/>
          <w:kern w:val="22"/>
          <w:lang w:val="es-ES"/>
        </w:rPr>
      </w:pPr>
    </w:p>
    <w:p w:rsidR="00D31999" w:rsidRDefault="00D31999">
      <w:pPr>
        <w:pStyle w:val="HEADING"/>
        <w:suppressLineNumbers/>
        <w:suppressAutoHyphens/>
        <w:spacing w:before="120"/>
        <w:rPr>
          <w:rFonts w:eastAsia="???"/>
          <w:kern w:val="22"/>
          <w:lang w:val="es-ES"/>
        </w:rPr>
      </w:pPr>
      <w:r>
        <w:rPr>
          <w:rFonts w:eastAsia="???"/>
          <w:kern w:val="22"/>
          <w:lang w:val="es-ES"/>
        </w:rPr>
        <w:t>PRESUPUESTO PROVISIONAL propuesto para el programa de trabajo del Convenio sobre la Diversidad Biológica, el Protocolo de Cartagena sobre Seguridad de la Biotecnología y el Protocolo de Nagoya sobre Acceso y Participación en los Beneficios para el AÑO 2022</w:t>
      </w:r>
    </w:p>
    <w:p w:rsidR="00D31999" w:rsidRDefault="00D31999">
      <w:pPr>
        <w:pStyle w:val="NoSpacing"/>
        <w:suppressLineNumbers/>
        <w:suppressAutoHyphens/>
        <w:spacing w:before="120" w:after="120"/>
        <w:jc w:val="center"/>
        <w:rPr>
          <w:rFonts w:ascii="Times New Roman" w:hAnsi="Times New Roman" w:cs="Times New Roman"/>
          <w:color w:val="000000"/>
          <w:kern w:val="22"/>
          <w:lang w:val="es-ES"/>
        </w:rPr>
      </w:pPr>
      <w:r>
        <w:rPr>
          <w:rFonts w:ascii="Times New Roman" w:eastAsia="???" w:hAnsi="Times New Roman" w:cs="Times New Roman"/>
          <w:i/>
          <w:iCs/>
          <w:color w:val="000000"/>
          <w:kern w:val="22"/>
          <w:lang w:val="es-ES"/>
        </w:rPr>
        <w:t>Nota de la Secretaria Ejecutiva</w:t>
      </w:r>
    </w:p>
    <w:bookmarkEnd w:id="0"/>
    <w:p w:rsidR="00D31999" w:rsidRDefault="00D31999">
      <w:pPr>
        <w:pStyle w:val="ListParagraph"/>
        <w:numPr>
          <w:ilvl w:val="0"/>
          <w:numId w:val="2"/>
        </w:numPr>
        <w:suppressLineNumbers/>
        <w:suppressAutoHyphens/>
        <w:spacing w:before="120" w:after="120"/>
        <w:ind w:left="0" w:firstLine="0"/>
        <w:rPr>
          <w:kern w:val="22"/>
          <w:lang w:val="es-ES"/>
        </w:rPr>
      </w:pPr>
      <w:r>
        <w:rPr>
          <w:rFonts w:eastAsia="Malgun Gothic"/>
          <w:kern w:val="22"/>
          <w:lang w:val="es-ES"/>
        </w:rPr>
        <w:t xml:space="preserve">La 15ª reunión de la Conferencia de las Partes, la 10ª reunión de la Conferencia de las Partes que actúa como reunión de las Partes en el Protocolo de Cartagena y la 4ª reunión de la Conferencia de las Partes que actúa como reunión de las Partes en el Protocolo de Nagoya se han retrasado debido a la pandemia de la COVID-19 y las consiguientes restricciones a la hora de viajar y la celebración de grandes reuniones en la mayor parte del mundo. Dado que las reuniones ya se habían reprogramado dos veces, se decidió, a fin de mantener el impulso político, celebrar las reuniones en dos partes. Por consiguiente, la primera parte (Parte I) de las reuniones se celebrará del 11 al 15 de octubre de 2021, principalmente en un entorno virtual. Se invitará a los representantes de las Partes y observadores a participar en la Parte I en línea. También se invitará a los jefes de Estado y de Gobierno a asistir virtualmente a una serie de sesiones de alto nivel para expresar su voluntad y compromiso políticos. Se invitará a los funcionarios gubernamentales y representantes de las Naciones Unidas y otras organizaciones internacionales pertinentes que ya estén destinados en China a asistir en persona en Kunming, China. La segunda parte </w:t>
      </w:r>
      <w:r>
        <w:rPr>
          <w:rFonts w:eastAsia="Malgun Gothic"/>
          <w:kern w:val="22"/>
          <w:lang w:val="es-ES"/>
        </w:rPr>
        <w:lastRenderedPageBreak/>
        <w:t>(Parte II) de las reuniones está previsto que se celebre presencialmente y está programada para el período comprendido entre el 25 de abril y el 8 de mayo de 2022 en Kunming, China.</w:t>
      </w:r>
    </w:p>
    <w:p w:rsidR="00D31999" w:rsidRDefault="00D31999">
      <w:pPr>
        <w:pStyle w:val="ListParagraph"/>
        <w:numPr>
          <w:ilvl w:val="0"/>
          <w:numId w:val="2"/>
        </w:numPr>
        <w:suppressLineNumbers/>
        <w:suppressAutoHyphens/>
        <w:spacing w:before="120" w:after="120"/>
        <w:ind w:left="0" w:firstLine="0"/>
        <w:rPr>
          <w:kern w:val="22"/>
          <w:lang w:val="es-ES"/>
        </w:rPr>
      </w:pPr>
      <w:r>
        <w:rPr>
          <w:rFonts w:eastAsia="Malgun Gothic"/>
          <w:kern w:val="22"/>
          <w:lang w:val="es-ES"/>
        </w:rPr>
        <w:t>Este escalonamiento de las reuniones en dos partes permitirá a los órganos subsidiarios concluir su labor, incluida la finalización del proyecto de marco mundial de la diversidad biológica posterior a 2020 para su examen en la Parte II de las reuniones. A la espera de los resultados de estas reuniones, se necesitarán otros acuerdos de financiación para permitir la continuación de las operaciones del Convenio después del 31 de diciembre de 2021, incluido el funcionamiento de la Secretaría y la convocatoria de reuniones reprogramadas para 2022.</w:t>
      </w:r>
    </w:p>
    <w:p w:rsidR="00D31999" w:rsidRDefault="00D31999">
      <w:pPr>
        <w:pStyle w:val="ListParagraph"/>
        <w:numPr>
          <w:ilvl w:val="0"/>
          <w:numId w:val="2"/>
        </w:numPr>
        <w:suppressLineNumbers/>
        <w:suppressAutoHyphens/>
        <w:spacing w:before="120" w:after="120"/>
        <w:ind w:left="0" w:firstLine="0"/>
        <w:rPr>
          <w:kern w:val="22"/>
          <w:lang w:val="es-ES"/>
        </w:rPr>
      </w:pPr>
      <w:r>
        <w:rPr>
          <w:rFonts w:eastAsia="Malgun Gothic"/>
          <w:kern w:val="22"/>
          <w:lang w:val="es-ES"/>
        </w:rPr>
        <w:t>La Mesa de la Conferencia de las Partes ha examinado esta cuestión y ha propuesto que, con carácter excepcional, las Partes examinen y aprueben, durante la Parte I de las reuniones, un presupuesto provisional para 2022, mientras que el presupuesto ordinario o completo para 2023-2024 se examine durante la Parte II de las reuniones, en Kunming en 2022. En consecuencia, la Secretaria Ejecutiva ha preparado un presupuesto provisional para 2022, que figura en el presente documento.</w:t>
      </w:r>
    </w:p>
    <w:p w:rsidR="00D31999" w:rsidRDefault="00D31999">
      <w:pPr>
        <w:pStyle w:val="ListParagraph"/>
        <w:numPr>
          <w:ilvl w:val="0"/>
          <w:numId w:val="2"/>
        </w:numPr>
        <w:suppressLineNumbers/>
        <w:suppressAutoHyphens/>
        <w:spacing w:before="120" w:after="120"/>
        <w:ind w:left="0" w:firstLine="0"/>
        <w:rPr>
          <w:rFonts w:eastAsia="???"/>
          <w:kern w:val="22"/>
          <w:lang w:val="es-ES"/>
        </w:rPr>
      </w:pPr>
      <w:r>
        <w:rPr>
          <w:rFonts w:eastAsia="Malgun Gothic"/>
          <w:kern w:val="22"/>
          <w:lang w:val="es-ES"/>
        </w:rPr>
        <w:t>El presente documento se divide en cinco secciones. En la sección I se abordan los ingresos y la ejecución del presupuesto para el bienio 2019-2020 y para 2021. En la sección II, la Secretaría presenta una propuesta de presupuesto integrado provisional para sufragar la continuidad de las operaciones del Convenio y sus Protocolos, incluida la Secretaría, durante el año 2022, a la espera de la aprobación de un presupuesto para el bienio 2023</w:t>
      </w:r>
      <w:r>
        <w:rPr>
          <w:rFonts w:eastAsia="Malgun Gothic"/>
          <w:kern w:val="22"/>
          <w:lang w:val="es-ES"/>
        </w:rPr>
        <w:noBreakHyphen/>
        <w:t>2024. En las secciones III, IV y V figuran proyectos de decisión para el examen de la Conferencia de las Partes y la Conferencia de las Partes que actúa como reunión de las Partes en los Protocolos de Cartagena y de Nagoya.</w:t>
      </w:r>
    </w:p>
    <w:p w:rsidR="00D31999" w:rsidRDefault="00D31999">
      <w:pPr>
        <w:pStyle w:val="ListParagraph"/>
        <w:numPr>
          <w:ilvl w:val="0"/>
          <w:numId w:val="2"/>
        </w:numPr>
        <w:suppressLineNumbers/>
        <w:suppressAutoHyphens/>
        <w:spacing w:before="120" w:after="120"/>
        <w:ind w:left="0" w:firstLine="0"/>
        <w:rPr>
          <w:kern w:val="22"/>
          <w:lang w:val="es-ES"/>
        </w:rPr>
      </w:pPr>
      <w:r>
        <w:rPr>
          <w:rFonts w:eastAsia="Malgun Gothic"/>
          <w:kern w:val="22"/>
          <w:lang w:val="es-ES"/>
        </w:rPr>
        <w:t xml:space="preserve">Se entiende que en la Parte II de la 15ª reunión de la Conferencia de las Partes y las reuniones concurrentes de las Partes en los Protocolos se examinará el </w:t>
      </w:r>
      <w:r>
        <w:rPr>
          <w:lang w:val="es-ES"/>
        </w:rPr>
        <w:t>presupuesto completo basado en los resultados para el bienio 2023-2024, o para cualquier otro período que decida la Conferencia de las Partes y la Conferencia de las Partes que actúa como reunión de las Partes en los Protocolos, de conformidad con el reglamento financiero</w:t>
      </w:r>
      <w:r>
        <w:rPr>
          <w:rFonts w:eastAsia="Malgun Gothic"/>
          <w:kern w:val="22"/>
          <w:vertAlign w:val="superscript"/>
          <w:lang w:val="es-ES"/>
        </w:rPr>
        <w:footnoteReference w:id="5"/>
      </w:r>
      <w:r>
        <w:rPr>
          <w:rFonts w:eastAsia="Malgun Gothic"/>
          <w:kern w:val="22"/>
          <w:lang w:val="es-ES"/>
        </w:rPr>
        <w:t xml:space="preserve">. Como tal, </w:t>
      </w:r>
      <w:r>
        <w:rPr>
          <w:lang w:val="es-ES"/>
        </w:rPr>
        <w:t>el presupuesto provisional se ha limitado en su alcance a cubrir simplemente las necesidades operacionales más inminentes para el Convenio y sus Protocolos, que incluyen la preparación y convocatoria de la Parte II de la 15ª reunión de la Conferencia de las Partes y otras reuniones reprogramadas para 2022</w:t>
      </w:r>
      <w:r>
        <w:rPr>
          <w:rFonts w:eastAsia="Malgun Gothic"/>
          <w:kern w:val="22"/>
          <w:lang w:val="es-ES"/>
        </w:rPr>
        <w:t>.</w:t>
      </w:r>
    </w:p>
    <w:p w:rsidR="00D31999" w:rsidRDefault="00D31999">
      <w:pPr>
        <w:pStyle w:val="ListParagraph"/>
        <w:keepNext/>
        <w:numPr>
          <w:ilvl w:val="0"/>
          <w:numId w:val="3"/>
        </w:numPr>
        <w:suppressLineNumbers/>
        <w:suppressAutoHyphens/>
        <w:spacing w:before="120" w:after="120"/>
        <w:ind w:left="1152" w:hanging="432"/>
        <w:outlineLvl w:val="0"/>
        <w:rPr>
          <w:rFonts w:eastAsia="Malgun Gothic"/>
          <w:b/>
          <w:bCs/>
          <w:caps/>
          <w:color w:val="000000"/>
          <w:kern w:val="22"/>
          <w:lang w:val="es-ES"/>
        </w:rPr>
      </w:pPr>
      <w:r>
        <w:rPr>
          <w:rFonts w:eastAsia="Malgun Gothic"/>
          <w:b/>
          <w:bCs/>
          <w:caps/>
          <w:color w:val="000000"/>
          <w:kern w:val="22"/>
          <w:lang w:val="es-ES"/>
        </w:rPr>
        <w:t>RESUMEN DE LOS INGRESOS Y LA EJECUCIÓN DEL PRESUPUESTO PARA EL BIENIO 2019-2020</w:t>
      </w:r>
    </w:p>
    <w:p w:rsidR="00D31999" w:rsidRDefault="00D31999">
      <w:pPr>
        <w:pStyle w:val="ListParagraph"/>
        <w:keepNext/>
        <w:numPr>
          <w:ilvl w:val="0"/>
          <w:numId w:val="4"/>
        </w:numPr>
        <w:suppressLineNumbers/>
        <w:tabs>
          <w:tab w:val="left" w:pos="426"/>
        </w:tabs>
        <w:suppressAutoHyphens/>
        <w:spacing w:after="120"/>
        <w:ind w:left="0" w:firstLine="0"/>
        <w:jc w:val="center"/>
        <w:rPr>
          <w:rFonts w:eastAsia="Malgun Gothic"/>
          <w:b/>
          <w:bCs/>
          <w:color w:val="000000"/>
          <w:kern w:val="22"/>
          <w:lang w:val="es-ES"/>
        </w:rPr>
      </w:pPr>
      <w:r>
        <w:rPr>
          <w:rFonts w:eastAsia="Malgun Gothic"/>
          <w:b/>
          <w:bCs/>
          <w:color w:val="000000"/>
          <w:kern w:val="22"/>
          <w:lang w:val="es-ES"/>
        </w:rPr>
        <w:t>Ingresos</w:t>
      </w:r>
    </w:p>
    <w:p w:rsidR="00D31999" w:rsidRDefault="00D31999">
      <w:pPr>
        <w:pStyle w:val="ListParagraph"/>
        <w:keepNext/>
        <w:numPr>
          <w:ilvl w:val="0"/>
          <w:numId w:val="14"/>
        </w:numPr>
        <w:suppressLineNumbers/>
        <w:suppressAutoHyphens/>
        <w:spacing w:before="120" w:after="120"/>
        <w:ind w:left="714" w:hanging="357"/>
        <w:jc w:val="center"/>
        <w:rPr>
          <w:rFonts w:eastAsia="???"/>
          <w:i/>
          <w:iCs/>
          <w:kern w:val="22"/>
          <w:lang w:val="es-ES"/>
        </w:rPr>
      </w:pPr>
      <w:r>
        <w:rPr>
          <w:i/>
          <w:iCs/>
          <w:kern w:val="22"/>
          <w:lang w:val="es-ES"/>
        </w:rPr>
        <w:t>Presupuesto aprobado para 2019-2020</w:t>
      </w:r>
    </w:p>
    <w:p w:rsidR="00D31999" w:rsidRDefault="00D31999">
      <w:pPr>
        <w:pStyle w:val="ListParagraph"/>
        <w:numPr>
          <w:ilvl w:val="0"/>
          <w:numId w:val="2"/>
        </w:numPr>
        <w:spacing w:before="120" w:after="120"/>
        <w:ind w:left="0" w:firstLine="0"/>
        <w:rPr>
          <w:rFonts w:eastAsia="???"/>
          <w:kern w:val="22"/>
          <w:lang w:val="es-ES"/>
        </w:rPr>
      </w:pPr>
      <w:r>
        <w:rPr>
          <w:rFonts w:eastAsia="Malgun Gothic"/>
          <w:kern w:val="22"/>
          <w:lang w:val="es-ES"/>
        </w:rPr>
        <w:t xml:space="preserve">En las decisiones 14/37, CP-9/16 y NP-3-16, la Conferencia de las Partes y la Conferencia de las Partes que actúa como reunión de las Partes en los Protocolos, respectivamente, aprobaron un presupuesto básico integrado de 18 948 900 </w:t>
      </w:r>
      <w:r>
        <w:rPr>
          <w:color w:val="000000"/>
          <w:lang w:val="es-ES"/>
        </w:rPr>
        <w:t>dólares estadounidenses</w:t>
      </w:r>
      <w:r>
        <w:rPr>
          <w:rFonts w:eastAsia="Malgun Gothic"/>
          <w:kern w:val="22"/>
          <w:lang w:val="es-ES"/>
        </w:rPr>
        <w:t xml:space="preserve"> para el año 2019 y 19 895 200 </w:t>
      </w:r>
      <w:r>
        <w:rPr>
          <w:color w:val="000000"/>
          <w:lang w:val="es-ES"/>
        </w:rPr>
        <w:t>dólares estadounidenses</w:t>
      </w:r>
      <w:r>
        <w:rPr>
          <w:rFonts w:eastAsia="Malgun Gothic"/>
          <w:kern w:val="22"/>
          <w:lang w:val="es-ES"/>
        </w:rPr>
        <w:t xml:space="preserve"> para el año 2020, es decir, 38 844 100 </w:t>
      </w:r>
      <w:r>
        <w:rPr>
          <w:color w:val="000000"/>
          <w:lang w:val="es-ES"/>
        </w:rPr>
        <w:t>dólares estadounidenses</w:t>
      </w:r>
      <w:r>
        <w:rPr>
          <w:rFonts w:eastAsia="Malgun Gothic"/>
          <w:kern w:val="22"/>
          <w:lang w:val="es-ES"/>
        </w:rPr>
        <w:t xml:space="preserve"> </w:t>
      </w:r>
      <w:r>
        <w:rPr>
          <w:color w:val="000000"/>
          <w:lang w:val="es-ES"/>
        </w:rPr>
        <w:t>para el bienio</w:t>
      </w:r>
      <w:r>
        <w:rPr>
          <w:rFonts w:eastAsia="Malgun Gothic"/>
          <w:kern w:val="22"/>
          <w:lang w:val="es-ES"/>
        </w:rPr>
        <w:t xml:space="preserve">. Después de deducir los ahorros del período anterior y la contribución del país anfitrión, las cuotas totales para 2019 y 2020 ascendieron a 32 984 700 </w:t>
      </w:r>
      <w:r>
        <w:rPr>
          <w:color w:val="000000"/>
          <w:lang w:val="es-ES"/>
        </w:rPr>
        <w:t>dólares estadounidenses</w:t>
      </w:r>
      <w:r>
        <w:rPr>
          <w:rFonts w:eastAsia="Malgun Gothic"/>
          <w:kern w:val="22"/>
          <w:lang w:val="es-ES"/>
        </w:rPr>
        <w:t xml:space="preserve"> </w:t>
      </w:r>
      <w:r>
        <w:rPr>
          <w:color w:val="000000"/>
          <w:lang w:val="es-ES"/>
        </w:rPr>
        <w:t>para el bienio</w:t>
      </w:r>
      <w:r>
        <w:rPr>
          <w:rFonts w:eastAsia="Malgun Gothic"/>
          <w:kern w:val="22"/>
          <w:lang w:val="es-ES"/>
        </w:rPr>
        <w:t xml:space="preserve">. Las cuotas de las nuevas Partes en los Protocolos en 2019 y 2020 (17 países ratificaron el Protocolo de Nagoya y 2 países pasaron a ser Partes en el Protocolo de Cartagena) ascienden a 94 000 </w:t>
      </w:r>
      <w:r>
        <w:rPr>
          <w:color w:val="000000"/>
          <w:lang w:val="es-ES"/>
        </w:rPr>
        <w:t>dólares estadounidenses</w:t>
      </w:r>
      <w:r>
        <w:rPr>
          <w:rFonts w:eastAsia="Malgun Gothic"/>
          <w:kern w:val="22"/>
          <w:lang w:val="es-ES"/>
        </w:rPr>
        <w:t xml:space="preserve">. Por lo tanto, el total de las cuotas asciende a 33 078 700 dólares estadounidenses, de los cuales 16 045 000 corresponden a 2019 </w:t>
      </w:r>
      <w:r>
        <w:rPr>
          <w:rFonts w:eastAsia="Malgun Gothic"/>
          <w:kern w:val="22"/>
          <w:lang w:val="es-ES"/>
        </w:rPr>
        <w:lastRenderedPageBreak/>
        <w:t>y 17 033 700 a 2020. Para el bienio 2019-2020, la Secretaría ha recibido, a 30 de junio de 2021, contribuciones por un total de 29 852 600 dólares estadounidenses.</w:t>
      </w:r>
    </w:p>
    <w:p w:rsidR="00D31999" w:rsidRDefault="00D31999">
      <w:pPr>
        <w:pStyle w:val="ListParagraph"/>
        <w:numPr>
          <w:ilvl w:val="0"/>
          <w:numId w:val="2"/>
        </w:numPr>
        <w:spacing w:before="120" w:after="120"/>
        <w:ind w:left="0" w:firstLine="0"/>
        <w:rPr>
          <w:rFonts w:eastAsia="???"/>
          <w:kern w:val="22"/>
          <w:lang w:val="es-ES"/>
        </w:rPr>
      </w:pPr>
      <w:r>
        <w:rPr>
          <w:kern w:val="22"/>
          <w:lang w:val="es-ES"/>
        </w:rPr>
        <w:t>La tasa de recaudación hasta la fecha para 2019 y 2020, respectivamente, es del 93,50 % y el 87,18 %, lo que arroja una tasa de recaudación general para el bienio del 90,25 %. Los pagos de las cuotas para 2020 son inferiores a lo habitual, lo que probablemente se deba a diversas causas relacionadas con la pandemia de la COVID-19.</w:t>
      </w:r>
    </w:p>
    <w:p w:rsidR="00D31999" w:rsidRDefault="00D31999">
      <w:pPr>
        <w:pStyle w:val="Style1"/>
        <w:keepLines/>
        <w:suppressLineNumbers/>
        <w:tabs>
          <w:tab w:val="clear" w:pos="720"/>
        </w:tabs>
        <w:suppressAutoHyphens/>
        <w:spacing w:before="0" w:after="0"/>
        <w:ind w:left="990"/>
        <w:jc w:val="left"/>
        <w:rPr>
          <w:i w:val="0"/>
          <w:iCs w:val="0"/>
          <w:kern w:val="22"/>
          <w:lang w:val="es-ES"/>
        </w:rPr>
      </w:pPr>
      <w:r>
        <w:rPr>
          <w:i w:val="0"/>
          <w:iCs w:val="0"/>
          <w:color w:val="000000"/>
          <w:kern w:val="22"/>
          <w:lang w:val="es-ES" w:eastAsia="en-CA"/>
        </w:rPr>
        <w:t>Estado general de las cuotas para el bienio</w:t>
      </w:r>
      <w:r>
        <w:rPr>
          <w:i w:val="0"/>
          <w:iCs w:val="0"/>
          <w:kern w:val="22"/>
          <w:lang w:val="es-ES"/>
        </w:rPr>
        <w:t xml:space="preserve"> 2019-2020</w:t>
      </w:r>
    </w:p>
    <w:p w:rsidR="00D31999" w:rsidRDefault="00D31999">
      <w:pPr>
        <w:pStyle w:val="Style1"/>
        <w:keepLines/>
        <w:suppressLineNumbers/>
        <w:tabs>
          <w:tab w:val="clear" w:pos="720"/>
        </w:tabs>
        <w:suppressAutoHyphens/>
        <w:spacing w:before="0"/>
        <w:ind w:left="990"/>
        <w:jc w:val="left"/>
        <w:rPr>
          <w:b w:val="0"/>
          <w:bCs w:val="0"/>
          <w:color w:val="000000"/>
          <w:kern w:val="22"/>
          <w:lang w:val="es-ES" w:eastAsia="en-CA"/>
        </w:rPr>
      </w:pPr>
      <w:r>
        <w:rPr>
          <w:b w:val="0"/>
          <w:bCs w:val="0"/>
          <w:color w:val="000000"/>
          <w:kern w:val="22"/>
          <w:lang w:val="es-ES" w:eastAsia="en-CA"/>
        </w:rPr>
        <w:t>(En miles de dólares estadounidenses)</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9"/>
        <w:gridCol w:w="2341"/>
      </w:tblGrid>
      <w:tr w:rsidR="00D31999">
        <w:trPr>
          <w:trHeight w:val="300"/>
          <w:jc w:val="center"/>
        </w:trPr>
        <w:tc>
          <w:tcPr>
            <w:tcW w:w="5119" w:type="dxa"/>
            <w:vAlign w:val="center"/>
          </w:tcPr>
          <w:p w:rsidR="00D31999" w:rsidRDefault="00D31999">
            <w:pPr>
              <w:keepNext/>
              <w:keepLines/>
              <w:jc w:val="center"/>
              <w:rPr>
                <w:rFonts w:cs="Times New Roman"/>
                <w:color w:val="000000"/>
                <w:kern w:val="22"/>
                <w:lang w:val="es-ES" w:eastAsia="zh-CN"/>
              </w:rPr>
            </w:pPr>
            <w:r>
              <w:rPr>
                <w:rFonts w:cs="Times New Roman"/>
                <w:i/>
                <w:iCs/>
                <w:color w:val="000000"/>
                <w:kern w:val="22"/>
                <w:lang w:val="es-ES" w:eastAsia="zh-CN"/>
              </w:rPr>
              <w:t>Fuente de financiación</w:t>
            </w:r>
          </w:p>
        </w:tc>
        <w:tc>
          <w:tcPr>
            <w:tcW w:w="2341" w:type="dxa"/>
            <w:vAlign w:val="center"/>
          </w:tcPr>
          <w:p w:rsidR="00D31999" w:rsidRDefault="00D31999">
            <w:pPr>
              <w:keepNext/>
              <w:keepLines/>
              <w:jc w:val="center"/>
              <w:rPr>
                <w:rFonts w:cs="Times New Roman"/>
                <w:i/>
                <w:iCs/>
                <w:color w:val="000000"/>
                <w:kern w:val="22"/>
                <w:lang w:val="es-ES" w:eastAsia="zh-CN"/>
              </w:rPr>
            </w:pPr>
            <w:r>
              <w:rPr>
                <w:rFonts w:cs="Times New Roman"/>
                <w:i/>
                <w:iCs/>
                <w:color w:val="000000"/>
                <w:kern w:val="22"/>
                <w:lang w:val="es-ES" w:eastAsia="zh-CN"/>
              </w:rPr>
              <w:t>Recursos</w:t>
            </w:r>
          </w:p>
        </w:tc>
      </w:tr>
      <w:tr w:rsidR="00D31999">
        <w:trPr>
          <w:trHeight w:val="300"/>
          <w:jc w:val="center"/>
        </w:trPr>
        <w:tc>
          <w:tcPr>
            <w:tcW w:w="5119" w:type="dxa"/>
            <w:vAlign w:val="center"/>
          </w:tcPr>
          <w:p w:rsidR="00D31999" w:rsidRDefault="00D31999">
            <w:pPr>
              <w:keepNext/>
              <w:keepLines/>
              <w:rPr>
                <w:rFonts w:cs="Times New Roman"/>
                <w:color w:val="000000"/>
                <w:kern w:val="22"/>
                <w:lang w:val="es-ES" w:eastAsia="zh-CN"/>
              </w:rPr>
            </w:pPr>
            <w:r>
              <w:rPr>
                <w:rFonts w:cs="Times New Roman"/>
                <w:color w:val="000000"/>
                <w:kern w:val="22"/>
                <w:lang w:val="es-ES" w:eastAsia="zh-CN"/>
              </w:rPr>
              <w:t>Presupuesto provisional aprobado</w:t>
            </w:r>
          </w:p>
        </w:tc>
        <w:tc>
          <w:tcPr>
            <w:tcW w:w="2341" w:type="dxa"/>
            <w:vAlign w:val="center"/>
          </w:tcPr>
          <w:p w:rsidR="00D31999" w:rsidRDefault="00D31999">
            <w:pPr>
              <w:keepNext/>
              <w:keepLines/>
              <w:jc w:val="right"/>
              <w:rPr>
                <w:rFonts w:cs="Times New Roman"/>
                <w:color w:val="000000"/>
                <w:kern w:val="22"/>
                <w:lang w:val="es-ES" w:eastAsia="zh-CN"/>
              </w:rPr>
            </w:pPr>
            <w:r>
              <w:rPr>
                <w:rFonts w:cs="Times New Roman"/>
                <w:color w:val="000000"/>
                <w:kern w:val="22"/>
                <w:lang w:val="es-ES" w:eastAsia="zh-CN"/>
              </w:rPr>
              <w:t>38 844,1</w:t>
            </w:r>
          </w:p>
        </w:tc>
      </w:tr>
      <w:tr w:rsidR="00D31999">
        <w:trPr>
          <w:trHeight w:val="300"/>
          <w:jc w:val="center"/>
        </w:trPr>
        <w:tc>
          <w:tcPr>
            <w:tcW w:w="5119" w:type="dxa"/>
            <w:vAlign w:val="center"/>
          </w:tcPr>
          <w:p w:rsidR="00D31999" w:rsidRDefault="00D31999">
            <w:pPr>
              <w:keepNext/>
              <w:keepLines/>
              <w:rPr>
                <w:rFonts w:cs="Times New Roman"/>
                <w:color w:val="000000"/>
                <w:kern w:val="22"/>
                <w:lang w:val="es-ES" w:eastAsia="zh-CN"/>
              </w:rPr>
            </w:pPr>
            <w:r>
              <w:rPr>
                <w:rFonts w:cs="Times New Roman"/>
                <w:color w:val="000000"/>
                <w:kern w:val="22"/>
                <w:lang w:val="es-ES" w:eastAsia="zh-CN"/>
              </w:rPr>
              <w:t>País anfitrión</w:t>
            </w:r>
          </w:p>
        </w:tc>
        <w:tc>
          <w:tcPr>
            <w:tcW w:w="2341" w:type="dxa"/>
            <w:vAlign w:val="center"/>
          </w:tcPr>
          <w:p w:rsidR="00D31999" w:rsidRDefault="00D31999">
            <w:pPr>
              <w:keepNext/>
              <w:keepLines/>
              <w:jc w:val="right"/>
              <w:rPr>
                <w:rFonts w:cs="Times New Roman"/>
                <w:color w:val="000000"/>
                <w:kern w:val="22"/>
                <w:lang w:val="es-ES" w:eastAsia="zh-CN"/>
              </w:rPr>
            </w:pPr>
            <w:r>
              <w:rPr>
                <w:rFonts w:cs="Times New Roman"/>
                <w:color w:val="000000"/>
                <w:kern w:val="22"/>
                <w:lang w:val="es-ES" w:eastAsia="zh-CN"/>
              </w:rPr>
              <w:t>-2652,8</w:t>
            </w:r>
          </w:p>
        </w:tc>
      </w:tr>
      <w:tr w:rsidR="00D31999">
        <w:trPr>
          <w:trHeight w:val="300"/>
          <w:jc w:val="center"/>
        </w:trPr>
        <w:tc>
          <w:tcPr>
            <w:tcW w:w="5119" w:type="dxa"/>
            <w:vAlign w:val="center"/>
          </w:tcPr>
          <w:p w:rsidR="00D31999" w:rsidRDefault="00D31999">
            <w:pPr>
              <w:keepNext/>
              <w:keepLines/>
              <w:rPr>
                <w:rFonts w:cs="Times New Roman"/>
                <w:color w:val="000000"/>
                <w:kern w:val="22"/>
                <w:lang w:val="es-ES" w:eastAsia="zh-CN"/>
              </w:rPr>
            </w:pPr>
            <w:r>
              <w:rPr>
                <w:rFonts w:cs="Times New Roman"/>
                <w:color w:val="000000"/>
                <w:kern w:val="22"/>
                <w:lang w:val="es-ES" w:eastAsia="zh-CN"/>
              </w:rPr>
              <w:t>Ahorros del año anterior</w:t>
            </w:r>
          </w:p>
        </w:tc>
        <w:tc>
          <w:tcPr>
            <w:tcW w:w="2341" w:type="dxa"/>
            <w:vAlign w:val="center"/>
          </w:tcPr>
          <w:p w:rsidR="00D31999" w:rsidRDefault="00D31999">
            <w:pPr>
              <w:keepNext/>
              <w:keepLines/>
              <w:jc w:val="right"/>
              <w:rPr>
                <w:rFonts w:cs="Times New Roman"/>
                <w:color w:val="000000"/>
                <w:kern w:val="22"/>
                <w:lang w:val="es-ES" w:eastAsia="zh-CN"/>
              </w:rPr>
            </w:pPr>
            <w:r>
              <w:rPr>
                <w:rFonts w:cs="Times New Roman"/>
                <w:color w:val="000000"/>
                <w:kern w:val="22"/>
                <w:lang w:val="es-ES" w:eastAsia="zh-CN"/>
              </w:rPr>
              <w:t>-3206,6</w:t>
            </w:r>
          </w:p>
        </w:tc>
      </w:tr>
      <w:tr w:rsidR="00D31999">
        <w:trPr>
          <w:trHeight w:val="300"/>
          <w:jc w:val="center"/>
        </w:trPr>
        <w:tc>
          <w:tcPr>
            <w:tcW w:w="5119" w:type="dxa"/>
            <w:vAlign w:val="center"/>
          </w:tcPr>
          <w:p w:rsidR="00D31999" w:rsidRDefault="00D31999">
            <w:pPr>
              <w:keepNext/>
              <w:keepLines/>
              <w:rPr>
                <w:rFonts w:cs="Times New Roman"/>
                <w:color w:val="000000"/>
                <w:kern w:val="22"/>
                <w:lang w:val="es-ES" w:eastAsia="zh-CN"/>
              </w:rPr>
            </w:pPr>
            <w:r>
              <w:rPr>
                <w:rFonts w:cs="Times New Roman"/>
                <w:color w:val="000000"/>
                <w:kern w:val="22"/>
                <w:lang w:val="es-ES" w:eastAsia="zh-CN"/>
              </w:rPr>
              <w:t>Parte adicional en el Protocolo de Nagoya</w:t>
            </w:r>
          </w:p>
        </w:tc>
        <w:tc>
          <w:tcPr>
            <w:tcW w:w="2341" w:type="dxa"/>
            <w:vAlign w:val="center"/>
          </w:tcPr>
          <w:p w:rsidR="00D31999" w:rsidRDefault="00D31999">
            <w:pPr>
              <w:keepNext/>
              <w:keepLines/>
              <w:jc w:val="right"/>
              <w:rPr>
                <w:rFonts w:cs="Times New Roman"/>
                <w:color w:val="000000"/>
                <w:kern w:val="22"/>
                <w:lang w:val="es-ES" w:eastAsia="zh-CN"/>
              </w:rPr>
            </w:pPr>
            <w:r>
              <w:rPr>
                <w:rFonts w:cs="Times New Roman"/>
                <w:color w:val="000000"/>
                <w:kern w:val="22"/>
                <w:lang w:val="es-ES" w:eastAsia="zh-CN"/>
              </w:rPr>
              <w:t>94,0</w:t>
            </w:r>
          </w:p>
        </w:tc>
      </w:tr>
      <w:tr w:rsidR="00D31999">
        <w:trPr>
          <w:trHeight w:val="300"/>
          <w:jc w:val="center"/>
        </w:trPr>
        <w:tc>
          <w:tcPr>
            <w:tcW w:w="5119" w:type="dxa"/>
            <w:vAlign w:val="center"/>
          </w:tcPr>
          <w:p w:rsidR="00D31999" w:rsidRDefault="00D31999">
            <w:pPr>
              <w:keepNext/>
              <w:keepLines/>
              <w:rPr>
                <w:rFonts w:cs="Times New Roman"/>
                <w:b/>
                <w:bCs/>
                <w:color w:val="000000"/>
                <w:kern w:val="22"/>
                <w:lang w:val="es-ES" w:eastAsia="zh-CN"/>
              </w:rPr>
            </w:pPr>
            <w:proofErr w:type="gramStart"/>
            <w:r>
              <w:rPr>
                <w:rFonts w:cs="Times New Roman"/>
                <w:b/>
                <w:bCs/>
                <w:color w:val="000000"/>
                <w:kern w:val="22"/>
                <w:lang w:val="es-ES" w:eastAsia="zh-CN"/>
              </w:rPr>
              <w:t>Total</w:t>
            </w:r>
            <w:proofErr w:type="gramEnd"/>
            <w:r>
              <w:rPr>
                <w:rFonts w:cs="Times New Roman"/>
                <w:b/>
                <w:bCs/>
                <w:color w:val="000000"/>
                <w:kern w:val="22"/>
                <w:lang w:val="es-ES" w:eastAsia="zh-CN"/>
              </w:rPr>
              <w:t xml:space="preserve"> cuotas</w:t>
            </w:r>
          </w:p>
        </w:tc>
        <w:tc>
          <w:tcPr>
            <w:tcW w:w="2341" w:type="dxa"/>
            <w:vAlign w:val="center"/>
          </w:tcPr>
          <w:p w:rsidR="00D31999" w:rsidRDefault="00D31999">
            <w:pPr>
              <w:keepNext/>
              <w:keepLines/>
              <w:jc w:val="right"/>
              <w:rPr>
                <w:rFonts w:cs="Times New Roman"/>
                <w:b/>
                <w:bCs/>
                <w:color w:val="000000"/>
                <w:kern w:val="22"/>
                <w:lang w:val="es-ES" w:eastAsia="zh-CN"/>
              </w:rPr>
            </w:pPr>
            <w:r>
              <w:rPr>
                <w:rFonts w:cs="Times New Roman"/>
                <w:b/>
                <w:bCs/>
                <w:color w:val="000000"/>
                <w:kern w:val="22"/>
                <w:lang w:val="es-ES" w:eastAsia="zh-CN"/>
              </w:rPr>
              <w:t>33 078,7</w:t>
            </w:r>
          </w:p>
        </w:tc>
      </w:tr>
      <w:tr w:rsidR="00D31999">
        <w:trPr>
          <w:trHeight w:val="300"/>
          <w:jc w:val="center"/>
        </w:trPr>
        <w:tc>
          <w:tcPr>
            <w:tcW w:w="5119" w:type="dxa"/>
            <w:vAlign w:val="center"/>
          </w:tcPr>
          <w:p w:rsidR="00D31999" w:rsidRDefault="00D31999">
            <w:pPr>
              <w:keepNext/>
              <w:keepLines/>
              <w:rPr>
                <w:rFonts w:cs="Times New Roman"/>
                <w:color w:val="000000"/>
                <w:kern w:val="22"/>
                <w:lang w:val="es-ES" w:eastAsia="zh-CN"/>
              </w:rPr>
            </w:pPr>
            <w:r>
              <w:rPr>
                <w:rFonts w:cs="Times New Roman"/>
                <w:color w:val="000000"/>
                <w:kern w:val="22"/>
                <w:lang w:val="es-ES" w:eastAsia="zh-CN"/>
              </w:rPr>
              <w:t>Cantidad recibida a 30 de junio de 2021</w:t>
            </w:r>
          </w:p>
        </w:tc>
        <w:tc>
          <w:tcPr>
            <w:tcW w:w="2341" w:type="dxa"/>
            <w:vAlign w:val="center"/>
          </w:tcPr>
          <w:p w:rsidR="00D31999" w:rsidRDefault="00D31999">
            <w:pPr>
              <w:keepNext/>
              <w:keepLines/>
              <w:jc w:val="right"/>
              <w:rPr>
                <w:rFonts w:cs="Times New Roman"/>
                <w:color w:val="000000"/>
                <w:kern w:val="22"/>
                <w:lang w:val="es-ES" w:eastAsia="zh-CN"/>
              </w:rPr>
            </w:pPr>
            <w:r>
              <w:rPr>
                <w:rFonts w:cs="Times New Roman"/>
                <w:color w:val="000000"/>
                <w:kern w:val="22"/>
                <w:lang w:val="es-ES" w:eastAsia="zh-CN"/>
              </w:rPr>
              <w:t>29 852,6</w:t>
            </w:r>
          </w:p>
        </w:tc>
      </w:tr>
      <w:tr w:rsidR="00D31999">
        <w:trPr>
          <w:trHeight w:val="300"/>
          <w:jc w:val="center"/>
        </w:trPr>
        <w:tc>
          <w:tcPr>
            <w:tcW w:w="5119" w:type="dxa"/>
            <w:vAlign w:val="center"/>
          </w:tcPr>
          <w:p w:rsidR="00D31999" w:rsidRDefault="00D31999">
            <w:pPr>
              <w:keepNext/>
              <w:keepLines/>
              <w:rPr>
                <w:rFonts w:cs="Times New Roman"/>
                <w:b/>
                <w:bCs/>
                <w:color w:val="000000"/>
                <w:kern w:val="22"/>
                <w:lang w:val="es-ES" w:eastAsia="zh-CN"/>
              </w:rPr>
            </w:pPr>
            <w:r>
              <w:rPr>
                <w:rFonts w:cs="Times New Roman"/>
                <w:b/>
                <w:bCs/>
                <w:color w:val="000000"/>
                <w:kern w:val="22"/>
                <w:lang w:val="es-ES" w:eastAsia="zh-CN"/>
              </w:rPr>
              <w:t>Sald</w:t>
            </w:r>
            <w:r>
              <w:rPr>
                <w:rFonts w:cs="Times New Roman"/>
                <w:b/>
                <w:bCs/>
                <w:kern w:val="22"/>
                <w:lang w:val="es-ES" w:eastAsia="zh-CN"/>
              </w:rPr>
              <w:t>o pendiente</w:t>
            </w:r>
          </w:p>
        </w:tc>
        <w:tc>
          <w:tcPr>
            <w:tcW w:w="2341" w:type="dxa"/>
            <w:vAlign w:val="center"/>
          </w:tcPr>
          <w:p w:rsidR="00D31999" w:rsidRDefault="00D31999">
            <w:pPr>
              <w:keepNext/>
              <w:keepLines/>
              <w:jc w:val="right"/>
              <w:rPr>
                <w:rFonts w:cs="Times New Roman"/>
                <w:b/>
                <w:bCs/>
                <w:color w:val="000000"/>
                <w:kern w:val="22"/>
                <w:lang w:val="es-ES" w:eastAsia="zh-CN"/>
              </w:rPr>
            </w:pPr>
            <w:r>
              <w:rPr>
                <w:rFonts w:cs="Times New Roman"/>
                <w:b/>
                <w:bCs/>
                <w:color w:val="000000"/>
                <w:kern w:val="22"/>
                <w:lang w:val="es-ES" w:eastAsia="zh-CN"/>
              </w:rPr>
              <w:t>3226,1</w:t>
            </w:r>
          </w:p>
        </w:tc>
      </w:tr>
      <w:tr w:rsidR="00D31999">
        <w:trPr>
          <w:trHeight w:val="300"/>
          <w:jc w:val="center"/>
        </w:trPr>
        <w:tc>
          <w:tcPr>
            <w:tcW w:w="5119" w:type="dxa"/>
            <w:vAlign w:val="center"/>
          </w:tcPr>
          <w:p w:rsidR="00D31999" w:rsidRDefault="00D31999">
            <w:pPr>
              <w:keepNext/>
              <w:keepLines/>
              <w:rPr>
                <w:rFonts w:cs="Times New Roman"/>
                <w:b/>
                <w:bCs/>
                <w:color w:val="000000"/>
                <w:kern w:val="22"/>
                <w:lang w:val="es-ES" w:eastAsia="zh-CN"/>
              </w:rPr>
            </w:pPr>
            <w:r>
              <w:rPr>
                <w:rFonts w:cs="Times New Roman"/>
                <w:b/>
                <w:bCs/>
                <w:color w:val="000000"/>
                <w:kern w:val="22"/>
                <w:lang w:val="es-ES" w:eastAsia="zh-CN"/>
              </w:rPr>
              <w:t>Tasa de recaudación</w:t>
            </w:r>
          </w:p>
        </w:tc>
        <w:tc>
          <w:tcPr>
            <w:tcW w:w="2341" w:type="dxa"/>
            <w:vAlign w:val="center"/>
          </w:tcPr>
          <w:p w:rsidR="00D31999" w:rsidRDefault="00D31999">
            <w:pPr>
              <w:keepNext/>
              <w:keepLines/>
              <w:jc w:val="right"/>
              <w:rPr>
                <w:rFonts w:cs="Times New Roman"/>
                <w:b/>
                <w:bCs/>
                <w:color w:val="000000"/>
                <w:kern w:val="22"/>
                <w:lang w:val="es-ES" w:eastAsia="zh-CN"/>
              </w:rPr>
            </w:pPr>
            <w:r>
              <w:rPr>
                <w:rFonts w:cs="Times New Roman"/>
                <w:b/>
                <w:bCs/>
                <w:color w:val="000000"/>
                <w:kern w:val="22"/>
                <w:lang w:val="es-ES" w:eastAsia="zh-CN"/>
              </w:rPr>
              <w:t>90,25 %</w:t>
            </w:r>
          </w:p>
        </w:tc>
      </w:tr>
    </w:tbl>
    <w:p w:rsidR="00D31999" w:rsidRDefault="00D31999">
      <w:pPr>
        <w:pStyle w:val="ListParagraph"/>
        <w:suppressLineNumbers/>
        <w:suppressAutoHyphens/>
        <w:ind w:left="0"/>
        <w:rPr>
          <w:color w:val="000000"/>
          <w:kern w:val="22"/>
          <w:lang w:val="es-ES" w:eastAsia="en-CA"/>
        </w:rPr>
      </w:pPr>
    </w:p>
    <w:p w:rsidR="00D31999" w:rsidRDefault="00D31999">
      <w:pPr>
        <w:pStyle w:val="ListParagraph"/>
        <w:numPr>
          <w:ilvl w:val="0"/>
          <w:numId w:val="14"/>
        </w:numPr>
        <w:spacing w:before="120" w:after="120"/>
        <w:ind w:left="714" w:hanging="357"/>
        <w:jc w:val="center"/>
        <w:rPr>
          <w:rFonts w:eastAsia="???"/>
          <w:color w:val="000000"/>
          <w:kern w:val="22"/>
          <w:lang w:val="es-ES" w:eastAsia="en-CA"/>
        </w:rPr>
      </w:pPr>
      <w:r>
        <w:rPr>
          <w:i/>
          <w:iCs/>
          <w:color w:val="000000"/>
          <w:kern w:val="22"/>
          <w:lang w:val="es-ES" w:eastAsia="en-CA"/>
        </w:rPr>
        <w:t>Presupuesto provisional aprobado para 2021</w:t>
      </w:r>
    </w:p>
    <w:p w:rsidR="00D31999" w:rsidRDefault="00D31999">
      <w:pPr>
        <w:pStyle w:val="ListParagraph"/>
        <w:numPr>
          <w:ilvl w:val="0"/>
          <w:numId w:val="2"/>
        </w:numPr>
        <w:spacing w:before="120" w:after="120"/>
        <w:ind w:left="0" w:firstLine="0"/>
        <w:rPr>
          <w:kern w:val="22"/>
          <w:lang w:val="es-ES"/>
        </w:rPr>
      </w:pPr>
      <w:bookmarkStart w:id="1" w:name="_Ref81132639"/>
      <w:r>
        <w:rPr>
          <w:kern w:val="22"/>
          <w:lang w:val="es-ES"/>
        </w:rPr>
        <w:t xml:space="preserve">En la decisión EM-2/3, la Conferencia de las Partes en su segunda reunión extraordinaria, aprobó un presupuesto provisional de 16 772 600 </w:t>
      </w:r>
      <w:r>
        <w:rPr>
          <w:rFonts w:eastAsia="Malgun Gothic"/>
          <w:kern w:val="22"/>
          <w:lang w:val="es-ES"/>
        </w:rPr>
        <w:t>dólares estadounidenses</w:t>
      </w:r>
      <w:r>
        <w:rPr>
          <w:kern w:val="22"/>
          <w:lang w:val="es-ES"/>
        </w:rPr>
        <w:t xml:space="preserve"> para el año 2021. </w:t>
      </w:r>
      <w:r>
        <w:rPr>
          <w:rFonts w:eastAsia="Malgun Gothic"/>
          <w:kern w:val="22"/>
          <w:lang w:val="es-ES"/>
        </w:rPr>
        <w:t xml:space="preserve">Después de deducir los ahorros del período anterior y la contribución del país anfitrión, las cuotas totales para </w:t>
      </w:r>
      <w:r>
        <w:rPr>
          <w:kern w:val="22"/>
          <w:lang w:val="es-ES"/>
        </w:rPr>
        <w:t xml:space="preserve">2021 ascienden a 14 887 500 </w:t>
      </w:r>
      <w:r>
        <w:rPr>
          <w:rFonts w:eastAsia="Malgun Gothic"/>
          <w:kern w:val="22"/>
          <w:lang w:val="es-ES"/>
        </w:rPr>
        <w:t>dólares estadounidenses</w:t>
      </w:r>
      <w:r>
        <w:rPr>
          <w:kern w:val="22"/>
          <w:lang w:val="es-ES"/>
        </w:rPr>
        <w:t xml:space="preserve">. La cuota de la nueva Parte en el Protocolo de Nagoya en 2021 asciende a 45 200 dólares estadounidenses. Para 2021, la Secretaría ha recibido, a 30 de junio de 2021, </w:t>
      </w:r>
      <w:r>
        <w:rPr>
          <w:rFonts w:eastAsia="Malgun Gothic"/>
          <w:kern w:val="22"/>
          <w:lang w:val="es-ES"/>
        </w:rPr>
        <w:t xml:space="preserve">contribuciones por un total de </w:t>
      </w:r>
      <w:r>
        <w:rPr>
          <w:kern w:val="22"/>
          <w:lang w:val="es-ES"/>
        </w:rPr>
        <w:t xml:space="preserve">9 946 900 </w:t>
      </w:r>
      <w:r>
        <w:rPr>
          <w:rFonts w:eastAsia="Malgun Gothic"/>
          <w:kern w:val="22"/>
          <w:lang w:val="es-ES"/>
        </w:rPr>
        <w:t>dólares estadounidenses</w:t>
      </w:r>
      <w:r>
        <w:rPr>
          <w:kern w:val="22"/>
          <w:lang w:val="es-ES"/>
        </w:rPr>
        <w:t>. La tasa de recaudación para 2021, a 30 de junio de 2021, es de un 66,81 %.</w:t>
      </w:r>
      <w:bookmarkEnd w:id="1"/>
    </w:p>
    <w:p w:rsidR="00D31999" w:rsidRDefault="00D31999">
      <w:pPr>
        <w:pStyle w:val="ListParagraph"/>
        <w:ind w:left="0"/>
        <w:rPr>
          <w:color w:val="000000"/>
          <w:kern w:val="22"/>
          <w:lang w:val="es-ES" w:eastAsia="en-CA"/>
        </w:rPr>
      </w:pPr>
    </w:p>
    <w:p w:rsidR="00D31999" w:rsidRDefault="00D31999">
      <w:pPr>
        <w:ind w:left="994"/>
        <w:rPr>
          <w:rFonts w:cs="Times New Roman"/>
          <w:b/>
          <w:bCs/>
          <w:kern w:val="22"/>
          <w:lang w:val="es-ES"/>
        </w:rPr>
      </w:pPr>
      <w:r>
        <w:rPr>
          <w:rFonts w:cs="Times New Roman"/>
          <w:b/>
          <w:bCs/>
          <w:kern w:val="22"/>
          <w:lang w:val="es-ES"/>
        </w:rPr>
        <w:t>Estado general de las cuotas para 2021</w:t>
      </w:r>
    </w:p>
    <w:p w:rsidR="00D31999" w:rsidRDefault="00D31999">
      <w:pPr>
        <w:keepNext/>
        <w:spacing w:after="120"/>
        <w:ind w:left="994"/>
        <w:rPr>
          <w:rFonts w:cs="Times New Roman"/>
          <w:i/>
          <w:iCs/>
          <w:color w:val="000000"/>
          <w:kern w:val="22"/>
          <w:lang w:val="es-ES"/>
        </w:rPr>
      </w:pPr>
      <w:r>
        <w:rPr>
          <w:rFonts w:cs="Times New Roman"/>
          <w:i/>
          <w:iCs/>
          <w:color w:val="000000"/>
          <w:kern w:val="22"/>
          <w:lang w:val="es-ES"/>
        </w:rPr>
        <w:t>(En miles de dólares estadounidenses)</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0"/>
        <w:gridCol w:w="1800"/>
      </w:tblGrid>
      <w:tr w:rsidR="00D31999">
        <w:trPr>
          <w:trHeight w:val="300"/>
          <w:jc w:val="center"/>
        </w:trPr>
        <w:tc>
          <w:tcPr>
            <w:tcW w:w="5750" w:type="dxa"/>
            <w:vAlign w:val="center"/>
          </w:tcPr>
          <w:p w:rsidR="00D31999" w:rsidRDefault="00D31999">
            <w:pPr>
              <w:jc w:val="center"/>
              <w:rPr>
                <w:rFonts w:cs="Times New Roman"/>
                <w:color w:val="000000"/>
                <w:kern w:val="22"/>
                <w:lang w:val="es-ES" w:eastAsia="zh-CN"/>
              </w:rPr>
            </w:pPr>
            <w:r>
              <w:rPr>
                <w:rFonts w:cs="Times New Roman"/>
                <w:i/>
                <w:iCs/>
                <w:color w:val="000000"/>
                <w:kern w:val="22"/>
                <w:lang w:val="es-ES" w:eastAsia="zh-CN"/>
              </w:rPr>
              <w:t>Fuente de financiación</w:t>
            </w:r>
          </w:p>
        </w:tc>
        <w:tc>
          <w:tcPr>
            <w:tcW w:w="1800" w:type="dxa"/>
            <w:vAlign w:val="center"/>
          </w:tcPr>
          <w:p w:rsidR="00D31999" w:rsidRDefault="00D31999">
            <w:pPr>
              <w:jc w:val="center"/>
              <w:rPr>
                <w:rFonts w:cs="Times New Roman"/>
                <w:i/>
                <w:iCs/>
                <w:color w:val="000000"/>
                <w:kern w:val="22"/>
                <w:lang w:val="es-ES" w:eastAsia="zh-CN"/>
              </w:rPr>
            </w:pPr>
            <w:r>
              <w:rPr>
                <w:rFonts w:cs="Times New Roman"/>
                <w:i/>
                <w:iCs/>
                <w:color w:val="000000"/>
                <w:kern w:val="22"/>
                <w:lang w:val="es-ES" w:eastAsia="zh-CN"/>
              </w:rPr>
              <w:t xml:space="preserve">Recursos </w:t>
            </w:r>
          </w:p>
        </w:tc>
      </w:tr>
      <w:tr w:rsidR="00D31999">
        <w:trPr>
          <w:trHeight w:val="300"/>
          <w:jc w:val="center"/>
        </w:trPr>
        <w:tc>
          <w:tcPr>
            <w:tcW w:w="5750" w:type="dxa"/>
            <w:vAlign w:val="center"/>
          </w:tcPr>
          <w:p w:rsidR="00D31999" w:rsidRDefault="00D31999">
            <w:pPr>
              <w:rPr>
                <w:rFonts w:cs="Times New Roman"/>
                <w:color w:val="000000"/>
                <w:kern w:val="22"/>
                <w:lang w:val="es-ES" w:eastAsia="zh-CN"/>
              </w:rPr>
            </w:pPr>
            <w:r>
              <w:rPr>
                <w:rFonts w:cs="Times New Roman"/>
                <w:color w:val="000000"/>
                <w:kern w:val="22"/>
                <w:lang w:val="es-ES" w:eastAsia="zh-CN"/>
              </w:rPr>
              <w:t>Presupuesto provisional aprobado</w:t>
            </w:r>
          </w:p>
        </w:tc>
        <w:tc>
          <w:tcPr>
            <w:tcW w:w="1800" w:type="dxa"/>
            <w:vAlign w:val="center"/>
          </w:tcPr>
          <w:p w:rsidR="00D31999" w:rsidRDefault="00D31999">
            <w:pPr>
              <w:jc w:val="right"/>
              <w:rPr>
                <w:rFonts w:cs="Times New Roman"/>
                <w:color w:val="000000"/>
                <w:kern w:val="22"/>
                <w:lang w:val="es-ES" w:eastAsia="zh-CN"/>
              </w:rPr>
            </w:pPr>
            <w:r>
              <w:rPr>
                <w:rFonts w:cs="Times New Roman"/>
                <w:color w:val="000000"/>
                <w:kern w:val="22"/>
                <w:lang w:val="es-ES" w:eastAsia="zh-CN"/>
              </w:rPr>
              <w:t>16 772,6</w:t>
            </w:r>
          </w:p>
        </w:tc>
      </w:tr>
      <w:tr w:rsidR="00D31999">
        <w:trPr>
          <w:trHeight w:val="300"/>
          <w:jc w:val="center"/>
        </w:trPr>
        <w:tc>
          <w:tcPr>
            <w:tcW w:w="5750" w:type="dxa"/>
            <w:vAlign w:val="center"/>
          </w:tcPr>
          <w:p w:rsidR="00D31999" w:rsidRDefault="00D31999">
            <w:pPr>
              <w:rPr>
                <w:rFonts w:cs="Times New Roman"/>
                <w:color w:val="000000"/>
                <w:kern w:val="22"/>
                <w:lang w:val="es-ES" w:eastAsia="zh-CN"/>
              </w:rPr>
            </w:pPr>
            <w:r>
              <w:rPr>
                <w:rFonts w:cs="Times New Roman"/>
                <w:color w:val="000000"/>
                <w:kern w:val="22"/>
                <w:lang w:val="es-ES" w:eastAsia="zh-CN"/>
              </w:rPr>
              <w:t>País anfitrión</w:t>
            </w:r>
          </w:p>
        </w:tc>
        <w:tc>
          <w:tcPr>
            <w:tcW w:w="1800" w:type="dxa"/>
            <w:vAlign w:val="center"/>
          </w:tcPr>
          <w:p w:rsidR="00D31999" w:rsidRDefault="00D31999">
            <w:pPr>
              <w:jc w:val="right"/>
              <w:rPr>
                <w:rFonts w:cs="Times New Roman"/>
                <w:color w:val="000000"/>
                <w:kern w:val="22"/>
                <w:lang w:val="es-ES" w:eastAsia="zh-CN"/>
              </w:rPr>
            </w:pPr>
            <w:r>
              <w:rPr>
                <w:rFonts w:cs="Times New Roman"/>
                <w:color w:val="000000"/>
                <w:kern w:val="22"/>
                <w:lang w:val="es-ES" w:eastAsia="zh-CN"/>
              </w:rPr>
              <w:t>-1534,8</w:t>
            </w:r>
          </w:p>
        </w:tc>
      </w:tr>
      <w:tr w:rsidR="00D31999">
        <w:trPr>
          <w:trHeight w:val="300"/>
          <w:jc w:val="center"/>
        </w:trPr>
        <w:tc>
          <w:tcPr>
            <w:tcW w:w="5750" w:type="dxa"/>
            <w:vAlign w:val="center"/>
          </w:tcPr>
          <w:p w:rsidR="00D31999" w:rsidRDefault="00D31999">
            <w:pPr>
              <w:rPr>
                <w:rFonts w:cs="Times New Roman"/>
                <w:color w:val="000000"/>
                <w:kern w:val="22"/>
                <w:lang w:val="es-ES" w:eastAsia="zh-CN"/>
              </w:rPr>
            </w:pPr>
            <w:r>
              <w:rPr>
                <w:rFonts w:cs="Times New Roman"/>
                <w:color w:val="000000"/>
                <w:kern w:val="22"/>
                <w:lang w:val="es-ES" w:eastAsia="zh-CN"/>
              </w:rPr>
              <w:t>Ahorros del año anterior</w:t>
            </w:r>
          </w:p>
        </w:tc>
        <w:tc>
          <w:tcPr>
            <w:tcW w:w="1800" w:type="dxa"/>
            <w:vAlign w:val="center"/>
          </w:tcPr>
          <w:p w:rsidR="00D31999" w:rsidRDefault="00D31999">
            <w:pPr>
              <w:jc w:val="right"/>
              <w:rPr>
                <w:rFonts w:cs="Times New Roman"/>
                <w:color w:val="000000"/>
                <w:kern w:val="22"/>
                <w:lang w:val="es-ES" w:eastAsia="zh-CN"/>
              </w:rPr>
            </w:pPr>
            <w:r>
              <w:rPr>
                <w:rFonts w:cs="Times New Roman"/>
                <w:color w:val="000000"/>
                <w:kern w:val="22"/>
                <w:lang w:val="es-ES" w:eastAsia="zh-CN"/>
              </w:rPr>
              <w:t>-395,5</w:t>
            </w:r>
          </w:p>
        </w:tc>
      </w:tr>
      <w:tr w:rsidR="00D31999">
        <w:trPr>
          <w:trHeight w:val="300"/>
          <w:jc w:val="center"/>
        </w:trPr>
        <w:tc>
          <w:tcPr>
            <w:tcW w:w="5750" w:type="dxa"/>
            <w:vAlign w:val="center"/>
          </w:tcPr>
          <w:p w:rsidR="00D31999" w:rsidRDefault="00D31999">
            <w:pPr>
              <w:rPr>
                <w:rFonts w:cs="Times New Roman"/>
                <w:color w:val="000000"/>
                <w:kern w:val="22"/>
                <w:lang w:val="es-ES" w:eastAsia="zh-CN"/>
              </w:rPr>
            </w:pPr>
            <w:r>
              <w:rPr>
                <w:rFonts w:cs="Times New Roman"/>
                <w:color w:val="000000"/>
                <w:kern w:val="22"/>
                <w:lang w:val="es-ES" w:eastAsia="zh-CN"/>
              </w:rPr>
              <w:t>Parte adicional en el Protocolo de Nagoya</w:t>
            </w:r>
          </w:p>
        </w:tc>
        <w:tc>
          <w:tcPr>
            <w:tcW w:w="1800" w:type="dxa"/>
            <w:vAlign w:val="center"/>
          </w:tcPr>
          <w:p w:rsidR="00D31999" w:rsidRDefault="00D31999">
            <w:pPr>
              <w:jc w:val="right"/>
              <w:rPr>
                <w:rFonts w:cs="Times New Roman"/>
                <w:color w:val="000000"/>
                <w:kern w:val="22"/>
                <w:lang w:val="es-ES" w:eastAsia="zh-CN"/>
              </w:rPr>
            </w:pPr>
            <w:r>
              <w:rPr>
                <w:rFonts w:cs="Times New Roman"/>
                <w:color w:val="000000"/>
                <w:kern w:val="22"/>
                <w:lang w:val="es-ES" w:eastAsia="zh-CN"/>
              </w:rPr>
              <w:t>45,2</w:t>
            </w:r>
          </w:p>
        </w:tc>
      </w:tr>
      <w:tr w:rsidR="00D31999">
        <w:trPr>
          <w:trHeight w:val="300"/>
          <w:jc w:val="center"/>
        </w:trPr>
        <w:tc>
          <w:tcPr>
            <w:tcW w:w="5750" w:type="dxa"/>
            <w:vAlign w:val="center"/>
          </w:tcPr>
          <w:p w:rsidR="00D31999" w:rsidRDefault="00D31999">
            <w:pPr>
              <w:rPr>
                <w:rFonts w:cs="Times New Roman"/>
                <w:b/>
                <w:bCs/>
                <w:color w:val="000000"/>
                <w:kern w:val="22"/>
                <w:lang w:val="es-ES" w:eastAsia="zh-CN"/>
              </w:rPr>
            </w:pPr>
            <w:proofErr w:type="gramStart"/>
            <w:r>
              <w:rPr>
                <w:rFonts w:cs="Times New Roman"/>
                <w:b/>
                <w:bCs/>
                <w:color w:val="000000"/>
                <w:kern w:val="22"/>
                <w:lang w:val="es-ES" w:eastAsia="zh-CN"/>
              </w:rPr>
              <w:t>Total</w:t>
            </w:r>
            <w:proofErr w:type="gramEnd"/>
            <w:r>
              <w:rPr>
                <w:rFonts w:cs="Times New Roman"/>
                <w:b/>
                <w:bCs/>
                <w:color w:val="000000"/>
                <w:kern w:val="22"/>
                <w:lang w:val="es-ES" w:eastAsia="zh-CN"/>
              </w:rPr>
              <w:t xml:space="preserve"> cuotas</w:t>
            </w:r>
          </w:p>
        </w:tc>
        <w:tc>
          <w:tcPr>
            <w:tcW w:w="1800" w:type="dxa"/>
            <w:vAlign w:val="center"/>
          </w:tcPr>
          <w:p w:rsidR="00D31999" w:rsidRDefault="00D31999">
            <w:pPr>
              <w:jc w:val="right"/>
              <w:rPr>
                <w:rFonts w:cs="Times New Roman"/>
                <w:b/>
                <w:bCs/>
                <w:color w:val="000000"/>
                <w:kern w:val="22"/>
                <w:lang w:val="es-ES" w:eastAsia="zh-CN"/>
              </w:rPr>
            </w:pPr>
            <w:r>
              <w:rPr>
                <w:rFonts w:cs="Times New Roman"/>
                <w:b/>
                <w:bCs/>
                <w:color w:val="000000"/>
                <w:kern w:val="22"/>
                <w:lang w:val="es-ES" w:eastAsia="zh-CN"/>
              </w:rPr>
              <w:t>14 887,5</w:t>
            </w:r>
          </w:p>
        </w:tc>
      </w:tr>
      <w:tr w:rsidR="00D31999">
        <w:trPr>
          <w:trHeight w:val="300"/>
          <w:jc w:val="center"/>
        </w:trPr>
        <w:tc>
          <w:tcPr>
            <w:tcW w:w="5750" w:type="dxa"/>
            <w:vAlign w:val="center"/>
          </w:tcPr>
          <w:p w:rsidR="00D31999" w:rsidRDefault="00D31999">
            <w:pPr>
              <w:rPr>
                <w:rFonts w:cs="Times New Roman"/>
                <w:color w:val="000000"/>
                <w:kern w:val="22"/>
                <w:lang w:val="es-ES" w:eastAsia="zh-CN"/>
              </w:rPr>
            </w:pPr>
            <w:r>
              <w:rPr>
                <w:rFonts w:cs="Times New Roman"/>
                <w:color w:val="000000"/>
                <w:kern w:val="22"/>
                <w:lang w:val="es-ES" w:eastAsia="zh-CN"/>
              </w:rPr>
              <w:t>Cantidad recibida a 30 de junio de 2021</w:t>
            </w:r>
          </w:p>
        </w:tc>
        <w:tc>
          <w:tcPr>
            <w:tcW w:w="1800" w:type="dxa"/>
            <w:vAlign w:val="center"/>
          </w:tcPr>
          <w:p w:rsidR="00D31999" w:rsidRDefault="00D31999">
            <w:pPr>
              <w:jc w:val="right"/>
              <w:rPr>
                <w:rFonts w:cs="Times New Roman"/>
                <w:color w:val="000000"/>
                <w:kern w:val="22"/>
                <w:lang w:val="es-ES" w:eastAsia="zh-CN"/>
              </w:rPr>
            </w:pPr>
            <w:r>
              <w:rPr>
                <w:rFonts w:cs="Times New Roman"/>
                <w:color w:val="000000"/>
                <w:kern w:val="22"/>
                <w:lang w:val="es-ES" w:eastAsia="zh-CN"/>
              </w:rPr>
              <w:t>9946,9</w:t>
            </w:r>
          </w:p>
        </w:tc>
      </w:tr>
      <w:tr w:rsidR="00D31999">
        <w:trPr>
          <w:trHeight w:val="300"/>
          <w:jc w:val="center"/>
        </w:trPr>
        <w:tc>
          <w:tcPr>
            <w:tcW w:w="5750" w:type="dxa"/>
            <w:vAlign w:val="center"/>
          </w:tcPr>
          <w:p w:rsidR="00D31999" w:rsidRDefault="00D31999">
            <w:pPr>
              <w:rPr>
                <w:rFonts w:cs="Times New Roman"/>
                <w:b/>
                <w:bCs/>
                <w:color w:val="000000"/>
                <w:kern w:val="22"/>
                <w:lang w:val="es-ES" w:eastAsia="zh-CN"/>
              </w:rPr>
            </w:pPr>
            <w:r>
              <w:rPr>
                <w:rFonts w:cs="Times New Roman"/>
                <w:b/>
                <w:bCs/>
                <w:color w:val="000000"/>
                <w:kern w:val="22"/>
                <w:lang w:val="es-ES" w:eastAsia="zh-CN"/>
              </w:rPr>
              <w:t>Saldo</w:t>
            </w:r>
            <w:r>
              <w:rPr>
                <w:rFonts w:cs="Times New Roman"/>
                <w:b/>
                <w:bCs/>
                <w:kern w:val="22"/>
                <w:lang w:val="es-ES" w:eastAsia="zh-CN"/>
              </w:rPr>
              <w:t xml:space="preserve"> pendiente</w:t>
            </w:r>
          </w:p>
        </w:tc>
        <w:tc>
          <w:tcPr>
            <w:tcW w:w="1800" w:type="dxa"/>
            <w:vAlign w:val="center"/>
          </w:tcPr>
          <w:p w:rsidR="00D31999" w:rsidRDefault="00D31999">
            <w:pPr>
              <w:jc w:val="right"/>
              <w:rPr>
                <w:rFonts w:cs="Times New Roman"/>
                <w:b/>
                <w:bCs/>
                <w:color w:val="000000"/>
                <w:kern w:val="22"/>
                <w:lang w:val="es-ES" w:eastAsia="zh-CN"/>
              </w:rPr>
            </w:pPr>
            <w:r>
              <w:rPr>
                <w:rFonts w:cs="Times New Roman"/>
                <w:b/>
                <w:bCs/>
                <w:color w:val="000000"/>
                <w:kern w:val="22"/>
                <w:lang w:val="es-ES" w:eastAsia="zh-CN"/>
              </w:rPr>
              <w:t>4940,6</w:t>
            </w:r>
          </w:p>
        </w:tc>
      </w:tr>
      <w:tr w:rsidR="00D31999">
        <w:trPr>
          <w:trHeight w:val="300"/>
          <w:jc w:val="center"/>
        </w:trPr>
        <w:tc>
          <w:tcPr>
            <w:tcW w:w="5750" w:type="dxa"/>
            <w:vAlign w:val="center"/>
          </w:tcPr>
          <w:p w:rsidR="00D31999" w:rsidRDefault="00D31999">
            <w:pPr>
              <w:rPr>
                <w:rFonts w:cs="Times New Roman"/>
                <w:b/>
                <w:bCs/>
                <w:color w:val="000000"/>
                <w:kern w:val="22"/>
                <w:lang w:val="es-ES" w:eastAsia="zh-CN"/>
              </w:rPr>
            </w:pPr>
            <w:r>
              <w:rPr>
                <w:rFonts w:cs="Times New Roman"/>
                <w:b/>
                <w:bCs/>
                <w:color w:val="000000"/>
                <w:kern w:val="22"/>
                <w:lang w:val="es-ES" w:eastAsia="zh-CN"/>
              </w:rPr>
              <w:t>Tasa de recaudación</w:t>
            </w:r>
          </w:p>
        </w:tc>
        <w:tc>
          <w:tcPr>
            <w:tcW w:w="1800" w:type="dxa"/>
            <w:vAlign w:val="center"/>
          </w:tcPr>
          <w:p w:rsidR="00D31999" w:rsidRDefault="00D31999">
            <w:pPr>
              <w:jc w:val="right"/>
              <w:rPr>
                <w:rFonts w:cs="Times New Roman"/>
                <w:b/>
                <w:bCs/>
                <w:color w:val="000000"/>
                <w:kern w:val="22"/>
                <w:lang w:val="es-ES" w:eastAsia="zh-CN"/>
              </w:rPr>
            </w:pPr>
            <w:r>
              <w:rPr>
                <w:rFonts w:cs="Times New Roman"/>
                <w:b/>
                <w:bCs/>
                <w:color w:val="000000"/>
                <w:kern w:val="22"/>
                <w:lang w:val="es-ES" w:eastAsia="zh-CN"/>
              </w:rPr>
              <w:t>66,81 %</w:t>
            </w:r>
          </w:p>
        </w:tc>
      </w:tr>
    </w:tbl>
    <w:p w:rsidR="00D31999" w:rsidRDefault="00D31999">
      <w:pPr>
        <w:pStyle w:val="ListParagraph"/>
        <w:ind w:left="0"/>
        <w:rPr>
          <w:color w:val="000000"/>
          <w:kern w:val="22"/>
          <w:lang w:val="es-ES" w:eastAsia="en-CA"/>
        </w:rPr>
      </w:pPr>
    </w:p>
    <w:p w:rsidR="00D31999" w:rsidRDefault="00D31999">
      <w:pPr>
        <w:pStyle w:val="ListParagraph"/>
        <w:keepNext/>
        <w:numPr>
          <w:ilvl w:val="0"/>
          <w:numId w:val="4"/>
        </w:numPr>
        <w:suppressLineNumbers/>
        <w:tabs>
          <w:tab w:val="left" w:pos="426"/>
        </w:tabs>
        <w:suppressAutoHyphens/>
        <w:spacing w:after="120"/>
        <w:ind w:left="0" w:firstLine="0"/>
        <w:jc w:val="center"/>
        <w:rPr>
          <w:rFonts w:eastAsia="Malgun Gothic"/>
          <w:b/>
          <w:bCs/>
          <w:color w:val="000000"/>
          <w:kern w:val="22"/>
          <w:lang w:val="es-ES"/>
        </w:rPr>
      </w:pPr>
      <w:r>
        <w:rPr>
          <w:rFonts w:eastAsia="Malgun Gothic"/>
          <w:b/>
          <w:bCs/>
          <w:color w:val="000000"/>
          <w:kern w:val="22"/>
          <w:lang w:val="es-ES"/>
        </w:rPr>
        <w:t>Ejecución del presupuesto</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 xml:space="preserve">Como se muestra en el cuadro 2 </w:t>
      </w:r>
      <w:r>
        <w:rPr>
          <w:i/>
          <w:iCs/>
          <w:kern w:val="22"/>
          <w:lang w:val="es-ES"/>
        </w:rPr>
        <w:t>infra</w:t>
      </w:r>
      <w:r>
        <w:rPr>
          <w:kern w:val="22"/>
          <w:lang w:val="es-ES"/>
        </w:rPr>
        <w:t xml:space="preserve">, se prevé que a 31 de diciembre de 2021 se gastará un total de </w:t>
      </w:r>
      <w:r>
        <w:rPr>
          <w:color w:val="000000"/>
          <w:kern w:val="22"/>
          <w:lang w:val="es-ES" w:eastAsia="zh-CN"/>
        </w:rPr>
        <w:t xml:space="preserve">1 778 850 </w:t>
      </w:r>
      <w:r>
        <w:rPr>
          <w:rFonts w:eastAsia="Malgun Gothic"/>
          <w:kern w:val="22"/>
          <w:lang w:val="es-ES"/>
        </w:rPr>
        <w:t>dólares estadounidenses</w:t>
      </w:r>
      <w:r>
        <w:rPr>
          <w:color w:val="000000"/>
          <w:kern w:val="22"/>
          <w:lang w:val="es-ES" w:eastAsia="zh-CN"/>
        </w:rPr>
        <w:t xml:space="preserve"> en relación con el saldo arrastrado del presupuesto aprobado para </w:t>
      </w:r>
      <w:r>
        <w:rPr>
          <w:kern w:val="22"/>
          <w:lang w:val="es-ES"/>
        </w:rPr>
        <w:lastRenderedPageBreak/>
        <w:t>2019-2020. Los gastos previstos no incluyen los costes de la 15ª reunión de la Conferencia de las Partes, la 10ª reunión de las Partes en el Protocolo de Cartagena o la 4ª reunión de las Partes en el Protocolo de Nagoya, cuya celebración se ha previsto en abril/mayo de 2022.</w:t>
      </w:r>
    </w:p>
    <w:p w:rsidR="00D31999" w:rsidRDefault="00D31999">
      <w:pPr>
        <w:pStyle w:val="ListParagraph"/>
        <w:numPr>
          <w:ilvl w:val="0"/>
          <w:numId w:val="2"/>
        </w:numPr>
        <w:suppressLineNumbers/>
        <w:suppressAutoHyphens/>
        <w:ind w:left="0" w:firstLine="0"/>
        <w:rPr>
          <w:kern w:val="22"/>
          <w:lang w:val="es-ES"/>
        </w:rPr>
      </w:pPr>
      <w:r>
        <w:rPr>
          <w:kern w:val="22"/>
          <w:lang w:val="es-ES"/>
        </w:rPr>
        <w:t xml:space="preserve">El cuadro 3 que figura a continuación refleja un gasto previsto de </w:t>
      </w:r>
      <w:r>
        <w:rPr>
          <w:color w:val="000000"/>
          <w:kern w:val="22"/>
          <w:lang w:val="es-ES" w:eastAsia="zh-CN"/>
        </w:rPr>
        <w:t>15 039 400</w:t>
      </w:r>
      <w:r>
        <w:rPr>
          <w:kern w:val="22"/>
          <w:lang w:val="es-ES"/>
        </w:rPr>
        <w:t xml:space="preserve"> </w:t>
      </w:r>
      <w:r>
        <w:rPr>
          <w:rFonts w:eastAsia="Malgun Gothic"/>
          <w:kern w:val="22"/>
          <w:lang w:val="es-ES"/>
        </w:rPr>
        <w:t>dólares estadounidenses</w:t>
      </w:r>
      <w:r>
        <w:rPr>
          <w:kern w:val="22"/>
          <w:lang w:val="es-ES"/>
        </w:rPr>
        <w:t xml:space="preserve"> a 31 de diciembre de 2021 en relación con el presupuesto provisional aprobado para 2021.</w:t>
      </w:r>
    </w:p>
    <w:p w:rsidR="00D31999" w:rsidRDefault="00D31999">
      <w:pPr>
        <w:pStyle w:val="ListParagraph"/>
        <w:numPr>
          <w:ilvl w:val="0"/>
          <w:numId w:val="2"/>
        </w:numPr>
        <w:suppressLineNumbers/>
        <w:suppressAutoHyphens/>
        <w:spacing w:before="120" w:after="120"/>
        <w:ind w:left="0" w:firstLine="0"/>
        <w:rPr>
          <w:rFonts w:eastAsia="???"/>
          <w:spacing w:val="-1"/>
          <w:kern w:val="22"/>
          <w:lang w:val="es-ES"/>
        </w:rPr>
      </w:pPr>
      <w:r>
        <w:rPr>
          <w:spacing w:val="-1"/>
          <w:kern w:val="22"/>
          <w:lang w:val="es-ES"/>
        </w:rPr>
        <w:t xml:space="preserve">En la decisión </w:t>
      </w:r>
      <w:hyperlink r:id="rId10" w:history="1">
        <w:r>
          <w:rPr>
            <w:rStyle w:val="Hyperlink"/>
            <w:spacing w:val="-1"/>
            <w:kern w:val="22"/>
            <w:sz w:val="22"/>
            <w:szCs w:val="22"/>
            <w:lang w:val="es-ES"/>
          </w:rPr>
          <w:t>EM-2/1</w:t>
        </w:r>
      </w:hyperlink>
      <w:r>
        <w:rPr>
          <w:spacing w:val="-1"/>
          <w:kern w:val="22"/>
          <w:lang w:val="es-ES"/>
        </w:rPr>
        <w:t xml:space="preserve">, la Conferencia de las Partes en su segunda reunión extraordinaria, autorizó el saldo arrastrado del presupuesto aprobado para 2019-2020 (partida I), de una cantidad de 2 842 200 </w:t>
      </w:r>
      <w:r>
        <w:rPr>
          <w:rFonts w:eastAsia="Malgun Gothic"/>
          <w:kern w:val="22"/>
          <w:lang w:val="es-ES"/>
        </w:rPr>
        <w:t>dólares estadounidenses</w:t>
      </w:r>
      <w:r>
        <w:rPr>
          <w:spacing w:val="-1"/>
          <w:kern w:val="22"/>
          <w:lang w:val="es-ES"/>
        </w:rPr>
        <w:t xml:space="preserve"> para cubrir los gastos de la 24ª reunión del Órgano Subsidiario de Asesoramiento Científico, Técnico y Tecnológico, la 3ª reunión del Órgano Subsidiario sobre la Aplicación y la 15ª reunión de la Conferencia de las Partes en el Convenio, cuya celebración estaba prevista durante 2021. En la segunda reunión extraordinaria de la Conferencia de las Partes también se aprobó una suma adicional de 271 800 dólares estadounidenses en el presupuesto provisional para 2021 para financiar la información virtual y las reuniones preparatorias, de grupos regionales y de apertura para la 24ª reunión del Órgano Subsidiario de Asesoramiento Científico, Técnico y Tecnológico y la 3ª reunión del Órgano Subsidiario sobre la Aplicación. A 30 de junio de 2021, se incurrió en un gasto total de 2 535 400 </w:t>
      </w:r>
      <w:r>
        <w:rPr>
          <w:rFonts w:eastAsia="Malgun Gothic"/>
          <w:kern w:val="22"/>
          <w:lang w:val="es-ES"/>
        </w:rPr>
        <w:t>dólares estadounidenses</w:t>
      </w:r>
      <w:r>
        <w:rPr>
          <w:spacing w:val="-1"/>
          <w:kern w:val="22"/>
          <w:lang w:val="es-ES"/>
        </w:rPr>
        <w:t xml:space="preserve"> en 2019, 2020 y 2021 para reuniones en la partida I tanto en el presupuesto para 2019-2020 como en el presupuesto provisional para 2021. Por consiguiente, se prevé que las consignaciones estadounidenses, aprobadas respectivamente por la Conferencia de las Partes en su 14ª reunión y en su segunda reunión extraordinaria, registren un exceso de gastos de 441 000 dólares estadounidenses (alrededor de un 11 %) para finales de 2022. Además, se necesitarán fondos adicionales para complementar la generosa contribución del Gobierno de Suiza para la reanudación de las reuniones del Órgano Subsidiario de Asesoramiento Científico, Técnico y Tecnológico, la 3ª reunión del Órgano Subsidiario sobre la Aplicación y la 3ª reunión del Grupo de trabajo sobre el marco mundial de la diversidad biológica posterior a 2020, que se celebrarán en Ginebra en enero de 2022. Se calcula que estos gastos adicionales ascenderán a 951 000 </w:t>
      </w:r>
      <w:r>
        <w:rPr>
          <w:rFonts w:eastAsia="Malgun Gothic"/>
          <w:kern w:val="22"/>
          <w:lang w:val="es-ES"/>
        </w:rPr>
        <w:t>dólares estadounidenses</w:t>
      </w:r>
      <w:r>
        <w:rPr>
          <w:spacing w:val="-1"/>
          <w:kern w:val="22"/>
          <w:lang w:val="es-ES"/>
        </w:rPr>
        <w:t xml:space="preserve"> y sufragarán los gastos de interpretación, traducción y la plataforma virtual. En el cuadro que figura a continuación se resumen los gastos realizados para las reuniones y las necesidades de financiación para la continuación de los períodos de sesiones, así como la 15ª reunión de la Conferencia de las Partes y las reuniones conexas de las Partes en los Protocolos en 2022. </w:t>
      </w:r>
    </w:p>
    <w:p w:rsidR="00D31999" w:rsidRDefault="00D31999">
      <w:pPr>
        <w:keepNext/>
        <w:spacing w:before="120"/>
        <w:rPr>
          <w:rFonts w:cs="Times New Roman"/>
          <w:b/>
          <w:bCs/>
          <w:kern w:val="22"/>
          <w:lang w:val="es-ES"/>
        </w:rPr>
      </w:pPr>
      <w:r>
        <w:rPr>
          <w:rFonts w:cs="Times New Roman"/>
          <w:b/>
          <w:bCs/>
          <w:kern w:val="22"/>
          <w:lang w:val="es-ES"/>
        </w:rPr>
        <w:t>Cuadro 1</w:t>
      </w:r>
    </w:p>
    <w:p w:rsidR="00D31999" w:rsidRDefault="00D31999">
      <w:pPr>
        <w:spacing w:after="120"/>
        <w:rPr>
          <w:rFonts w:cs="Times New Roman"/>
          <w:b/>
          <w:bCs/>
          <w:kern w:val="22"/>
          <w:lang w:val="es-ES"/>
        </w:rPr>
      </w:pPr>
      <w:r>
        <w:rPr>
          <w:rFonts w:cs="Times New Roman"/>
          <w:b/>
          <w:bCs/>
          <w:kern w:val="22"/>
          <w:lang w:val="es-ES"/>
        </w:rPr>
        <w:t>Gastos realizados para las reuniones y necesidades de financiación para la continuación de los períodos de sesiones, la 15ª reunión de la Conferencia de las Partes y las reuniones conexas de las Partes en los Protocolos en 2022</w:t>
      </w:r>
    </w:p>
    <w:tbl>
      <w:tblPr>
        <w:tblpPr w:leftFromText="180" w:rightFromText="180" w:vertAnchor="text" w:tblpXSpec="center" w:tblpY="1"/>
        <w:tblOverlap w:val="neve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0"/>
        <w:gridCol w:w="1820"/>
      </w:tblGrid>
      <w:tr w:rsidR="00D31999" w:rsidRPr="00713820">
        <w:trPr>
          <w:jc w:val="center"/>
        </w:trPr>
        <w:tc>
          <w:tcPr>
            <w:tcW w:w="7500" w:type="dxa"/>
            <w:vAlign w:val="center"/>
          </w:tcPr>
          <w:p w:rsidR="00D31999" w:rsidRDefault="00D31999">
            <w:pPr>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Gastos totales en la partida I (reuniones)-</w:t>
            </w:r>
          </w:p>
          <w:p w:rsidR="00D31999" w:rsidRDefault="00D31999">
            <w:pPr>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30 de junio de 2021 (Presupuesto para 2019-2020 y presupuesto provisional para 2021)</w:t>
            </w:r>
          </w:p>
        </w:tc>
        <w:tc>
          <w:tcPr>
            <w:tcW w:w="1820" w:type="dxa"/>
            <w:vAlign w:val="center"/>
          </w:tcPr>
          <w:p w:rsidR="00D31999" w:rsidRDefault="00D31999">
            <w:pPr>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Gastos</w:t>
            </w:r>
          </w:p>
          <w:p w:rsidR="00D31999" w:rsidRDefault="00D31999">
            <w:pPr>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(En miles de dólares estadounidenses)</w:t>
            </w:r>
          </w:p>
        </w:tc>
      </w:tr>
      <w:tr w:rsidR="00D31999">
        <w:trPr>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SBSTTA-23</w:t>
            </w:r>
          </w:p>
        </w:tc>
        <w:tc>
          <w:tcPr>
            <w:tcW w:w="1820" w:type="dxa"/>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316,0</w:t>
            </w:r>
          </w:p>
        </w:tc>
      </w:tr>
      <w:tr w:rsidR="00D31999">
        <w:trPr>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Art8J-10</w:t>
            </w:r>
          </w:p>
        </w:tc>
        <w:tc>
          <w:tcPr>
            <w:tcW w:w="1820" w:type="dxa"/>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280,0</w:t>
            </w:r>
          </w:p>
        </w:tc>
      </w:tr>
      <w:tr w:rsidR="00D31999">
        <w:trPr>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SBSTTA-24 y SBI-3 (sesiones virtuales, incluidas sesiones oficiales, oficiosas y especiales)</w:t>
            </w:r>
          </w:p>
        </w:tc>
        <w:tc>
          <w:tcPr>
            <w:tcW w:w="1820" w:type="dxa"/>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1939,4</w:t>
            </w:r>
          </w:p>
        </w:tc>
      </w:tr>
      <w:tr w:rsidR="00D31999">
        <w:trPr>
          <w:jc w:val="center"/>
        </w:trPr>
        <w:tc>
          <w:tcPr>
            <w:tcW w:w="7500" w:type="dxa"/>
            <w:vAlign w:val="center"/>
          </w:tcPr>
          <w:p w:rsidR="00D31999" w:rsidRDefault="00D31999">
            <w:pPr>
              <w:rPr>
                <w:rFonts w:cs="Times New Roman"/>
                <w:b/>
                <w:bCs/>
                <w:color w:val="000000"/>
                <w:kern w:val="22"/>
                <w:sz w:val="20"/>
                <w:szCs w:val="20"/>
                <w:lang w:val="es-ES" w:eastAsia="zh-CN"/>
              </w:rPr>
            </w:pPr>
            <w:r>
              <w:rPr>
                <w:rFonts w:cs="Times New Roman"/>
                <w:b/>
                <w:bCs/>
                <w:color w:val="000000"/>
                <w:kern w:val="22"/>
                <w:sz w:val="20"/>
                <w:szCs w:val="20"/>
                <w:lang w:val="es-ES" w:eastAsia="zh-CN"/>
              </w:rPr>
              <w:t xml:space="preserve">Gastos totales </w:t>
            </w:r>
            <w:r>
              <w:rPr>
                <w:rFonts w:cs="Times New Roman"/>
                <w:color w:val="000000"/>
                <w:kern w:val="22"/>
                <w:sz w:val="20"/>
                <w:szCs w:val="20"/>
                <w:lang w:val="es-ES" w:eastAsia="zh-CN"/>
              </w:rPr>
              <w:t xml:space="preserve">a 30 de junio de 2021 (excluyendo el WG2020*) </w:t>
            </w:r>
            <w:r>
              <w:rPr>
                <w:rFonts w:cs="Times New Roman"/>
                <w:b/>
                <w:bCs/>
                <w:color w:val="000000"/>
                <w:kern w:val="22"/>
                <w:sz w:val="20"/>
                <w:szCs w:val="20"/>
                <w:lang w:val="es-ES" w:eastAsia="zh-CN"/>
              </w:rPr>
              <w:t>(A)</w:t>
            </w:r>
          </w:p>
        </w:tc>
        <w:tc>
          <w:tcPr>
            <w:tcW w:w="1820" w:type="dxa"/>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2535,4</w:t>
            </w:r>
          </w:p>
        </w:tc>
      </w:tr>
      <w:tr w:rsidR="00D31999">
        <w:trPr>
          <w:cantSplit/>
          <w:jc w:val="center"/>
        </w:trPr>
        <w:tc>
          <w:tcPr>
            <w:tcW w:w="7500" w:type="dxa"/>
            <w:vAlign w:val="center"/>
          </w:tcPr>
          <w:p w:rsidR="00D31999" w:rsidRDefault="00D31999">
            <w:pPr>
              <w:rPr>
                <w:rFonts w:cs="Times New Roman"/>
                <w:b/>
                <w:bCs/>
                <w:color w:val="000000"/>
                <w:kern w:val="22"/>
                <w:sz w:val="20"/>
                <w:szCs w:val="20"/>
                <w:lang w:val="es-ES" w:eastAsia="zh-CN"/>
              </w:rPr>
            </w:pPr>
            <w:r>
              <w:rPr>
                <w:rFonts w:cs="Times New Roman"/>
                <w:b/>
                <w:bCs/>
                <w:color w:val="000000"/>
                <w:kern w:val="22"/>
                <w:sz w:val="20"/>
                <w:szCs w:val="20"/>
                <w:lang w:val="es-ES" w:eastAsia="zh-CN"/>
              </w:rPr>
              <w:t>Presupuesto disponible (B):</w:t>
            </w:r>
          </w:p>
        </w:tc>
        <w:tc>
          <w:tcPr>
            <w:tcW w:w="1820" w:type="dxa"/>
            <w:vMerge w:val="restart"/>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4013,4</w:t>
            </w:r>
          </w:p>
        </w:tc>
      </w:tr>
      <w:tr w:rsidR="00D31999">
        <w:trPr>
          <w:cantSplit/>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Presupuesto 2019-2020: 3 688 000 $</w:t>
            </w:r>
          </w:p>
        </w:tc>
        <w:tc>
          <w:tcPr>
            <w:tcW w:w="1820" w:type="dxa"/>
            <w:vMerge/>
            <w:vAlign w:val="center"/>
          </w:tcPr>
          <w:p w:rsidR="00D31999" w:rsidRDefault="00D31999">
            <w:pPr>
              <w:jc w:val="left"/>
              <w:rPr>
                <w:rFonts w:cs="Times New Roman"/>
                <w:color w:val="000000"/>
                <w:kern w:val="22"/>
                <w:sz w:val="20"/>
                <w:szCs w:val="20"/>
                <w:lang w:val="es-ES" w:eastAsia="zh-CN"/>
              </w:rPr>
            </w:pPr>
          </w:p>
        </w:tc>
      </w:tr>
      <w:tr w:rsidR="00D31999">
        <w:trPr>
          <w:cantSplit/>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Presupuesto provisional 2021: 271 800 $</w:t>
            </w:r>
          </w:p>
        </w:tc>
        <w:tc>
          <w:tcPr>
            <w:tcW w:w="1820" w:type="dxa"/>
            <w:vMerge/>
            <w:vAlign w:val="center"/>
          </w:tcPr>
          <w:p w:rsidR="00D31999" w:rsidRDefault="00D31999">
            <w:pPr>
              <w:jc w:val="left"/>
              <w:rPr>
                <w:rFonts w:cs="Times New Roman"/>
                <w:color w:val="000000"/>
                <w:kern w:val="22"/>
                <w:sz w:val="20"/>
                <w:szCs w:val="20"/>
                <w:lang w:val="es-ES" w:eastAsia="zh-CN"/>
              </w:rPr>
            </w:pPr>
          </w:p>
        </w:tc>
      </w:tr>
      <w:tr w:rsidR="00D31999" w:rsidRPr="00713820">
        <w:trPr>
          <w:cantSplit/>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Contribuciones voluntarias de los Gobiernos de Canadá y del Reino Unido: 53 637 $</w:t>
            </w:r>
          </w:p>
        </w:tc>
        <w:tc>
          <w:tcPr>
            <w:tcW w:w="1820" w:type="dxa"/>
            <w:vMerge/>
            <w:vAlign w:val="center"/>
          </w:tcPr>
          <w:p w:rsidR="00D31999" w:rsidRDefault="00D31999">
            <w:pPr>
              <w:jc w:val="left"/>
              <w:rPr>
                <w:rFonts w:cs="Times New Roman"/>
                <w:color w:val="000000"/>
                <w:kern w:val="22"/>
                <w:sz w:val="20"/>
                <w:szCs w:val="20"/>
                <w:lang w:val="es-ES" w:eastAsia="zh-CN"/>
              </w:rPr>
            </w:pPr>
          </w:p>
        </w:tc>
      </w:tr>
      <w:tr w:rsidR="00D31999">
        <w:trPr>
          <w:cantSplit/>
          <w:jc w:val="center"/>
        </w:trPr>
        <w:tc>
          <w:tcPr>
            <w:tcW w:w="7500" w:type="dxa"/>
            <w:vAlign w:val="center"/>
          </w:tcPr>
          <w:p w:rsidR="00D31999" w:rsidRDefault="00D31999">
            <w:pPr>
              <w:rPr>
                <w:rFonts w:cs="Times New Roman"/>
                <w:b/>
                <w:bCs/>
                <w:color w:val="000000"/>
                <w:kern w:val="22"/>
                <w:sz w:val="20"/>
                <w:szCs w:val="20"/>
                <w:lang w:val="es-ES" w:eastAsia="zh-CN"/>
              </w:rPr>
            </w:pPr>
            <w:r>
              <w:rPr>
                <w:rFonts w:cs="Times New Roman"/>
                <w:b/>
                <w:bCs/>
                <w:color w:val="000000"/>
                <w:kern w:val="22"/>
                <w:sz w:val="20"/>
                <w:szCs w:val="20"/>
                <w:lang w:val="es-ES" w:eastAsia="zh-CN"/>
              </w:rPr>
              <w:t>Necesidades de recursos en 2022 (C)</w:t>
            </w:r>
          </w:p>
        </w:tc>
        <w:tc>
          <w:tcPr>
            <w:tcW w:w="1820" w:type="dxa"/>
            <w:vMerge w:val="restart"/>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2870,0</w:t>
            </w:r>
          </w:p>
        </w:tc>
      </w:tr>
      <w:tr w:rsidR="00D31999">
        <w:trPr>
          <w:cantSplit/>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Reanudación SBSTTA-24/SBI-3/WG2020-3: 951 000 $</w:t>
            </w:r>
          </w:p>
        </w:tc>
        <w:tc>
          <w:tcPr>
            <w:tcW w:w="1820" w:type="dxa"/>
            <w:vMerge/>
            <w:vAlign w:val="center"/>
          </w:tcPr>
          <w:p w:rsidR="00D31999" w:rsidRDefault="00D31999">
            <w:pPr>
              <w:jc w:val="left"/>
              <w:rPr>
                <w:rFonts w:cs="Times New Roman"/>
                <w:color w:val="000000"/>
                <w:kern w:val="22"/>
                <w:sz w:val="20"/>
                <w:szCs w:val="20"/>
                <w:lang w:val="es-ES" w:eastAsia="zh-CN"/>
              </w:rPr>
            </w:pPr>
          </w:p>
        </w:tc>
      </w:tr>
      <w:tr w:rsidR="00D31999">
        <w:trPr>
          <w:cantSplit/>
          <w:jc w:val="center"/>
        </w:trPr>
        <w:tc>
          <w:tcPr>
            <w:tcW w:w="7500" w:type="dxa"/>
            <w:vAlign w:val="center"/>
          </w:tcPr>
          <w:p w:rsidR="00D31999" w:rsidRDefault="00D31999">
            <w:pPr>
              <w:rPr>
                <w:rFonts w:cs="Times New Roman"/>
                <w:color w:val="000000"/>
                <w:kern w:val="22"/>
                <w:sz w:val="20"/>
                <w:szCs w:val="20"/>
                <w:lang w:val="es-ES" w:eastAsia="zh-CN"/>
              </w:rPr>
            </w:pPr>
            <w:r>
              <w:rPr>
                <w:rFonts w:cs="Times New Roman"/>
                <w:color w:val="000000"/>
                <w:kern w:val="22"/>
                <w:sz w:val="20"/>
                <w:szCs w:val="20"/>
                <w:lang w:val="es-ES" w:eastAsia="zh-CN"/>
              </w:rPr>
              <w:t>COP-15/BS-MOP-10/NP-MOP-4: 1 919 000 $</w:t>
            </w:r>
          </w:p>
        </w:tc>
        <w:tc>
          <w:tcPr>
            <w:tcW w:w="1820" w:type="dxa"/>
            <w:vMerge/>
            <w:vAlign w:val="center"/>
          </w:tcPr>
          <w:p w:rsidR="00D31999" w:rsidRDefault="00D31999">
            <w:pPr>
              <w:jc w:val="left"/>
              <w:rPr>
                <w:rFonts w:cs="Times New Roman"/>
                <w:color w:val="000000"/>
                <w:kern w:val="22"/>
                <w:sz w:val="20"/>
                <w:szCs w:val="20"/>
                <w:lang w:val="es-ES" w:eastAsia="zh-CN"/>
              </w:rPr>
            </w:pPr>
          </w:p>
        </w:tc>
      </w:tr>
      <w:tr w:rsidR="00D31999">
        <w:trPr>
          <w:jc w:val="center"/>
        </w:trPr>
        <w:tc>
          <w:tcPr>
            <w:tcW w:w="7500" w:type="dxa"/>
            <w:vAlign w:val="center"/>
          </w:tcPr>
          <w:p w:rsidR="00D31999" w:rsidRDefault="00D31999">
            <w:pPr>
              <w:rPr>
                <w:rFonts w:cs="Times New Roman"/>
                <w:b/>
                <w:bCs/>
                <w:color w:val="000000"/>
                <w:kern w:val="22"/>
                <w:sz w:val="20"/>
                <w:szCs w:val="20"/>
                <w:lang w:val="es-ES" w:eastAsia="zh-CN"/>
              </w:rPr>
            </w:pPr>
            <w:r>
              <w:rPr>
                <w:rFonts w:cs="Times New Roman"/>
                <w:b/>
                <w:bCs/>
                <w:color w:val="000000"/>
                <w:kern w:val="22"/>
                <w:sz w:val="20"/>
                <w:szCs w:val="20"/>
                <w:lang w:val="es-ES" w:eastAsia="zh-CN"/>
              </w:rPr>
              <w:t>Recursos adicionales necesarios para las reuniones previstas en 2022 ((A+C)-B))</w:t>
            </w:r>
          </w:p>
        </w:tc>
        <w:tc>
          <w:tcPr>
            <w:tcW w:w="1820" w:type="dxa"/>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1392</w:t>
            </w:r>
          </w:p>
        </w:tc>
      </w:tr>
    </w:tbl>
    <w:p w:rsidR="00D31999" w:rsidRDefault="00D31999">
      <w:pPr>
        <w:pStyle w:val="BalloonText"/>
        <w:suppressLineNumbers/>
        <w:suppressAutoHyphens/>
        <w:spacing w:before="120" w:after="120"/>
        <w:rPr>
          <w:rFonts w:ascii="Times New Roman" w:hAnsi="Times New Roman" w:cs="Times New Roman"/>
          <w:kern w:val="22"/>
          <w:lang w:val="es-ES"/>
        </w:rPr>
      </w:pPr>
      <w:r>
        <w:rPr>
          <w:rFonts w:ascii="Times New Roman" w:hAnsi="Times New Roman" w:cs="Times New Roman"/>
          <w:kern w:val="22"/>
          <w:lang w:val="es-ES"/>
        </w:rPr>
        <w:t>*Obsérvese que los gastos del Grupo de trabajo sobre el marco mundial de la diversidad biológica posterior a 2020 efectuados hasta la fecha se imputan a una partida presupuestaria independiente con arreglo a lo dispuesto en el presupuesto aprobado en la 14ª reunión de la Conferencia de las Partes.</w:t>
      </w:r>
    </w:p>
    <w:p w:rsidR="00D31999" w:rsidRDefault="00D31999">
      <w:pPr>
        <w:suppressLineNumbers/>
        <w:suppressAutoHyphens/>
        <w:rPr>
          <w:rFonts w:cs="Times New Roman"/>
          <w:kern w:val="22"/>
          <w:lang w:val="es-ES"/>
        </w:rPr>
      </w:pPr>
    </w:p>
    <w:p w:rsidR="00D31999" w:rsidRDefault="00D31999">
      <w:pPr>
        <w:pStyle w:val="ListParagraph"/>
        <w:keepNext/>
        <w:keepLines/>
        <w:suppressLineNumbers/>
        <w:suppressAutoHyphens/>
        <w:ind w:left="0"/>
        <w:jc w:val="left"/>
        <w:rPr>
          <w:i/>
          <w:iCs/>
          <w:kern w:val="22"/>
          <w:lang w:val="es-ES"/>
        </w:rPr>
      </w:pPr>
      <w:r>
        <w:rPr>
          <w:b/>
          <w:bCs/>
          <w:snapToGrid w:val="0"/>
          <w:kern w:val="22"/>
          <w:lang w:val="es-ES"/>
        </w:rPr>
        <w:t>Cuadro 2</w:t>
      </w:r>
      <w:r>
        <w:rPr>
          <w:b/>
          <w:bCs/>
          <w:snapToGrid w:val="0"/>
          <w:kern w:val="22"/>
          <w:lang w:val="es-ES"/>
        </w:rPr>
        <w:br/>
        <w:t xml:space="preserve">Estado de saldos arrastrados del presupuesto aprobado para 2019-2020 por objeto de gastos </w:t>
      </w:r>
    </w:p>
    <w:p w:rsidR="00D31999" w:rsidRDefault="00D31999">
      <w:pPr>
        <w:pStyle w:val="ListParagraph"/>
        <w:keepNext/>
        <w:keepLines/>
        <w:suppressLineNumbers/>
        <w:suppressAutoHyphens/>
        <w:spacing w:after="120"/>
        <w:ind w:left="0"/>
        <w:jc w:val="left"/>
        <w:rPr>
          <w:i/>
          <w:iCs/>
          <w:snapToGrid w:val="0"/>
          <w:kern w:val="22"/>
          <w:lang w:val="es-ES"/>
        </w:rPr>
      </w:pPr>
      <w:r>
        <w:rPr>
          <w:i/>
          <w:iCs/>
          <w:snapToGrid w:val="0"/>
          <w:kern w:val="22"/>
          <w:lang w:val="es-ES"/>
        </w:rPr>
        <w:t>(En miles de dólares estadounidenses)</w:t>
      </w:r>
    </w:p>
    <w:tbl>
      <w:tblPr>
        <w:tblW w:w="9179" w:type="dxa"/>
        <w:jc w:val="center"/>
        <w:tblLayout w:type="fixed"/>
        <w:tblLook w:val="0000" w:firstRow="0" w:lastRow="0" w:firstColumn="0" w:lastColumn="0" w:noHBand="0" w:noVBand="0"/>
      </w:tblPr>
      <w:tblGrid>
        <w:gridCol w:w="4135"/>
        <w:gridCol w:w="1856"/>
        <w:gridCol w:w="2088"/>
        <w:gridCol w:w="1100"/>
      </w:tblGrid>
      <w:tr w:rsidR="00D31999">
        <w:trPr>
          <w:tblHeader/>
          <w:jc w:val="center"/>
        </w:trPr>
        <w:tc>
          <w:tcPr>
            <w:tcW w:w="4135" w:type="dxa"/>
            <w:tcBorders>
              <w:top w:val="single" w:sz="4" w:space="0" w:color="auto"/>
              <w:left w:val="single" w:sz="4" w:space="0" w:color="auto"/>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Objeto de gastos</w:t>
            </w:r>
          </w:p>
        </w:tc>
        <w:tc>
          <w:tcPr>
            <w:tcW w:w="1856" w:type="dxa"/>
            <w:tcBorders>
              <w:top w:val="single" w:sz="4" w:space="0" w:color="auto"/>
              <w:left w:val="nil"/>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Saldos arrastrados del presupuesto</w:t>
            </w:r>
          </w:p>
        </w:tc>
        <w:tc>
          <w:tcPr>
            <w:tcW w:w="2088" w:type="dxa"/>
            <w:tcBorders>
              <w:top w:val="single" w:sz="4" w:space="0" w:color="auto"/>
              <w:left w:val="nil"/>
              <w:bottom w:val="single" w:sz="4" w:space="0" w:color="auto"/>
              <w:right w:val="single" w:sz="4" w:space="0" w:color="auto"/>
            </w:tcBorders>
            <w:vAlign w:val="center"/>
          </w:tcPr>
          <w:p w:rsidR="00D31999" w:rsidRDefault="00D31999">
            <w:pPr>
              <w:keepNext/>
              <w:keepLines/>
              <w:jc w:val="center"/>
              <w:rPr>
                <w:rFonts w:cs="Times New Roman"/>
                <w:color w:val="000000"/>
                <w:kern w:val="22"/>
                <w:sz w:val="20"/>
                <w:szCs w:val="20"/>
                <w:lang w:val="es-ES" w:eastAsia="zh-CN"/>
              </w:rPr>
            </w:pPr>
            <w:r>
              <w:rPr>
                <w:rFonts w:cs="Times New Roman"/>
                <w:i/>
                <w:iCs/>
                <w:color w:val="000000"/>
                <w:kern w:val="22"/>
                <w:sz w:val="20"/>
                <w:szCs w:val="20"/>
                <w:lang w:val="es-ES" w:eastAsia="zh-CN"/>
              </w:rPr>
              <w:t>Gasto total</w:t>
            </w:r>
          </w:p>
          <w:p w:rsidR="00D31999" w:rsidRDefault="00D31999">
            <w:pPr>
              <w:keepNext/>
              <w:keepLines/>
              <w:jc w:val="center"/>
              <w:rPr>
                <w:rFonts w:cs="Times New Roman"/>
                <w:i/>
                <w:iCs/>
                <w:color w:val="000000"/>
                <w:kern w:val="22"/>
                <w:sz w:val="20"/>
                <w:szCs w:val="20"/>
                <w:lang w:val="es-ES" w:eastAsia="zh-CN"/>
              </w:rPr>
            </w:pPr>
            <w:r>
              <w:rPr>
                <w:rFonts w:cs="Times New Roman"/>
                <w:color w:val="000000"/>
                <w:kern w:val="22"/>
                <w:sz w:val="20"/>
                <w:szCs w:val="20"/>
                <w:lang w:val="es-ES" w:eastAsia="zh-CN"/>
              </w:rPr>
              <w:t>(31-12-2021)</w:t>
            </w:r>
          </w:p>
        </w:tc>
        <w:tc>
          <w:tcPr>
            <w:tcW w:w="1100" w:type="dxa"/>
            <w:tcBorders>
              <w:top w:val="single" w:sz="4" w:space="0" w:color="auto"/>
              <w:left w:val="nil"/>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Diferencia</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A. Gastos de personal</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B. Reuniones de la Mesa</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165,0</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0,0</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165,0</w:t>
            </w:r>
          </w:p>
        </w:tc>
      </w:tr>
      <w:tr w:rsidR="00D31999" w:rsidRPr="00713820">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C. Viajes en comisión de servicio</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D. Consultores/subcontratistas</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rsidRPr="00713820">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E. Materiales de sensibilización del público/Comunicaciones</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F. Personal temporal/horas extraordinarias</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G. Capacitación</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rsidRPr="00713820">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H. Traducción del sitio web del mecanismo de facilitación/proyectos de sitio web</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I. Reuniones</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2842,2</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1364,2</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1478</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J. Reuniones de expertos</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150,0</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0,0</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150,0</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K. Reuniones extraordinarias sobre el período posterior a 2020</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210,0</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210,0</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0,0</w:t>
            </w:r>
          </w:p>
        </w:tc>
      </w:tr>
      <w:tr w:rsidR="00D31999" w:rsidRPr="00713820">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L. Alquiler y gastos relacionados</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rsidRPr="00713820">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M. Gastos generales de funcionamiento</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Subtotal (I)</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3367,2</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1574,2</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1793</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II. Gastos de apoyo a los programas</w:t>
            </w:r>
            <w:r>
              <w:rPr>
                <w:rFonts w:cs="Times New Roman"/>
                <w:lang w:val="es-ES"/>
              </w:rPr>
              <w:t xml:space="preserve"> </w:t>
            </w:r>
            <w:r>
              <w:rPr>
                <w:rFonts w:cs="Times New Roman"/>
                <w:b/>
                <w:bCs/>
                <w:color w:val="000000"/>
                <w:kern w:val="22"/>
                <w:sz w:val="20"/>
                <w:szCs w:val="20"/>
                <w:lang w:val="es-ES" w:eastAsia="zh-CN"/>
              </w:rPr>
              <w:t>(13 %)</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437,7</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204,65</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233,09</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Subtotal (I + II)</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3804,9</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1778,85</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2026,09</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III. Reserva operacional</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18"/>
                <w:szCs w:val="18"/>
                <w:lang w:val="es-ES" w:eastAsia="zh-CN"/>
              </w:rPr>
            </w:pPr>
            <w:r>
              <w:rPr>
                <w:rFonts w:cs="Times New Roman"/>
                <w:color w:val="000000"/>
                <w:kern w:val="22"/>
                <w:sz w:val="18"/>
                <w:szCs w:val="18"/>
                <w:lang w:val="es-ES" w:eastAsia="zh-CN"/>
              </w:rPr>
              <w:t>0,0</w:t>
            </w:r>
          </w:p>
        </w:tc>
      </w:tr>
      <w:tr w:rsidR="00D31999">
        <w:trPr>
          <w:jc w:val="center"/>
        </w:trPr>
        <w:tc>
          <w:tcPr>
            <w:tcW w:w="413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proofErr w:type="gramStart"/>
            <w:r>
              <w:rPr>
                <w:rFonts w:cs="Times New Roman"/>
                <w:b/>
                <w:bCs/>
                <w:color w:val="000000"/>
                <w:kern w:val="22"/>
                <w:sz w:val="20"/>
                <w:szCs w:val="20"/>
                <w:lang w:val="es-ES" w:eastAsia="zh-CN"/>
              </w:rPr>
              <w:t>Total</w:t>
            </w:r>
            <w:proofErr w:type="gramEnd"/>
            <w:r>
              <w:rPr>
                <w:rFonts w:cs="Times New Roman"/>
                <w:b/>
                <w:bCs/>
                <w:color w:val="000000"/>
                <w:kern w:val="22"/>
                <w:sz w:val="20"/>
                <w:szCs w:val="20"/>
                <w:lang w:val="es-ES" w:eastAsia="zh-CN"/>
              </w:rPr>
              <w:t xml:space="preserve"> general (I + II + II)</w:t>
            </w:r>
          </w:p>
        </w:tc>
        <w:tc>
          <w:tcPr>
            <w:tcW w:w="1856"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3804,9</w:t>
            </w:r>
          </w:p>
        </w:tc>
        <w:tc>
          <w:tcPr>
            <w:tcW w:w="2088"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1778,85</w:t>
            </w:r>
          </w:p>
        </w:tc>
        <w:tc>
          <w:tcPr>
            <w:tcW w:w="110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18"/>
                <w:szCs w:val="18"/>
                <w:lang w:val="es-ES" w:eastAsia="zh-CN"/>
              </w:rPr>
            </w:pPr>
            <w:r>
              <w:rPr>
                <w:rFonts w:cs="Times New Roman"/>
                <w:b/>
                <w:bCs/>
                <w:color w:val="000000"/>
                <w:kern w:val="22"/>
                <w:sz w:val="18"/>
                <w:szCs w:val="18"/>
                <w:lang w:val="es-ES" w:eastAsia="zh-CN"/>
              </w:rPr>
              <w:t>2026,09</w:t>
            </w:r>
          </w:p>
        </w:tc>
      </w:tr>
    </w:tbl>
    <w:p w:rsidR="00D31999" w:rsidRDefault="00D31999">
      <w:pPr>
        <w:pStyle w:val="ListParagraph"/>
        <w:keepNext/>
        <w:suppressLineNumbers/>
        <w:suppressAutoHyphens/>
        <w:ind w:left="0"/>
        <w:jc w:val="left"/>
        <w:rPr>
          <w:snapToGrid w:val="0"/>
          <w:kern w:val="22"/>
          <w:lang w:val="es-ES"/>
        </w:rPr>
      </w:pPr>
    </w:p>
    <w:p w:rsidR="00D31999" w:rsidRDefault="00D31999">
      <w:pPr>
        <w:jc w:val="left"/>
        <w:rPr>
          <w:rFonts w:cs="Times New Roman"/>
          <w:snapToGrid w:val="0"/>
          <w:kern w:val="22"/>
          <w:lang w:val="es-ES"/>
        </w:rPr>
      </w:pPr>
    </w:p>
    <w:p w:rsidR="00D31999" w:rsidRDefault="00D31999">
      <w:pPr>
        <w:pStyle w:val="paragraph"/>
        <w:keepNext/>
        <w:keepLines/>
        <w:spacing w:before="0" w:beforeAutospacing="0" w:after="0" w:afterAutospacing="0"/>
        <w:ind w:left="274"/>
        <w:textAlignment w:val="baseline"/>
        <w:rPr>
          <w:kern w:val="22"/>
          <w:sz w:val="22"/>
          <w:szCs w:val="22"/>
          <w:lang w:val="es-ES"/>
        </w:rPr>
      </w:pPr>
      <w:r>
        <w:rPr>
          <w:rStyle w:val="normaltextrun"/>
          <w:b/>
          <w:bCs/>
          <w:kern w:val="22"/>
          <w:sz w:val="22"/>
          <w:szCs w:val="22"/>
          <w:lang w:val="es-ES"/>
        </w:rPr>
        <w:t>Cuadro 3</w:t>
      </w:r>
      <w:r>
        <w:rPr>
          <w:kern w:val="22"/>
          <w:sz w:val="22"/>
          <w:szCs w:val="22"/>
          <w:lang w:val="es-ES"/>
        </w:rPr>
        <w:br/>
      </w:r>
      <w:r>
        <w:rPr>
          <w:rStyle w:val="normaltextrun"/>
          <w:b/>
          <w:bCs/>
          <w:kern w:val="22"/>
          <w:sz w:val="22"/>
          <w:szCs w:val="22"/>
          <w:lang w:val="es-ES"/>
        </w:rPr>
        <w:t>Gastos efectivos y previstos en el presupuesto provisional aprobado para 2021 por objeto de gastos a 31 de diciembre de 2021</w:t>
      </w:r>
    </w:p>
    <w:p w:rsidR="00D31999" w:rsidRDefault="00D31999">
      <w:pPr>
        <w:pStyle w:val="paragraph"/>
        <w:keepNext/>
        <w:keepLines/>
        <w:spacing w:before="0" w:beforeAutospacing="0" w:after="0" w:afterAutospacing="0"/>
        <w:ind w:left="274"/>
        <w:textAlignment w:val="baseline"/>
        <w:rPr>
          <w:rStyle w:val="eop"/>
          <w:kern w:val="22"/>
          <w:sz w:val="22"/>
          <w:szCs w:val="22"/>
          <w:lang w:val="es-ES"/>
        </w:rPr>
      </w:pPr>
      <w:r>
        <w:rPr>
          <w:rStyle w:val="normaltextrun"/>
          <w:i/>
          <w:iCs/>
          <w:kern w:val="22"/>
          <w:sz w:val="22"/>
          <w:szCs w:val="22"/>
          <w:lang w:val="es-ES"/>
        </w:rPr>
        <w:t>(En miles de dólares estadounidenses)</w:t>
      </w:r>
    </w:p>
    <w:p w:rsidR="00D31999" w:rsidRDefault="00D31999">
      <w:pPr>
        <w:pStyle w:val="ListParagraph"/>
        <w:keepNext/>
        <w:keepLines/>
        <w:suppressLineNumbers/>
        <w:suppressAutoHyphens/>
        <w:ind w:left="274"/>
        <w:jc w:val="left"/>
        <w:rPr>
          <w:kern w:val="22"/>
          <w:lang w:val="es-ES"/>
        </w:rPr>
      </w:pPr>
    </w:p>
    <w:tbl>
      <w:tblPr>
        <w:tblW w:w="8940" w:type="dxa"/>
        <w:jc w:val="center"/>
        <w:tblLook w:val="0000" w:firstRow="0" w:lastRow="0" w:firstColumn="0" w:lastColumn="0" w:noHBand="0" w:noVBand="0"/>
      </w:tblPr>
      <w:tblGrid>
        <w:gridCol w:w="4045"/>
        <w:gridCol w:w="1455"/>
        <w:gridCol w:w="1720"/>
        <w:gridCol w:w="1720"/>
      </w:tblGrid>
      <w:tr w:rsidR="00D31999">
        <w:trPr>
          <w:jc w:val="center"/>
        </w:trPr>
        <w:tc>
          <w:tcPr>
            <w:tcW w:w="4045" w:type="dxa"/>
            <w:tcBorders>
              <w:top w:val="single" w:sz="4" w:space="0" w:color="auto"/>
              <w:left w:val="single" w:sz="4" w:space="0" w:color="auto"/>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Objeto de gastos</w:t>
            </w:r>
          </w:p>
        </w:tc>
        <w:tc>
          <w:tcPr>
            <w:tcW w:w="1455" w:type="dxa"/>
            <w:tcBorders>
              <w:top w:val="single" w:sz="4" w:space="0" w:color="auto"/>
              <w:left w:val="nil"/>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Presupuesto total aprobado</w:t>
            </w:r>
          </w:p>
        </w:tc>
        <w:tc>
          <w:tcPr>
            <w:tcW w:w="1720" w:type="dxa"/>
            <w:tcBorders>
              <w:top w:val="single" w:sz="4" w:space="0" w:color="auto"/>
              <w:left w:val="nil"/>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proofErr w:type="gramStart"/>
            <w:r>
              <w:rPr>
                <w:rFonts w:cs="Times New Roman"/>
                <w:i/>
                <w:iCs/>
                <w:color w:val="000000"/>
                <w:kern w:val="22"/>
                <w:sz w:val="20"/>
                <w:szCs w:val="20"/>
                <w:lang w:val="es-ES" w:eastAsia="zh-CN"/>
              </w:rPr>
              <w:t>Total</w:t>
            </w:r>
            <w:proofErr w:type="gramEnd"/>
            <w:r>
              <w:rPr>
                <w:rFonts w:cs="Times New Roman"/>
                <w:i/>
                <w:iCs/>
                <w:color w:val="000000"/>
                <w:kern w:val="22"/>
                <w:sz w:val="20"/>
                <w:szCs w:val="20"/>
                <w:lang w:val="es-ES" w:eastAsia="zh-CN"/>
              </w:rPr>
              <w:t xml:space="preserve"> de gastos estimados</w:t>
            </w:r>
          </w:p>
        </w:tc>
        <w:tc>
          <w:tcPr>
            <w:tcW w:w="1720" w:type="dxa"/>
            <w:tcBorders>
              <w:top w:val="single" w:sz="4" w:space="0" w:color="auto"/>
              <w:left w:val="nil"/>
              <w:bottom w:val="single" w:sz="4" w:space="0" w:color="auto"/>
              <w:right w:val="single" w:sz="4" w:space="0" w:color="auto"/>
            </w:tcBorders>
            <w:vAlign w:val="center"/>
          </w:tcPr>
          <w:p w:rsidR="00D31999" w:rsidRDefault="00D31999">
            <w:pPr>
              <w:keepNext/>
              <w:keepLines/>
              <w:jc w:val="center"/>
              <w:rPr>
                <w:rFonts w:cs="Times New Roman"/>
                <w:i/>
                <w:iCs/>
                <w:color w:val="000000"/>
                <w:kern w:val="22"/>
                <w:sz w:val="20"/>
                <w:szCs w:val="20"/>
                <w:lang w:val="es-ES" w:eastAsia="zh-CN"/>
              </w:rPr>
            </w:pPr>
            <w:r>
              <w:rPr>
                <w:rFonts w:cs="Times New Roman"/>
                <w:i/>
                <w:iCs/>
                <w:color w:val="000000"/>
                <w:kern w:val="22"/>
                <w:sz w:val="20"/>
                <w:szCs w:val="20"/>
                <w:lang w:val="es-ES" w:eastAsia="zh-CN"/>
              </w:rPr>
              <w:t>Diferencia</w:t>
            </w: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A. Gastos de personal</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11 936,8</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10 312,6</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1624,2</w:t>
            </w:r>
          </w:p>
        </w:tc>
      </w:tr>
      <w:tr w:rsidR="00D31999" w:rsidRPr="00713820">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B. Reuniones de la Mesa</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ab/>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C. Viajes en comisión de servicio</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275,0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255,0</w:t>
            </w: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D. Consultores/subcontratistas</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50,0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50,0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E. Materiales de sensibilización del público/Comunicaciones</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50,0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50,0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F. Personal temporal/horas extraordinarias</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100,0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100,0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G. Capacitación</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5,0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5,0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H. Traducción del sitio web del mecanismo de facilitación/proyectos de sitio web</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65,0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65,0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I. Reuniones</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271,8</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271,8</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J. Reuniones de expertos</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K. Reuniones extraordinarias sobre el período posterior a 2020</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350,0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350,0</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L. Alquiler y gastos relacionados</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1358,2</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1358,2</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color w:val="000000"/>
                <w:kern w:val="22"/>
                <w:sz w:val="20"/>
                <w:szCs w:val="20"/>
                <w:lang w:val="es-ES" w:eastAsia="zh-CN"/>
              </w:rPr>
            </w:pPr>
            <w:r>
              <w:rPr>
                <w:rFonts w:cs="Times New Roman"/>
                <w:color w:val="000000"/>
                <w:kern w:val="22"/>
                <w:sz w:val="20"/>
                <w:szCs w:val="20"/>
                <w:lang w:val="es-ES" w:eastAsia="zh-CN"/>
              </w:rPr>
              <w:t>M. Gastos generales de funcionamiento</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726,6</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726,6</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Subtotal (I)</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15 188,4</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13 309,2</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1879,2</w:t>
            </w: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II. Gastos de apoyo a los programas</w:t>
            </w:r>
            <w:r>
              <w:rPr>
                <w:rFonts w:cs="Times New Roman"/>
                <w:lang w:val="es-ES"/>
              </w:rPr>
              <w:t xml:space="preserve"> </w:t>
            </w:r>
            <w:r>
              <w:rPr>
                <w:rFonts w:cs="Times New Roman"/>
                <w:b/>
                <w:bCs/>
                <w:color w:val="000000"/>
                <w:kern w:val="22"/>
                <w:sz w:val="20"/>
                <w:szCs w:val="20"/>
                <w:lang w:val="es-ES" w:eastAsia="zh-CN"/>
              </w:rPr>
              <w:t>(13 %)</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1974,5</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1730,2</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color w:val="000000"/>
                <w:kern w:val="22"/>
                <w:sz w:val="20"/>
                <w:szCs w:val="20"/>
                <w:lang w:val="es-ES" w:eastAsia="zh-CN"/>
              </w:rPr>
            </w:pPr>
            <w:r>
              <w:rPr>
                <w:rFonts w:cs="Times New Roman"/>
                <w:color w:val="000000"/>
                <w:kern w:val="22"/>
                <w:sz w:val="20"/>
                <w:szCs w:val="20"/>
                <w:lang w:val="es-ES" w:eastAsia="zh-CN"/>
              </w:rPr>
              <w:t>244,3</w:t>
            </w: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Subtotal (I + II)</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17 162,9</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15 039,4</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2123,5</w:t>
            </w: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r>
              <w:rPr>
                <w:rFonts w:cs="Times New Roman"/>
                <w:b/>
                <w:bCs/>
                <w:color w:val="000000"/>
                <w:kern w:val="22"/>
                <w:sz w:val="20"/>
                <w:szCs w:val="20"/>
                <w:lang w:val="es-ES" w:eastAsia="zh-CN"/>
              </w:rPr>
              <w:t>III. Reserva operacional</w:t>
            </w:r>
          </w:p>
        </w:tc>
        <w:tc>
          <w:tcPr>
            <w:tcW w:w="1455" w:type="dxa"/>
            <w:tcBorders>
              <w:top w:val="nil"/>
              <w:left w:val="nil"/>
              <w:bottom w:val="single" w:sz="4" w:space="0" w:color="auto"/>
              <w:right w:val="single" w:sz="4" w:space="0" w:color="auto"/>
            </w:tcBorders>
          </w:tcPr>
          <w:p w:rsidR="00D31999" w:rsidRDefault="00D31999">
            <w:pPr>
              <w:jc w:val="right"/>
              <w:rPr>
                <w:rFonts w:cs="Times New Roman"/>
                <w:color w:val="000000"/>
                <w:kern w:val="22"/>
                <w:sz w:val="20"/>
                <w:szCs w:val="20"/>
                <w:lang w:val="es-ES" w:eastAsia="zh-CN"/>
              </w:rPr>
            </w:pPr>
          </w:p>
        </w:tc>
        <w:tc>
          <w:tcPr>
            <w:tcW w:w="1720" w:type="dxa"/>
            <w:tcBorders>
              <w:top w:val="nil"/>
              <w:left w:val="nil"/>
              <w:bottom w:val="single" w:sz="4" w:space="0" w:color="auto"/>
              <w:right w:val="single" w:sz="4" w:space="0" w:color="auto"/>
            </w:tcBorders>
          </w:tcPr>
          <w:p w:rsidR="00D31999" w:rsidRDefault="00D31999">
            <w:pPr>
              <w:jc w:val="right"/>
              <w:rPr>
                <w:rFonts w:cs="Times New Roman"/>
                <w:color w:val="000000"/>
                <w:kern w:val="22"/>
                <w:sz w:val="20"/>
                <w:szCs w:val="20"/>
                <w:lang w:val="es-ES" w:eastAsia="zh-CN"/>
              </w:rPr>
            </w:pPr>
          </w:p>
        </w:tc>
        <w:tc>
          <w:tcPr>
            <w:tcW w:w="1720" w:type="dxa"/>
            <w:tcBorders>
              <w:top w:val="nil"/>
              <w:left w:val="nil"/>
              <w:bottom w:val="single" w:sz="4" w:space="0" w:color="auto"/>
              <w:right w:val="single" w:sz="4" w:space="0" w:color="auto"/>
            </w:tcBorders>
          </w:tcPr>
          <w:p w:rsidR="00D31999" w:rsidRDefault="00D31999">
            <w:pPr>
              <w:jc w:val="right"/>
              <w:rPr>
                <w:rFonts w:cs="Times New Roman"/>
                <w:color w:val="000000"/>
                <w:kern w:val="22"/>
                <w:sz w:val="20"/>
                <w:szCs w:val="20"/>
                <w:lang w:val="es-ES" w:eastAsia="zh-CN"/>
              </w:rPr>
            </w:pPr>
          </w:p>
        </w:tc>
      </w:tr>
      <w:tr w:rsidR="00D31999">
        <w:trPr>
          <w:jc w:val="center"/>
        </w:trPr>
        <w:tc>
          <w:tcPr>
            <w:tcW w:w="4045" w:type="dxa"/>
            <w:tcBorders>
              <w:top w:val="nil"/>
              <w:left w:val="single" w:sz="4" w:space="0" w:color="auto"/>
              <w:bottom w:val="single" w:sz="4" w:space="0" w:color="auto"/>
              <w:right w:val="single" w:sz="4" w:space="0" w:color="auto"/>
            </w:tcBorders>
            <w:vAlign w:val="center"/>
          </w:tcPr>
          <w:p w:rsidR="00D31999" w:rsidRDefault="00D31999">
            <w:pPr>
              <w:jc w:val="left"/>
              <w:rPr>
                <w:rFonts w:cs="Times New Roman"/>
                <w:b/>
                <w:bCs/>
                <w:color w:val="000000"/>
                <w:kern w:val="22"/>
                <w:sz w:val="20"/>
                <w:szCs w:val="20"/>
                <w:lang w:val="es-ES" w:eastAsia="zh-CN"/>
              </w:rPr>
            </w:pPr>
            <w:proofErr w:type="gramStart"/>
            <w:r>
              <w:rPr>
                <w:rFonts w:cs="Times New Roman"/>
                <w:b/>
                <w:bCs/>
                <w:color w:val="000000"/>
                <w:kern w:val="22"/>
                <w:sz w:val="20"/>
                <w:szCs w:val="20"/>
                <w:lang w:val="es-ES" w:eastAsia="zh-CN"/>
              </w:rPr>
              <w:t>Total</w:t>
            </w:r>
            <w:proofErr w:type="gramEnd"/>
            <w:r>
              <w:rPr>
                <w:rFonts w:cs="Times New Roman"/>
                <w:b/>
                <w:bCs/>
                <w:color w:val="000000"/>
                <w:kern w:val="22"/>
                <w:sz w:val="20"/>
                <w:szCs w:val="20"/>
                <w:lang w:val="es-ES" w:eastAsia="zh-CN"/>
              </w:rPr>
              <w:t xml:space="preserve"> general (I + II + II)</w:t>
            </w:r>
          </w:p>
        </w:tc>
        <w:tc>
          <w:tcPr>
            <w:tcW w:w="1455"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17 162,9</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15 039,4</w:t>
            </w:r>
          </w:p>
        </w:tc>
        <w:tc>
          <w:tcPr>
            <w:tcW w:w="1720" w:type="dxa"/>
            <w:tcBorders>
              <w:top w:val="nil"/>
              <w:left w:val="nil"/>
              <w:bottom w:val="single" w:sz="4" w:space="0" w:color="auto"/>
              <w:right w:val="single" w:sz="4" w:space="0" w:color="auto"/>
            </w:tcBorders>
            <w:vAlign w:val="center"/>
          </w:tcPr>
          <w:p w:rsidR="00D31999" w:rsidRDefault="00D31999">
            <w:pPr>
              <w:jc w:val="right"/>
              <w:rPr>
                <w:rFonts w:cs="Times New Roman"/>
                <w:b/>
                <w:bCs/>
                <w:color w:val="000000"/>
                <w:kern w:val="22"/>
                <w:sz w:val="20"/>
                <w:szCs w:val="20"/>
                <w:lang w:val="es-ES" w:eastAsia="zh-CN"/>
              </w:rPr>
            </w:pPr>
            <w:r>
              <w:rPr>
                <w:rFonts w:cs="Times New Roman"/>
                <w:b/>
                <w:bCs/>
                <w:color w:val="000000"/>
                <w:kern w:val="22"/>
                <w:sz w:val="20"/>
                <w:szCs w:val="20"/>
                <w:lang w:val="es-ES" w:eastAsia="zh-CN"/>
              </w:rPr>
              <w:t>2123,5</w:t>
            </w:r>
          </w:p>
        </w:tc>
      </w:tr>
    </w:tbl>
    <w:p w:rsidR="00D31999" w:rsidRDefault="00D31999">
      <w:pPr>
        <w:pStyle w:val="ListParagraph"/>
        <w:suppressLineNumbers/>
        <w:suppressAutoHyphens/>
        <w:ind w:left="0"/>
        <w:rPr>
          <w:kern w:val="22"/>
          <w:lang w:val="es-ES"/>
        </w:rPr>
      </w:pPr>
    </w:p>
    <w:p w:rsidR="00D31999" w:rsidRDefault="00D31999">
      <w:pPr>
        <w:pStyle w:val="ListParagraph"/>
        <w:keepNext/>
        <w:numPr>
          <w:ilvl w:val="0"/>
          <w:numId w:val="4"/>
        </w:numPr>
        <w:suppressLineNumbers/>
        <w:tabs>
          <w:tab w:val="left" w:pos="426"/>
        </w:tabs>
        <w:suppressAutoHyphens/>
        <w:spacing w:after="120"/>
        <w:ind w:left="0" w:firstLine="0"/>
        <w:jc w:val="center"/>
        <w:rPr>
          <w:rFonts w:eastAsia="Malgun Gothic"/>
          <w:b/>
          <w:bCs/>
          <w:color w:val="000000"/>
          <w:kern w:val="22"/>
          <w:lang w:val="es-ES"/>
        </w:rPr>
      </w:pPr>
      <w:r>
        <w:rPr>
          <w:rFonts w:eastAsia="Malgun Gothic"/>
          <w:b/>
          <w:bCs/>
          <w:color w:val="000000"/>
          <w:kern w:val="22"/>
          <w:lang w:val="es-ES"/>
        </w:rPr>
        <w:t>Reservas operacionales a 31 de diciembre de 2021</w:t>
      </w:r>
    </w:p>
    <w:p w:rsidR="00D31999" w:rsidRDefault="00D31999">
      <w:pPr>
        <w:pStyle w:val="ListParagraph"/>
        <w:numPr>
          <w:ilvl w:val="0"/>
          <w:numId w:val="2"/>
        </w:numPr>
        <w:suppressLineNumbers/>
        <w:suppressAutoHyphens/>
        <w:spacing w:before="120" w:after="120"/>
        <w:ind w:left="0" w:firstLine="0"/>
        <w:rPr>
          <w:spacing w:val="-2"/>
          <w:kern w:val="22"/>
          <w:lang w:val="es-ES"/>
        </w:rPr>
      </w:pPr>
      <w:r>
        <w:rPr>
          <w:spacing w:val="-2"/>
          <w:kern w:val="22"/>
          <w:lang w:val="es-ES"/>
        </w:rPr>
        <w:t xml:space="preserve">La reserva operacional se calcula cada bienio de manera acumulativa, de modo que el total de </w:t>
      </w:r>
      <w:proofErr w:type="gramStart"/>
      <w:r>
        <w:rPr>
          <w:spacing w:val="-2"/>
          <w:kern w:val="22"/>
          <w:lang w:val="es-ES"/>
        </w:rPr>
        <w:t>la misma</w:t>
      </w:r>
      <w:proofErr w:type="gramEnd"/>
      <w:r>
        <w:rPr>
          <w:spacing w:val="-2"/>
          <w:kern w:val="22"/>
          <w:lang w:val="es-ES"/>
        </w:rPr>
        <w:t xml:space="preserve"> sea el equivalente al 15 % de los gastos anuales estimados, incluidos los gastos de apoyo a los programas. El nivel de la reserva operacional aumentó del 7,5 % al 15 % con respecto al bienio 2019</w:t>
      </w:r>
      <w:r>
        <w:rPr>
          <w:spacing w:val="-2"/>
          <w:kern w:val="22"/>
          <w:lang w:val="es-ES"/>
        </w:rPr>
        <w:noBreakHyphen/>
        <w:t>2020, de conformidad con la recomendación de la Oficina de Servicios de Supervisión Interna y de acuerdo con el párrafo 4 de la decisión 14/37 de la Conferencia de las Partes. La finalidad de la reserva operacional es garantizar la continuidad de las operaciones de la Secretaría del Convenio en caso de que se produzca un déficit temporal de caja. Los fondos retirados de la reserva operacional se reponen con cargo a las contribuciones lo antes posible.</w:t>
      </w:r>
    </w:p>
    <w:p w:rsidR="00D31999" w:rsidRDefault="00D31999">
      <w:pPr>
        <w:keepNext/>
        <w:keepLines/>
        <w:suppressLineNumbers/>
        <w:suppressAutoHyphens/>
        <w:spacing w:before="120"/>
        <w:jc w:val="left"/>
        <w:rPr>
          <w:rFonts w:cs="Times New Roman"/>
          <w:b/>
          <w:bCs/>
          <w:snapToGrid w:val="0"/>
          <w:kern w:val="22"/>
          <w:lang w:val="es-ES"/>
        </w:rPr>
      </w:pPr>
      <w:r>
        <w:rPr>
          <w:rFonts w:cs="Times New Roman"/>
          <w:b/>
          <w:bCs/>
          <w:snapToGrid w:val="0"/>
          <w:kern w:val="22"/>
          <w:lang w:val="es-ES"/>
        </w:rPr>
        <w:t>Cuadro 3</w:t>
      </w:r>
      <w:r>
        <w:rPr>
          <w:rFonts w:cs="Times New Roman"/>
          <w:b/>
          <w:bCs/>
          <w:snapToGrid w:val="0"/>
          <w:kern w:val="22"/>
          <w:lang w:val="es-ES"/>
        </w:rPr>
        <w:br/>
        <w:t>Reservas operacionales a 31 de diciembre de 2021</w:t>
      </w:r>
    </w:p>
    <w:p w:rsidR="00D31999" w:rsidRDefault="00D31999">
      <w:pPr>
        <w:keepNext/>
        <w:keepLines/>
        <w:suppressLineNumbers/>
        <w:suppressAutoHyphens/>
        <w:spacing w:after="120"/>
        <w:jc w:val="left"/>
        <w:rPr>
          <w:rFonts w:cs="Times New Roman"/>
          <w:i/>
          <w:iCs/>
          <w:kern w:val="22"/>
          <w:lang w:val="es-ES"/>
        </w:rPr>
      </w:pPr>
      <w:r>
        <w:rPr>
          <w:rFonts w:cs="Times New Roman"/>
          <w:i/>
          <w:iCs/>
          <w:kern w:val="22"/>
          <w:lang w:val="es-ES"/>
        </w:rPr>
        <w:t>(</w:t>
      </w:r>
      <w:r>
        <w:rPr>
          <w:rStyle w:val="normaltextrun"/>
          <w:i/>
          <w:iCs/>
          <w:kern w:val="22"/>
          <w:lang w:val="es-ES"/>
        </w:rPr>
        <w:t>En miles de dólares estadounidenses</w:t>
      </w:r>
      <w:r>
        <w:rPr>
          <w:rFonts w:cs="Times New Roman"/>
          <w:i/>
          <w:iCs/>
          <w:kern w:val="22"/>
          <w:lang w:val="es-ES"/>
        </w:rPr>
        <w:t>)</w:t>
      </w:r>
    </w:p>
    <w:tbl>
      <w:tblPr>
        <w:tblW w:w="9265" w:type="dxa"/>
        <w:jc w:val="center"/>
        <w:tblLayout w:type="fixed"/>
        <w:tblLook w:val="0000" w:firstRow="0" w:lastRow="0" w:firstColumn="0" w:lastColumn="0" w:noHBand="0" w:noVBand="0"/>
      </w:tblPr>
      <w:tblGrid>
        <w:gridCol w:w="3049"/>
        <w:gridCol w:w="979"/>
        <w:gridCol w:w="980"/>
        <w:gridCol w:w="980"/>
        <w:gridCol w:w="980"/>
        <w:gridCol w:w="1095"/>
        <w:gridCol w:w="1202"/>
      </w:tblGrid>
      <w:tr w:rsidR="00D31999">
        <w:trPr>
          <w:cantSplit/>
          <w:jc w:val="center"/>
        </w:trPr>
        <w:tc>
          <w:tcPr>
            <w:tcW w:w="3049" w:type="dxa"/>
            <w:tcBorders>
              <w:top w:val="single" w:sz="4" w:space="0" w:color="auto"/>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Fondo fiduciario</w:t>
            </w:r>
          </w:p>
        </w:tc>
        <w:tc>
          <w:tcPr>
            <w:tcW w:w="979" w:type="dxa"/>
            <w:tcBorders>
              <w:top w:val="single" w:sz="4" w:space="0" w:color="auto"/>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2003-14</w:t>
            </w:r>
          </w:p>
        </w:tc>
        <w:tc>
          <w:tcPr>
            <w:tcW w:w="980" w:type="dxa"/>
            <w:tcBorders>
              <w:top w:val="single" w:sz="4" w:space="0" w:color="auto"/>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2015-16</w:t>
            </w:r>
          </w:p>
        </w:tc>
        <w:tc>
          <w:tcPr>
            <w:tcW w:w="980" w:type="dxa"/>
            <w:tcBorders>
              <w:top w:val="single" w:sz="4" w:space="0" w:color="auto"/>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2017-18</w:t>
            </w:r>
          </w:p>
        </w:tc>
        <w:tc>
          <w:tcPr>
            <w:tcW w:w="980" w:type="dxa"/>
            <w:tcBorders>
              <w:top w:val="single" w:sz="4" w:space="0" w:color="auto"/>
              <w:left w:val="single" w:sz="4" w:space="0" w:color="auto"/>
              <w:bottom w:val="single" w:sz="4" w:space="0" w:color="000000"/>
              <w:right w:val="single" w:sz="4" w:space="0" w:color="auto"/>
            </w:tcBorders>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2019-20</w:t>
            </w:r>
          </w:p>
        </w:tc>
        <w:tc>
          <w:tcPr>
            <w:tcW w:w="1095" w:type="dxa"/>
            <w:tcBorders>
              <w:top w:val="single" w:sz="4" w:space="0" w:color="auto"/>
              <w:left w:val="single" w:sz="4" w:space="0" w:color="auto"/>
              <w:bottom w:val="single" w:sz="4" w:space="0" w:color="auto"/>
              <w:right w:val="single" w:sz="4" w:space="0" w:color="auto"/>
            </w:tcBorders>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2021</w:t>
            </w:r>
          </w:p>
        </w:tc>
        <w:tc>
          <w:tcPr>
            <w:tcW w:w="1202" w:type="dxa"/>
            <w:tcBorders>
              <w:top w:val="single" w:sz="4" w:space="0" w:color="auto"/>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center"/>
              <w:rPr>
                <w:rFonts w:cs="Times New Roman"/>
                <w:i/>
                <w:iCs/>
                <w:color w:val="000000"/>
                <w:kern w:val="22"/>
                <w:lang w:val="es-ES" w:eastAsia="en-CA"/>
              </w:rPr>
            </w:pPr>
            <w:r>
              <w:rPr>
                <w:rFonts w:cs="Times New Roman"/>
                <w:i/>
                <w:iCs/>
                <w:color w:val="000000"/>
                <w:kern w:val="22"/>
                <w:lang w:val="es-ES" w:eastAsia="en-CA"/>
              </w:rPr>
              <w:t>Total</w:t>
            </w:r>
          </w:p>
        </w:tc>
      </w:tr>
      <w:tr w:rsidR="00D31999">
        <w:trPr>
          <w:cantSplit/>
          <w:jc w:val="center"/>
        </w:trPr>
        <w:tc>
          <w:tcPr>
            <w:tcW w:w="3049" w:type="dxa"/>
            <w:tcBorders>
              <w:top w:val="nil"/>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left"/>
              <w:rPr>
                <w:rFonts w:cs="Times New Roman"/>
                <w:color w:val="000000"/>
                <w:kern w:val="22"/>
                <w:lang w:val="es-ES" w:eastAsia="en-CA"/>
              </w:rPr>
            </w:pPr>
            <w:r>
              <w:rPr>
                <w:rFonts w:cs="Times New Roman"/>
                <w:color w:val="000000"/>
                <w:kern w:val="22"/>
                <w:lang w:val="es-ES" w:eastAsia="en-CA"/>
              </w:rPr>
              <w:t>Fondo fiduciario BY</w:t>
            </w:r>
          </w:p>
        </w:tc>
        <w:tc>
          <w:tcPr>
            <w:tcW w:w="979" w:type="dxa"/>
            <w:tcBorders>
              <w:top w:val="nil"/>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1324,4</w:t>
            </w:r>
          </w:p>
        </w:tc>
        <w:tc>
          <w:tcPr>
            <w:tcW w:w="980" w:type="dxa"/>
            <w:tcBorders>
              <w:top w:val="nil"/>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765,1</w:t>
            </w:r>
          </w:p>
        </w:tc>
        <w:tc>
          <w:tcPr>
            <w:tcW w:w="980" w:type="dxa"/>
            <w:tcBorders>
              <w:top w:val="nil"/>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93,3</w:t>
            </w:r>
          </w:p>
        </w:tc>
        <w:tc>
          <w:tcPr>
            <w:tcW w:w="980" w:type="dxa"/>
            <w:tcBorders>
              <w:top w:val="nil"/>
              <w:left w:val="single" w:sz="4" w:space="0" w:color="auto"/>
              <w:bottom w:val="single" w:sz="4" w:space="0" w:color="000000"/>
              <w:right w:val="single" w:sz="4" w:space="0" w:color="auto"/>
            </w:tcBorders>
          </w:tcPr>
          <w:p w:rsidR="00D31999" w:rsidRDefault="00D31999">
            <w:pPr>
              <w:keepNext/>
              <w:keepLines/>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138,6</w:t>
            </w:r>
          </w:p>
        </w:tc>
        <w:tc>
          <w:tcPr>
            <w:tcW w:w="1095" w:type="dxa"/>
            <w:tcBorders>
              <w:top w:val="single" w:sz="4" w:space="0" w:color="auto"/>
              <w:left w:val="single" w:sz="4" w:space="0" w:color="auto"/>
              <w:bottom w:val="single" w:sz="4" w:space="0" w:color="auto"/>
              <w:right w:val="single" w:sz="4" w:space="0" w:color="auto"/>
            </w:tcBorders>
          </w:tcPr>
          <w:p w:rsidR="00D31999" w:rsidRDefault="00D31999">
            <w:pPr>
              <w:keepNext/>
              <w:keepLines/>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(288,8)</w:t>
            </w:r>
          </w:p>
        </w:tc>
        <w:tc>
          <w:tcPr>
            <w:tcW w:w="1202" w:type="dxa"/>
            <w:tcBorders>
              <w:top w:val="single" w:sz="4" w:space="0" w:color="auto"/>
              <w:left w:val="single" w:sz="4" w:space="0" w:color="auto"/>
              <w:bottom w:val="single" w:sz="4" w:space="0" w:color="auto"/>
              <w:right w:val="single" w:sz="4" w:space="0" w:color="auto"/>
            </w:tcBorders>
            <w:noWrap/>
          </w:tcPr>
          <w:p w:rsidR="00D31999" w:rsidRDefault="00D31999">
            <w:pPr>
              <w:keepNext/>
              <w:keepLines/>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2032,7</w:t>
            </w:r>
          </w:p>
        </w:tc>
      </w:tr>
      <w:tr w:rsidR="00D31999">
        <w:trPr>
          <w:cantSplit/>
          <w:jc w:val="center"/>
        </w:trPr>
        <w:tc>
          <w:tcPr>
            <w:tcW w:w="3049"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left"/>
              <w:rPr>
                <w:rFonts w:cs="Times New Roman"/>
                <w:color w:val="000000"/>
                <w:kern w:val="22"/>
                <w:lang w:val="es-ES" w:eastAsia="en-CA"/>
              </w:rPr>
            </w:pPr>
            <w:r>
              <w:rPr>
                <w:rFonts w:cs="Times New Roman"/>
                <w:color w:val="000000"/>
                <w:kern w:val="22"/>
                <w:lang w:val="es-ES" w:eastAsia="en-CA"/>
              </w:rPr>
              <w:t>Fondo fiduciario BG</w:t>
            </w:r>
          </w:p>
        </w:tc>
        <w:tc>
          <w:tcPr>
            <w:tcW w:w="979"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293,8</w:t>
            </w: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175,5</w:t>
            </w: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19,7</w:t>
            </w:r>
          </w:p>
        </w:tc>
        <w:tc>
          <w:tcPr>
            <w:tcW w:w="980" w:type="dxa"/>
            <w:tcBorders>
              <w:top w:val="nil"/>
              <w:left w:val="single" w:sz="4" w:space="0" w:color="auto"/>
              <w:bottom w:val="single" w:sz="4" w:space="0" w:color="000000"/>
              <w:right w:val="single" w:sz="4" w:space="0" w:color="auto"/>
            </w:tcBorders>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28,1</w:t>
            </w:r>
          </w:p>
        </w:tc>
        <w:tc>
          <w:tcPr>
            <w:tcW w:w="1095" w:type="dxa"/>
            <w:tcBorders>
              <w:top w:val="single" w:sz="4" w:space="0" w:color="auto"/>
              <w:left w:val="single" w:sz="4" w:space="0" w:color="auto"/>
              <w:bottom w:val="single" w:sz="4" w:space="0" w:color="auto"/>
              <w:right w:val="single" w:sz="4" w:space="0" w:color="auto"/>
            </w:tcBorders>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(58,54)</w:t>
            </w:r>
          </w:p>
        </w:tc>
        <w:tc>
          <w:tcPr>
            <w:tcW w:w="1202" w:type="dxa"/>
            <w:tcBorders>
              <w:top w:val="single" w:sz="4" w:space="0" w:color="auto"/>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458,5</w:t>
            </w:r>
          </w:p>
        </w:tc>
      </w:tr>
      <w:tr w:rsidR="00D31999">
        <w:trPr>
          <w:cantSplit/>
          <w:jc w:val="center"/>
        </w:trPr>
        <w:tc>
          <w:tcPr>
            <w:tcW w:w="3049"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left"/>
              <w:rPr>
                <w:rFonts w:cs="Times New Roman"/>
                <w:color w:val="000000"/>
                <w:kern w:val="22"/>
                <w:lang w:val="es-ES" w:eastAsia="en-CA"/>
              </w:rPr>
            </w:pPr>
            <w:r>
              <w:rPr>
                <w:rFonts w:cs="Times New Roman"/>
                <w:color w:val="000000"/>
                <w:kern w:val="22"/>
                <w:lang w:val="es-ES" w:eastAsia="en-CA"/>
              </w:rPr>
              <w:t>Fondo fiduciario BB</w:t>
            </w:r>
          </w:p>
        </w:tc>
        <w:tc>
          <w:tcPr>
            <w:tcW w:w="979"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color w:val="000000"/>
                <w:kern w:val="22"/>
                <w:lang w:val="es-ES" w:eastAsia="en-CA"/>
              </w:rPr>
            </w:pP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95,5</w:t>
            </w: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9,8</w:t>
            </w:r>
          </w:p>
        </w:tc>
        <w:tc>
          <w:tcPr>
            <w:tcW w:w="980" w:type="dxa"/>
            <w:tcBorders>
              <w:top w:val="nil"/>
              <w:left w:val="single" w:sz="4" w:space="0" w:color="auto"/>
              <w:bottom w:val="single" w:sz="4" w:space="0" w:color="000000"/>
              <w:right w:val="single" w:sz="4" w:space="0" w:color="auto"/>
            </w:tcBorders>
          </w:tcPr>
          <w:p w:rsidR="00D31999" w:rsidRDefault="00D31999">
            <w:pPr>
              <w:suppressLineNumbers/>
              <w:suppressAutoHyphens/>
              <w:spacing w:before="40" w:after="40"/>
              <w:jc w:val="right"/>
              <w:rPr>
                <w:rFonts w:cs="Times New Roman"/>
                <w:color w:val="000000"/>
                <w:kern w:val="22"/>
                <w:lang w:val="es-ES" w:eastAsia="en-CA"/>
              </w:rPr>
            </w:pPr>
            <w:r>
              <w:rPr>
                <w:rFonts w:cs="Times New Roman"/>
                <w:color w:val="000000"/>
                <w:kern w:val="22"/>
                <w:lang w:val="es-ES" w:eastAsia="en-CA"/>
              </w:rPr>
              <w:t>20,6</w:t>
            </w:r>
          </w:p>
        </w:tc>
        <w:tc>
          <w:tcPr>
            <w:tcW w:w="1095" w:type="dxa"/>
            <w:tcBorders>
              <w:top w:val="single" w:sz="4" w:space="0" w:color="auto"/>
              <w:left w:val="single" w:sz="4" w:space="0" w:color="auto"/>
              <w:bottom w:val="single" w:sz="4" w:space="0" w:color="auto"/>
              <w:right w:val="single" w:sz="4" w:space="0" w:color="auto"/>
            </w:tcBorders>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(42,93)</w:t>
            </w:r>
          </w:p>
        </w:tc>
        <w:tc>
          <w:tcPr>
            <w:tcW w:w="1202" w:type="dxa"/>
            <w:tcBorders>
              <w:top w:val="single" w:sz="4" w:space="0" w:color="auto"/>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83,2</w:t>
            </w:r>
          </w:p>
        </w:tc>
      </w:tr>
      <w:tr w:rsidR="00D31999">
        <w:trPr>
          <w:cantSplit/>
          <w:jc w:val="center"/>
        </w:trPr>
        <w:tc>
          <w:tcPr>
            <w:tcW w:w="3049"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left"/>
              <w:rPr>
                <w:rFonts w:cs="Times New Roman"/>
                <w:b/>
                <w:bCs/>
                <w:color w:val="000000"/>
                <w:kern w:val="22"/>
                <w:lang w:val="es-ES" w:eastAsia="en-CA"/>
              </w:rPr>
            </w:pPr>
            <w:r>
              <w:rPr>
                <w:rFonts w:cs="Times New Roman"/>
                <w:b/>
                <w:bCs/>
                <w:color w:val="000000"/>
                <w:kern w:val="22"/>
                <w:lang w:val="es-ES" w:eastAsia="en-CA"/>
              </w:rPr>
              <w:t>Total</w:t>
            </w:r>
          </w:p>
        </w:tc>
        <w:tc>
          <w:tcPr>
            <w:tcW w:w="979"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1618,2</w:t>
            </w: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1036,1</w:t>
            </w: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122,8</w:t>
            </w:r>
          </w:p>
        </w:tc>
        <w:tc>
          <w:tcPr>
            <w:tcW w:w="980" w:type="dxa"/>
            <w:tcBorders>
              <w:top w:val="nil"/>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187,3</w:t>
            </w:r>
          </w:p>
        </w:tc>
        <w:tc>
          <w:tcPr>
            <w:tcW w:w="1095" w:type="dxa"/>
            <w:tcBorders>
              <w:top w:val="single" w:sz="4" w:space="0" w:color="auto"/>
              <w:left w:val="single" w:sz="4" w:space="0" w:color="auto"/>
              <w:bottom w:val="single" w:sz="4" w:space="0" w:color="auto"/>
              <w:right w:val="single" w:sz="4" w:space="0" w:color="auto"/>
            </w:tcBorders>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(390,27)</w:t>
            </w:r>
          </w:p>
        </w:tc>
        <w:tc>
          <w:tcPr>
            <w:tcW w:w="1202" w:type="dxa"/>
            <w:tcBorders>
              <w:top w:val="single" w:sz="4" w:space="0" w:color="auto"/>
              <w:left w:val="single" w:sz="4" w:space="0" w:color="auto"/>
              <w:bottom w:val="single" w:sz="4" w:space="0" w:color="auto"/>
              <w:right w:val="single" w:sz="4" w:space="0" w:color="auto"/>
            </w:tcBorders>
            <w:noWrap/>
          </w:tcPr>
          <w:p w:rsidR="00D31999" w:rsidRDefault="00D31999">
            <w:pPr>
              <w:suppressLineNumbers/>
              <w:suppressAutoHyphens/>
              <w:spacing w:before="40" w:after="40"/>
              <w:jc w:val="right"/>
              <w:rPr>
                <w:rFonts w:cs="Times New Roman"/>
                <w:b/>
                <w:bCs/>
                <w:color w:val="000000"/>
                <w:kern w:val="22"/>
                <w:lang w:val="es-ES" w:eastAsia="en-CA"/>
              </w:rPr>
            </w:pPr>
            <w:r>
              <w:rPr>
                <w:rFonts w:cs="Times New Roman"/>
                <w:b/>
                <w:bCs/>
                <w:color w:val="000000"/>
                <w:kern w:val="22"/>
                <w:lang w:val="es-ES" w:eastAsia="en-CA"/>
              </w:rPr>
              <w:t>2574,4</w:t>
            </w:r>
          </w:p>
        </w:tc>
      </w:tr>
    </w:tbl>
    <w:p w:rsidR="00D31999" w:rsidRDefault="00D31999">
      <w:pPr>
        <w:pStyle w:val="ListParagraph"/>
        <w:numPr>
          <w:ilvl w:val="0"/>
          <w:numId w:val="2"/>
        </w:numPr>
        <w:suppressLineNumbers/>
        <w:suppressAutoHyphens/>
        <w:spacing w:before="240" w:after="120"/>
        <w:ind w:left="0" w:firstLine="0"/>
        <w:rPr>
          <w:kern w:val="22"/>
          <w:lang w:val="es-ES"/>
        </w:rPr>
      </w:pPr>
      <w:r>
        <w:rPr>
          <w:kern w:val="22"/>
          <w:lang w:val="es-ES"/>
        </w:rPr>
        <w:t>El superávit acumulado (sin incluir la reserva operacional de 2 574 440 dólares estadounidenses) en los tres fondos fiduciarios (BY, BG y BB) se estima en 9,3 millones de dólares estadounidenses a finales de 2021. La previsión se basa en el supuesto de que la Secretaría no reciba ninguna nueva recaudación de cuotas para 2021 y años anteriores.</w:t>
      </w:r>
    </w:p>
    <w:p w:rsidR="00D31999" w:rsidRDefault="00D31999">
      <w:pPr>
        <w:keepNext/>
        <w:keepLines/>
        <w:suppressLineNumbers/>
        <w:suppressAutoHyphens/>
        <w:jc w:val="left"/>
        <w:rPr>
          <w:rFonts w:cs="Times New Roman"/>
          <w:b/>
          <w:bCs/>
          <w:kern w:val="22"/>
          <w:lang w:val="es-ES"/>
        </w:rPr>
      </w:pPr>
      <w:r>
        <w:rPr>
          <w:rFonts w:cs="Times New Roman"/>
          <w:b/>
          <w:bCs/>
          <w:kern w:val="22"/>
          <w:lang w:val="es-ES"/>
        </w:rPr>
        <w:t>Cuadro 4</w:t>
      </w:r>
      <w:r>
        <w:rPr>
          <w:rFonts w:cs="Times New Roman"/>
          <w:b/>
          <w:bCs/>
          <w:kern w:val="22"/>
          <w:lang w:val="es-ES"/>
        </w:rPr>
        <w:br/>
        <w:t>Superávit acumulado previsto (excluyendo la reserva operacional)</w:t>
      </w:r>
    </w:p>
    <w:p w:rsidR="00D31999" w:rsidRDefault="00D31999">
      <w:pPr>
        <w:keepNext/>
        <w:keepLines/>
        <w:suppressLineNumbers/>
        <w:suppressAutoHyphens/>
        <w:spacing w:after="120"/>
        <w:jc w:val="left"/>
        <w:rPr>
          <w:rFonts w:cs="Times New Roman"/>
          <w:i/>
          <w:iCs/>
          <w:kern w:val="22"/>
          <w:lang w:val="es-ES"/>
        </w:rPr>
      </w:pPr>
      <w:r>
        <w:rPr>
          <w:rFonts w:cs="Times New Roman"/>
          <w:i/>
          <w:iCs/>
          <w:kern w:val="22"/>
          <w:lang w:val="es-ES"/>
        </w:rPr>
        <w:t>(En millones de dólares estadounidenses)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725"/>
        <w:gridCol w:w="1725"/>
        <w:gridCol w:w="1725"/>
        <w:gridCol w:w="1726"/>
      </w:tblGrid>
      <w:tr w:rsidR="00D31999">
        <w:trPr>
          <w:jc w:val="center"/>
        </w:trPr>
        <w:tc>
          <w:tcPr>
            <w:tcW w:w="2263" w:type="dxa"/>
          </w:tcPr>
          <w:p w:rsidR="00D31999" w:rsidRDefault="00D31999">
            <w:pPr>
              <w:keepNext/>
              <w:keepLines/>
              <w:suppressLineNumbers/>
              <w:suppressAutoHyphens/>
              <w:jc w:val="center"/>
              <w:rPr>
                <w:rFonts w:cs="Times New Roman"/>
                <w:i/>
                <w:iCs/>
                <w:kern w:val="22"/>
                <w:lang w:val="es-ES"/>
              </w:rPr>
            </w:pPr>
            <w:r>
              <w:rPr>
                <w:rFonts w:cs="Times New Roman"/>
                <w:i/>
                <w:iCs/>
                <w:kern w:val="22"/>
                <w:sz w:val="24"/>
                <w:szCs w:val="24"/>
                <w:lang w:val="es-ES"/>
              </w:rPr>
              <w:t>Fecha</w:t>
            </w:r>
          </w:p>
        </w:tc>
        <w:tc>
          <w:tcPr>
            <w:tcW w:w="1725" w:type="dxa"/>
          </w:tcPr>
          <w:p w:rsidR="00D31999" w:rsidRDefault="00D31999">
            <w:pPr>
              <w:keepNext/>
              <w:keepLines/>
              <w:suppressLineNumbers/>
              <w:suppressAutoHyphens/>
              <w:jc w:val="center"/>
              <w:rPr>
                <w:rFonts w:cs="Times New Roman"/>
                <w:i/>
                <w:iCs/>
                <w:kern w:val="22"/>
                <w:lang w:val="es-ES"/>
              </w:rPr>
            </w:pPr>
            <w:r>
              <w:rPr>
                <w:rFonts w:cs="Times New Roman"/>
                <w:i/>
                <w:iCs/>
                <w:kern w:val="22"/>
                <w:sz w:val="24"/>
                <w:szCs w:val="24"/>
                <w:lang w:val="es-ES"/>
              </w:rPr>
              <w:t>Convenio</w:t>
            </w:r>
          </w:p>
        </w:tc>
        <w:tc>
          <w:tcPr>
            <w:tcW w:w="1725" w:type="dxa"/>
          </w:tcPr>
          <w:p w:rsidR="00D31999" w:rsidRDefault="00D31999">
            <w:pPr>
              <w:keepNext/>
              <w:keepLines/>
              <w:suppressLineNumbers/>
              <w:suppressAutoHyphens/>
              <w:jc w:val="center"/>
              <w:rPr>
                <w:rFonts w:cs="Times New Roman"/>
                <w:i/>
                <w:iCs/>
                <w:kern w:val="22"/>
                <w:lang w:val="es-ES"/>
              </w:rPr>
            </w:pPr>
            <w:r>
              <w:rPr>
                <w:rFonts w:cs="Times New Roman"/>
                <w:i/>
                <w:iCs/>
                <w:kern w:val="22"/>
                <w:sz w:val="24"/>
                <w:szCs w:val="24"/>
                <w:lang w:val="es-ES"/>
              </w:rPr>
              <w:t xml:space="preserve">Protocolo de Cartagena </w:t>
            </w:r>
          </w:p>
        </w:tc>
        <w:tc>
          <w:tcPr>
            <w:tcW w:w="1725" w:type="dxa"/>
          </w:tcPr>
          <w:p w:rsidR="00D31999" w:rsidRDefault="00D31999">
            <w:pPr>
              <w:keepNext/>
              <w:keepLines/>
              <w:suppressLineNumbers/>
              <w:suppressAutoHyphens/>
              <w:jc w:val="center"/>
              <w:rPr>
                <w:rFonts w:cs="Times New Roman"/>
                <w:i/>
                <w:iCs/>
                <w:kern w:val="22"/>
                <w:lang w:val="es-ES"/>
              </w:rPr>
            </w:pPr>
            <w:r>
              <w:rPr>
                <w:rFonts w:cs="Times New Roman"/>
                <w:i/>
                <w:iCs/>
                <w:kern w:val="22"/>
                <w:sz w:val="24"/>
                <w:szCs w:val="24"/>
                <w:lang w:val="es-ES"/>
              </w:rPr>
              <w:t xml:space="preserve">Protocolo de Nagoya </w:t>
            </w:r>
          </w:p>
        </w:tc>
        <w:tc>
          <w:tcPr>
            <w:tcW w:w="1726" w:type="dxa"/>
          </w:tcPr>
          <w:p w:rsidR="00D31999" w:rsidRDefault="00D31999">
            <w:pPr>
              <w:keepNext/>
              <w:keepLines/>
              <w:suppressLineNumbers/>
              <w:suppressAutoHyphens/>
              <w:jc w:val="center"/>
              <w:rPr>
                <w:rFonts w:cs="Times New Roman"/>
                <w:i/>
                <w:iCs/>
                <w:kern w:val="22"/>
                <w:lang w:val="es-ES"/>
              </w:rPr>
            </w:pPr>
            <w:r>
              <w:rPr>
                <w:rFonts w:cs="Times New Roman"/>
                <w:i/>
                <w:iCs/>
                <w:kern w:val="22"/>
                <w:sz w:val="24"/>
                <w:szCs w:val="24"/>
                <w:lang w:val="es-ES"/>
              </w:rPr>
              <w:t>Total</w:t>
            </w:r>
          </w:p>
        </w:tc>
      </w:tr>
      <w:tr w:rsidR="00D31999">
        <w:trPr>
          <w:jc w:val="center"/>
        </w:trPr>
        <w:tc>
          <w:tcPr>
            <w:tcW w:w="2263" w:type="dxa"/>
          </w:tcPr>
          <w:p w:rsidR="00D31999" w:rsidRDefault="00D31999">
            <w:pPr>
              <w:suppressLineNumbers/>
              <w:suppressAutoHyphens/>
              <w:jc w:val="left"/>
              <w:rPr>
                <w:rFonts w:cs="Times New Roman"/>
                <w:kern w:val="22"/>
                <w:lang w:val="es-ES"/>
              </w:rPr>
            </w:pPr>
            <w:r>
              <w:rPr>
                <w:rFonts w:cs="Times New Roman"/>
                <w:kern w:val="22"/>
                <w:sz w:val="24"/>
                <w:szCs w:val="24"/>
                <w:lang w:val="es-ES"/>
              </w:rPr>
              <w:t xml:space="preserve">Reservas </w:t>
            </w:r>
            <w:r w:rsidR="003B56D0">
              <w:rPr>
                <w:rFonts w:cs="Times New Roman"/>
                <w:kern w:val="22"/>
                <w:sz w:val="24"/>
                <w:szCs w:val="24"/>
                <w:lang w:val="es-ES"/>
              </w:rPr>
              <w:t>a 31</w:t>
            </w:r>
            <w:r>
              <w:rPr>
                <w:rFonts w:cs="Times New Roman"/>
                <w:kern w:val="22"/>
                <w:sz w:val="24"/>
                <w:szCs w:val="24"/>
                <w:lang w:val="es-ES"/>
              </w:rPr>
              <w:t> de diciembre de 2021</w:t>
            </w:r>
          </w:p>
        </w:tc>
        <w:tc>
          <w:tcPr>
            <w:tcW w:w="1725" w:type="dxa"/>
            <w:vAlign w:val="center"/>
          </w:tcPr>
          <w:p w:rsidR="00D31999" w:rsidRDefault="00D31999">
            <w:pPr>
              <w:suppressLineNumbers/>
              <w:suppressAutoHyphens/>
              <w:ind w:right="379"/>
              <w:jc w:val="right"/>
              <w:rPr>
                <w:rFonts w:cs="Times New Roman"/>
                <w:kern w:val="22"/>
                <w:highlight w:val="yellow"/>
                <w:lang w:val="es-ES"/>
              </w:rPr>
            </w:pPr>
            <w:r>
              <w:rPr>
                <w:rFonts w:cs="Times New Roman"/>
                <w:kern w:val="22"/>
                <w:sz w:val="24"/>
                <w:szCs w:val="24"/>
                <w:lang w:val="es-ES"/>
              </w:rPr>
              <w:t>6</w:t>
            </w:r>
          </w:p>
        </w:tc>
        <w:tc>
          <w:tcPr>
            <w:tcW w:w="1725" w:type="dxa"/>
            <w:vAlign w:val="center"/>
          </w:tcPr>
          <w:p w:rsidR="00D31999" w:rsidRDefault="00D31999">
            <w:pPr>
              <w:suppressLineNumbers/>
              <w:suppressAutoHyphens/>
              <w:ind w:right="379"/>
              <w:jc w:val="right"/>
              <w:rPr>
                <w:rFonts w:cs="Times New Roman"/>
                <w:kern w:val="22"/>
                <w:lang w:val="es-ES"/>
              </w:rPr>
            </w:pPr>
            <w:r>
              <w:rPr>
                <w:rFonts w:cs="Times New Roman"/>
                <w:kern w:val="22"/>
                <w:sz w:val="24"/>
                <w:szCs w:val="24"/>
                <w:lang w:val="es-ES"/>
              </w:rPr>
              <w:t>2,5</w:t>
            </w:r>
          </w:p>
        </w:tc>
        <w:tc>
          <w:tcPr>
            <w:tcW w:w="1725" w:type="dxa"/>
            <w:vAlign w:val="center"/>
          </w:tcPr>
          <w:p w:rsidR="00D31999" w:rsidRDefault="00D31999">
            <w:pPr>
              <w:suppressLineNumbers/>
              <w:suppressAutoHyphens/>
              <w:ind w:right="379"/>
              <w:jc w:val="right"/>
              <w:rPr>
                <w:rFonts w:cs="Times New Roman"/>
                <w:kern w:val="22"/>
                <w:lang w:val="es-ES"/>
              </w:rPr>
            </w:pPr>
            <w:r>
              <w:rPr>
                <w:rFonts w:cs="Times New Roman"/>
                <w:kern w:val="22"/>
                <w:sz w:val="24"/>
                <w:szCs w:val="24"/>
                <w:lang w:val="es-ES"/>
              </w:rPr>
              <w:t>0,8</w:t>
            </w:r>
          </w:p>
        </w:tc>
        <w:tc>
          <w:tcPr>
            <w:tcW w:w="1726" w:type="dxa"/>
            <w:vAlign w:val="center"/>
          </w:tcPr>
          <w:p w:rsidR="00D31999" w:rsidRDefault="00D31999">
            <w:pPr>
              <w:suppressLineNumbers/>
              <w:suppressAutoHyphens/>
              <w:ind w:right="379"/>
              <w:jc w:val="right"/>
              <w:rPr>
                <w:rFonts w:cs="Times New Roman"/>
                <w:b/>
                <w:bCs/>
                <w:kern w:val="22"/>
                <w:highlight w:val="yellow"/>
                <w:lang w:val="es-ES"/>
              </w:rPr>
            </w:pPr>
            <w:r>
              <w:rPr>
                <w:rFonts w:cs="Times New Roman"/>
                <w:b/>
                <w:bCs/>
                <w:kern w:val="22"/>
                <w:sz w:val="24"/>
                <w:szCs w:val="24"/>
                <w:lang w:val="es-ES"/>
              </w:rPr>
              <w:t>9,3</w:t>
            </w:r>
          </w:p>
        </w:tc>
      </w:tr>
    </w:tbl>
    <w:p w:rsidR="00D31999" w:rsidRDefault="00D31999">
      <w:pPr>
        <w:pStyle w:val="Default"/>
        <w:suppressLineNumbers/>
        <w:suppressAutoHyphens/>
        <w:jc w:val="both"/>
        <w:rPr>
          <w:rFonts w:eastAsia="???"/>
          <w:color w:val="auto"/>
          <w:kern w:val="22"/>
          <w:sz w:val="22"/>
          <w:szCs w:val="22"/>
          <w:lang w:val="es-ES"/>
        </w:rPr>
      </w:pPr>
    </w:p>
    <w:p w:rsidR="00D31999" w:rsidRDefault="00D31999">
      <w:pPr>
        <w:pStyle w:val="ListParagraph"/>
        <w:keepNext/>
        <w:numPr>
          <w:ilvl w:val="0"/>
          <w:numId w:val="3"/>
        </w:numPr>
        <w:suppressLineNumbers/>
        <w:suppressAutoHyphens/>
        <w:spacing w:before="120" w:after="120"/>
        <w:ind w:left="1152" w:hanging="432"/>
        <w:jc w:val="left"/>
        <w:outlineLvl w:val="0"/>
        <w:rPr>
          <w:rFonts w:ascii="Times New Roman Bold" w:eastAsia="Malgun Gothic" w:hAnsi="Times New Roman Bold"/>
          <w:b/>
          <w:bCs/>
          <w:caps/>
          <w:color w:val="000000"/>
          <w:kern w:val="22"/>
          <w:lang w:val="es-ES"/>
        </w:rPr>
      </w:pPr>
      <w:r>
        <w:rPr>
          <w:rFonts w:ascii="Times New Roman Bold" w:hAnsi="Times New Roman Bold" w:cs="Times New Roman Bold"/>
          <w:b/>
          <w:bCs/>
          <w:caps/>
          <w:kern w:val="22"/>
          <w:lang w:val="es-ES"/>
        </w:rPr>
        <w:t>PrESUPUESTO integrado PROVISIONAL propuesto PARA EL PROGRAMA DE TRABAJO DEL CONVENIO SOBRE LA DIVERSIDAD BIOLÓGICA, EL PROTOCOLO DE Cartagena SOBRE SEGURIDAD DE LA BIOTECNOLOGÍA Y EL PROTOCOLO DE Nagoya SOBRE ACCESO Y PARTICIPACIÓN EN LOS BENEFICIOS PARA 2022</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La Secretaría presenta para la aprobación de las Partes un presupuesto integrado provisional que le permita seguir funcionando durante el año 2022, en espera de que la Conferencia de las Partes apruebe un presupuesto para el bienio 2023-2024 en su 15ª reunión. Las necesidades de recursos para 2022, que se detallan a continuación en los cuadros 5a y 5b, incluyen necesidades de recursos adicionales para convocar la 15ª reunión de la Conferencia de las Partes, la 10ª reunión de la Conferencia de las Partes que actúa como reunión de las Partes en el Protocolo de Cartagena y la 4ª reunión de la Conferencia de las Partes que actúa como reunión de las Partes en el Protocolo de Nagoya, y la continuación de los períodos de sesiones de la 24ª reunión del Órgano Subsidiario de Asesoramiento Científico, Técnico y Tecnológico, la 3ª reunión del Órgano Subsidiario sobre la Aplicación y una nueva reunión del Grupo de trabajo de composición abierta sobre el marco mundial de la diversidad biológica posterior a 2020. Las necesidades de recursos se estiman con los factores y los supuestos descritos a continuación.</w:t>
      </w:r>
    </w:p>
    <w:p w:rsidR="00D31999" w:rsidRDefault="00D31999">
      <w:pPr>
        <w:pStyle w:val="Style1"/>
        <w:suppressLineNumbers/>
        <w:suppressAutoHyphens/>
        <w:rPr>
          <w:i w:val="0"/>
          <w:iCs w:val="0"/>
          <w:kern w:val="22"/>
          <w:lang w:val="es-ES"/>
        </w:rPr>
      </w:pPr>
      <w:r>
        <w:rPr>
          <w:i w:val="0"/>
          <w:iCs w:val="0"/>
          <w:kern w:val="22"/>
          <w:lang w:val="es-ES"/>
        </w:rPr>
        <w:t>Principales factores y supuestos utilizados para estimar las necesidades de recursos para 2022</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Las necesidades de recursos para el presupuesto provisional de 2022 se basan en el supuesto de que la Conferencia de las Partes en su 15ª reunión, en 2022, y las reuniones conexas de las Partes en los Protocolos aprueben un programa de trabajo basado en los resultados y un presupuesto integrados para el bienio 2023-2024 (o por un período por determinar).</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Parte de los gastos de la 15ª reunión de la Conferencia de las Partes y las reuniones conexas de las Partes en los Protocolos, los gastos para la continuación de los períodos de sesiones de la 24ª reunión del Órgano Subsidiario de Asesoramiento Científico, Técnico y Tecnológico, la 3ª reunión del Órgano Subsidiario sobre la Aplicación y una nueva reunión del Grupo de trabajo de composición abierta sobre el marco mundial de la diversidad biológica posterior a 2020 se incluyen en el presupuesto provisional ya que el saldo arrastrado aprobado del presupuesto de 2019-2020 es insuficiente para cubrir estos gastos.</w:t>
      </w:r>
    </w:p>
    <w:p w:rsidR="00D31999" w:rsidRDefault="00D31999">
      <w:pPr>
        <w:pStyle w:val="ListParagraph"/>
        <w:numPr>
          <w:ilvl w:val="0"/>
          <w:numId w:val="2"/>
        </w:numPr>
        <w:suppressLineNumbers/>
        <w:suppressAutoHyphens/>
        <w:spacing w:before="120" w:after="120"/>
        <w:ind w:left="0" w:firstLine="0"/>
        <w:rPr>
          <w:rFonts w:eastAsia="???"/>
          <w:kern w:val="22"/>
          <w:lang w:val="es-ES"/>
        </w:rPr>
      </w:pPr>
      <w:r>
        <w:rPr>
          <w:kern w:val="22"/>
          <w:lang w:val="es-ES"/>
        </w:rPr>
        <w:t>El presupuesto provisional propuesto tiene un alcance limitado y solo refleja las necesidades de recursos mínimas necesarias para permitir la continuidad de las operaciones de la Secretaría y sus funciones en 2022.</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Teniendo en cuenta el bajo nivel estimado de reservas en el Fondo Fiduciario para el Protocolo de Nagoya y la necesidad de ser prudentes habida cuenta de la lenta recaudación de cuotas, como se destaca en el párrafo </w:t>
      </w:r>
      <w:r w:rsidR="003B56D0">
        <w:fldChar w:fldCharType="begin"/>
      </w:r>
      <w:r w:rsidR="003B56D0" w:rsidRPr="00713820">
        <w:rPr>
          <w:lang w:val="fr-CA"/>
        </w:rPr>
        <w:instrText xml:space="preserve"> REF _Ref81132639 \r \h  \* MERGEFORMAT </w:instrText>
      </w:r>
      <w:r w:rsidR="003B56D0">
        <w:fldChar w:fldCharType="separate"/>
      </w:r>
      <w:r w:rsidRPr="00713820">
        <w:rPr>
          <w:lang w:val="fr-CA"/>
        </w:rPr>
        <w:t>8</w:t>
      </w:r>
      <w:r w:rsidR="003B56D0">
        <w:fldChar w:fldCharType="end"/>
      </w:r>
      <w:r>
        <w:rPr>
          <w:lang w:val="es-ES"/>
        </w:rPr>
        <w:t xml:space="preserve"> </w:t>
      </w:r>
      <w:r>
        <w:rPr>
          <w:i/>
          <w:iCs/>
          <w:kern w:val="22"/>
          <w:lang w:val="es-ES"/>
        </w:rPr>
        <w:t>supra</w:t>
      </w:r>
      <w:r>
        <w:rPr>
          <w:kern w:val="22"/>
          <w:lang w:val="es-ES"/>
        </w:rPr>
        <w:t>, no se propone la utilización de las reservas para compensar las cuotas de 2022.</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La aprobación de un presupuesto provisional se hará sin perjuicio del presupuesto final que apruebe la Conferencia de las Partes en su 15ª reunión. La Secretaría preparará y presentará un programa de trabajo detallado basado en los resultados y un presupuesto para el período 2023-2024 de conformidad con el párrafo 48 de la decisión 14/37.</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Los gastos estimados en concepto de salarios corresponden a 78 puestos (49 del cuadro orgánico y 29 del cuadro de servicios generales) según la plantilla aprobada por la Conferencia de las Partes en su 14ª reunión (cuadro 6).</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 xml:space="preserve">En el párrafo 2 de la decisión 14/37, la Conferencia de las Partes acordó compartir los gastos de los servicios de secretaría entre el Convenio, el Protocolo de Cartagena sobre Seguridad de la Biotecnología y el Protocolo de Nagoya sobre Acceso y Participación en los Beneficios </w:t>
      </w:r>
      <w:r>
        <w:rPr>
          <w:color w:val="000000"/>
          <w:lang w:val="es-ES"/>
        </w:rPr>
        <w:t xml:space="preserve">a razón de 74%, 15% y 11% para el bienio </w:t>
      </w:r>
      <w:r>
        <w:rPr>
          <w:kern w:val="22"/>
          <w:lang w:val="es-ES"/>
        </w:rPr>
        <w:t>2019-2020. Los mismos porcentajes se utilizarán a efectos del presupuesto provisional para 2022. La Secretaría determinará un nuevo porcentaje para el bienio 2023-2024 para que la Conferencia de las Partes lo examine en su 15ª reunión.</w:t>
      </w:r>
    </w:p>
    <w:p w:rsidR="00D31999" w:rsidRDefault="00D31999">
      <w:pPr>
        <w:keepNext/>
        <w:suppressLineNumbers/>
        <w:suppressAutoHyphens/>
        <w:spacing w:before="120" w:after="120"/>
        <w:jc w:val="left"/>
        <w:rPr>
          <w:rFonts w:cs="Times New Roman"/>
          <w:b/>
          <w:bCs/>
          <w:kern w:val="22"/>
          <w:lang w:val="es-ES"/>
        </w:rPr>
      </w:pPr>
      <w:r>
        <w:rPr>
          <w:rFonts w:cs="Times New Roman"/>
          <w:b/>
          <w:bCs/>
          <w:kern w:val="22"/>
          <w:lang w:val="es-ES"/>
        </w:rPr>
        <w:t>Cuadro 5a</w:t>
      </w:r>
      <w:r>
        <w:rPr>
          <w:rFonts w:cs="Times New Roman"/>
          <w:b/>
          <w:bCs/>
          <w:kern w:val="22"/>
          <w:lang w:val="es-ES"/>
        </w:rPr>
        <w:br/>
        <w:t>Presupuesto provisional integrado propuesto para 2022 (por objeto de gastos)</w:t>
      </w:r>
    </w:p>
    <w:tbl>
      <w:tblPr>
        <w:tblW w:w="9365" w:type="dxa"/>
        <w:jc w:val="center"/>
        <w:tblLook w:val="0000" w:firstRow="0" w:lastRow="0" w:firstColumn="0" w:lastColumn="0" w:noHBand="0" w:noVBand="0"/>
      </w:tblPr>
      <w:tblGrid>
        <w:gridCol w:w="4426"/>
        <w:gridCol w:w="2636"/>
        <w:gridCol w:w="2303"/>
      </w:tblGrid>
      <w:tr w:rsidR="00D31999">
        <w:trPr>
          <w:tblHeader/>
          <w:jc w:val="center"/>
        </w:trPr>
        <w:tc>
          <w:tcPr>
            <w:tcW w:w="4426" w:type="dxa"/>
            <w:tcBorders>
              <w:top w:val="single" w:sz="4" w:space="0" w:color="auto"/>
              <w:left w:val="single" w:sz="4" w:space="0" w:color="auto"/>
              <w:bottom w:val="single" w:sz="4" w:space="0" w:color="auto"/>
              <w:right w:val="single" w:sz="4" w:space="0" w:color="auto"/>
            </w:tcBorders>
            <w:vAlign w:val="center"/>
          </w:tcPr>
          <w:p w:rsidR="00D31999" w:rsidRDefault="00D31999">
            <w:pPr>
              <w:keepNext/>
              <w:suppressLineNumbers/>
              <w:suppressAutoHyphens/>
              <w:jc w:val="center"/>
              <w:rPr>
                <w:rFonts w:cs="Times New Roman"/>
                <w:i/>
                <w:iCs/>
                <w:color w:val="000000"/>
                <w:kern w:val="22"/>
                <w:lang w:val="es-ES" w:eastAsia="en-CA"/>
              </w:rPr>
            </w:pPr>
            <w:r>
              <w:rPr>
                <w:rFonts w:cs="Times New Roman"/>
                <w:i/>
                <w:iCs/>
                <w:color w:val="000000"/>
                <w:kern w:val="22"/>
                <w:lang w:val="es-ES" w:eastAsia="en-CA"/>
              </w:rPr>
              <w:t>Objeto de gastos</w:t>
            </w:r>
          </w:p>
        </w:tc>
        <w:tc>
          <w:tcPr>
            <w:tcW w:w="2636" w:type="dxa"/>
            <w:tcBorders>
              <w:top w:val="single" w:sz="4" w:space="0" w:color="auto"/>
              <w:left w:val="single" w:sz="4" w:space="0" w:color="auto"/>
              <w:bottom w:val="nil"/>
              <w:right w:val="single" w:sz="4" w:space="0" w:color="auto"/>
            </w:tcBorders>
            <w:vAlign w:val="center"/>
          </w:tcPr>
          <w:p w:rsidR="00D31999" w:rsidRDefault="00D31999">
            <w:pPr>
              <w:keepNext/>
              <w:suppressLineNumbers/>
              <w:suppressAutoHyphens/>
              <w:jc w:val="center"/>
              <w:rPr>
                <w:rFonts w:cs="Times New Roman"/>
                <w:i/>
                <w:iCs/>
                <w:color w:val="000000"/>
                <w:kern w:val="22"/>
                <w:lang w:val="es-ES" w:eastAsia="en-CA"/>
              </w:rPr>
            </w:pPr>
            <w:r>
              <w:rPr>
                <w:rFonts w:cs="Times New Roman"/>
                <w:i/>
                <w:iCs/>
                <w:color w:val="000000"/>
                <w:kern w:val="22"/>
                <w:lang w:val="es-ES" w:eastAsia="en-CA"/>
              </w:rPr>
              <w:t>Presupuesto propuesto 2022</w:t>
            </w:r>
          </w:p>
          <w:p w:rsidR="00D31999" w:rsidRDefault="00D31999">
            <w:pPr>
              <w:keepNext/>
              <w:suppressLineNumbers/>
              <w:suppressAutoHyphens/>
              <w:jc w:val="center"/>
              <w:rPr>
                <w:rFonts w:cs="Times New Roman"/>
                <w:i/>
                <w:iCs/>
                <w:color w:val="000000"/>
                <w:kern w:val="22"/>
                <w:sz w:val="16"/>
                <w:szCs w:val="16"/>
                <w:lang w:val="es-ES" w:eastAsia="en-CA"/>
              </w:rPr>
            </w:pPr>
            <w:r>
              <w:rPr>
                <w:rFonts w:cs="Times New Roman"/>
                <w:i/>
                <w:iCs/>
                <w:kern w:val="22"/>
                <w:sz w:val="16"/>
                <w:szCs w:val="16"/>
                <w:lang w:val="es-ES" w:eastAsia="en-CA"/>
              </w:rPr>
              <w:t>(Miles de dólares estadounidenses</w:t>
            </w:r>
            <w:r>
              <w:rPr>
                <w:rFonts w:cs="Times New Roman"/>
                <w:i/>
                <w:iCs/>
                <w:color w:val="000000"/>
                <w:kern w:val="22"/>
                <w:sz w:val="16"/>
                <w:szCs w:val="16"/>
                <w:lang w:val="es-ES" w:eastAsia="en-CA"/>
              </w:rPr>
              <w:t>)</w:t>
            </w:r>
          </w:p>
        </w:tc>
        <w:tc>
          <w:tcPr>
            <w:tcW w:w="2303" w:type="dxa"/>
            <w:tcBorders>
              <w:top w:val="single" w:sz="4" w:space="0" w:color="auto"/>
              <w:left w:val="single" w:sz="4" w:space="0" w:color="auto"/>
              <w:bottom w:val="nil"/>
              <w:right w:val="single" w:sz="4" w:space="0" w:color="auto"/>
            </w:tcBorders>
            <w:vAlign w:val="center"/>
          </w:tcPr>
          <w:p w:rsidR="00D31999" w:rsidRDefault="00D31999">
            <w:pPr>
              <w:keepNext/>
              <w:suppressLineNumbers/>
              <w:suppressAutoHyphens/>
              <w:jc w:val="center"/>
              <w:rPr>
                <w:rFonts w:cs="Times New Roman"/>
                <w:i/>
                <w:iCs/>
                <w:color w:val="000000"/>
                <w:kern w:val="22"/>
                <w:lang w:val="es-ES" w:eastAsia="en-CA"/>
              </w:rPr>
            </w:pPr>
            <w:r>
              <w:rPr>
                <w:rFonts w:cs="Times New Roman"/>
                <w:i/>
                <w:iCs/>
                <w:color w:val="000000"/>
                <w:kern w:val="22"/>
                <w:lang w:val="es-ES" w:eastAsia="en-CA"/>
              </w:rPr>
              <w:t>Notas</w:t>
            </w:r>
          </w:p>
        </w:tc>
      </w:tr>
      <w:tr w:rsidR="00D31999">
        <w:trPr>
          <w:trHeight w:val="300"/>
          <w:jc w:val="center"/>
        </w:trPr>
        <w:tc>
          <w:tcPr>
            <w:tcW w:w="4426" w:type="dxa"/>
            <w:tcBorders>
              <w:top w:val="single" w:sz="4" w:space="0" w:color="auto"/>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A. Gastos de personal</w:t>
            </w:r>
          </w:p>
        </w:tc>
        <w:tc>
          <w:tcPr>
            <w:tcW w:w="2636" w:type="dxa"/>
            <w:tcBorders>
              <w:top w:val="single" w:sz="4" w:space="0" w:color="auto"/>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12 248,0</w:t>
            </w:r>
          </w:p>
        </w:tc>
        <w:tc>
          <w:tcPr>
            <w:tcW w:w="2303" w:type="dxa"/>
            <w:tcBorders>
              <w:top w:val="single" w:sz="4" w:space="0" w:color="auto"/>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r>
              <w:rPr>
                <w:rFonts w:cs="Times New Roman"/>
                <w:color w:val="000000"/>
                <w:kern w:val="22"/>
                <w:lang w:val="es-ES" w:eastAsia="en-CA"/>
              </w:rPr>
              <w:t>1</w:t>
            </w:r>
          </w:p>
        </w:tc>
      </w:tr>
      <w:tr w:rsidR="00D31999" w:rsidRPr="00713820">
        <w:trPr>
          <w:trHeight w:val="300"/>
          <w:jc w:val="center"/>
        </w:trPr>
        <w:tc>
          <w:tcPr>
            <w:tcW w:w="4426" w:type="dxa"/>
            <w:tcBorders>
              <w:top w:val="single" w:sz="4" w:space="0" w:color="auto"/>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B. Reuniones de la Mesa</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p>
        </w:tc>
        <w:tc>
          <w:tcPr>
            <w:tcW w:w="2303" w:type="dxa"/>
            <w:tcBorders>
              <w:top w:val="single" w:sz="4" w:space="0" w:color="auto"/>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C. Viajes en comisión de servicio</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275,0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D. Consultores/subcontratistas</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50,0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E. Materiales de sensibilización del público/Comunicaciones</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50,0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F. Personal temporal/horas extraordinarias</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100,0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G. Capacitación</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5,0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59"/>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H. Traducción del sitio web del mecanismo de facilitación/proyectos de sitio web</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65,0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I. Reuniones</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1391,0</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J. Reuniones de expertos</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K. Reuniones extraordinarias sobre el período posterior a 2020</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L. Alquiler y gastos relacionados</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1481,2</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M. Gastos generales de funcionamiento</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726,6</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b/>
                <w:bCs/>
                <w:color w:val="000000"/>
                <w:kern w:val="22"/>
                <w:lang w:val="es-ES" w:eastAsia="en-CA"/>
              </w:rPr>
            </w:pPr>
            <w:r>
              <w:rPr>
                <w:rFonts w:cs="Times New Roman"/>
                <w:b/>
                <w:bCs/>
                <w:color w:val="000000"/>
                <w:kern w:val="22"/>
                <w:lang w:val="es-ES" w:eastAsia="en-CA"/>
              </w:rPr>
              <w:t>Subtotal (I)</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b/>
                <w:bCs/>
                <w:color w:val="000000"/>
                <w:kern w:val="22"/>
                <w:lang w:val="es-ES" w:eastAsia="en-CA"/>
              </w:rPr>
            </w:pPr>
            <w:r>
              <w:rPr>
                <w:rFonts w:cs="Times New Roman"/>
                <w:b/>
                <w:bCs/>
                <w:color w:val="000000"/>
                <w:kern w:val="22"/>
                <w:lang w:val="es-ES"/>
              </w:rPr>
              <w:t>16 391,82</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b/>
                <w:bCs/>
                <w:color w:val="000000"/>
                <w:kern w:val="22"/>
                <w:lang w:val="es-ES" w:eastAsia="en-CA"/>
              </w:rPr>
            </w:pPr>
            <w:r>
              <w:rPr>
                <w:rFonts w:cs="Times New Roman"/>
                <w:b/>
                <w:bCs/>
                <w:color w:val="000000"/>
                <w:kern w:val="22"/>
                <w:lang w:val="es-ES" w:eastAsia="en-CA"/>
              </w:rPr>
              <w:t>II. Gastos de apoyo a los programas (13 %)</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2130,94</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b/>
                <w:bCs/>
                <w:color w:val="000000"/>
                <w:kern w:val="22"/>
                <w:lang w:val="es-ES" w:eastAsia="en-CA"/>
              </w:rPr>
            </w:pPr>
            <w:r>
              <w:rPr>
                <w:rFonts w:cs="Times New Roman"/>
                <w:b/>
                <w:bCs/>
                <w:color w:val="000000"/>
                <w:kern w:val="22"/>
                <w:lang w:val="es-ES" w:eastAsia="en-CA"/>
              </w:rPr>
              <w:t>Subtotal (I + II)</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b/>
                <w:bCs/>
                <w:color w:val="000000"/>
                <w:kern w:val="22"/>
                <w:lang w:val="es-ES" w:eastAsia="en-CA"/>
              </w:rPr>
            </w:pPr>
            <w:r>
              <w:rPr>
                <w:rFonts w:cs="Times New Roman"/>
                <w:b/>
                <w:bCs/>
                <w:color w:val="000000"/>
                <w:kern w:val="22"/>
                <w:lang w:val="es-ES"/>
              </w:rPr>
              <w:t>18 522,76</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b/>
                <w:bCs/>
                <w:color w:val="000000"/>
                <w:kern w:val="22"/>
                <w:lang w:val="es-ES" w:eastAsia="en-CA"/>
              </w:rPr>
            </w:pPr>
            <w:r>
              <w:rPr>
                <w:rFonts w:cs="Times New Roman"/>
                <w:b/>
                <w:bCs/>
                <w:color w:val="000000"/>
                <w:kern w:val="22"/>
                <w:lang w:val="es-ES" w:eastAsia="en-CA"/>
              </w:rPr>
              <w:t>III. Reserva operacional</w:t>
            </w:r>
          </w:p>
        </w:tc>
        <w:tc>
          <w:tcPr>
            <w:tcW w:w="263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203,97</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b/>
                <w:bCs/>
                <w:color w:val="000000"/>
                <w:kern w:val="22"/>
                <w:lang w:val="es-ES" w:eastAsia="en-CA"/>
              </w:rPr>
            </w:pPr>
            <w:proofErr w:type="gramStart"/>
            <w:r>
              <w:rPr>
                <w:rFonts w:cs="Times New Roman"/>
                <w:b/>
                <w:bCs/>
                <w:color w:val="000000"/>
                <w:kern w:val="22"/>
                <w:lang w:val="es-ES" w:eastAsia="en-CA"/>
              </w:rPr>
              <w:t>Total</w:t>
            </w:r>
            <w:proofErr w:type="gramEnd"/>
            <w:r>
              <w:rPr>
                <w:rFonts w:cs="Times New Roman"/>
                <w:b/>
                <w:bCs/>
                <w:color w:val="000000"/>
                <w:kern w:val="22"/>
                <w:lang w:val="es-ES" w:eastAsia="en-CA"/>
              </w:rPr>
              <w:t xml:space="preserve"> general (II + III)</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b/>
                <w:bCs/>
                <w:color w:val="000000"/>
                <w:kern w:val="22"/>
                <w:lang w:val="es-ES" w:eastAsia="en-CA"/>
              </w:rPr>
            </w:pPr>
            <w:r>
              <w:rPr>
                <w:rFonts w:cs="Times New Roman"/>
                <w:b/>
                <w:bCs/>
                <w:color w:val="000000"/>
                <w:kern w:val="22"/>
                <w:lang w:val="es-ES"/>
              </w:rPr>
              <w:t>18 726,74</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Menos:  Contribución del país anfitrión</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r>
              <w:rPr>
                <w:rFonts w:cs="Times New Roman"/>
                <w:color w:val="000000"/>
                <w:kern w:val="22"/>
                <w:lang w:val="es-ES"/>
              </w:rPr>
              <w:t>-1673,8</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r>
              <w:rPr>
                <w:rFonts w:cs="Times New Roman"/>
                <w:color w:val="000000"/>
                <w:kern w:val="22"/>
                <w:lang w:val="es-ES" w:eastAsia="en-CA"/>
              </w:rPr>
              <w:t>2</w:t>
            </w:r>
          </w:p>
        </w:tc>
      </w:tr>
      <w:tr w:rsidR="00D31999" w:rsidRPr="00713820">
        <w:trPr>
          <w:trHeight w:val="276"/>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spacing w:val="-2"/>
                <w:kern w:val="22"/>
                <w:lang w:val="es-ES" w:eastAsia="en-CA"/>
              </w:rPr>
            </w:pPr>
            <w:r>
              <w:rPr>
                <w:rFonts w:cs="Times New Roman"/>
                <w:color w:val="000000"/>
                <w:spacing w:val="-2"/>
                <w:kern w:val="22"/>
                <w:lang w:val="es-ES" w:eastAsia="en-CA"/>
              </w:rPr>
              <w:t xml:space="preserve">Menos: Empleo de fondos de reserva para reuniones extraordinarias  </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rsidRPr="00713820">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color w:val="000000"/>
                <w:kern w:val="22"/>
                <w:lang w:val="es-ES" w:eastAsia="en-CA"/>
              </w:rPr>
            </w:pPr>
            <w:r>
              <w:rPr>
                <w:rFonts w:cs="Times New Roman"/>
                <w:color w:val="000000"/>
                <w:kern w:val="22"/>
                <w:lang w:val="es-ES" w:eastAsia="en-CA"/>
              </w:rPr>
              <w:t>Menos: Empleo de fondos de reserva de años anteriores</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color w:val="000000"/>
                <w:kern w:val="22"/>
                <w:lang w:val="es-ES" w:eastAsia="en-CA"/>
              </w:rPr>
            </w:pP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b/>
                <w:bCs/>
                <w:color w:val="000000"/>
                <w:kern w:val="22"/>
                <w:lang w:val="es-ES" w:eastAsia="en-CA"/>
              </w:rPr>
            </w:pPr>
            <w:proofErr w:type="gramStart"/>
            <w:r>
              <w:rPr>
                <w:rFonts w:cs="Times New Roman"/>
                <w:b/>
                <w:bCs/>
                <w:color w:val="000000"/>
                <w:kern w:val="22"/>
                <w:lang w:val="es-ES" w:eastAsia="en-CA"/>
              </w:rPr>
              <w:t>Total</w:t>
            </w:r>
            <w:proofErr w:type="gramEnd"/>
            <w:r>
              <w:rPr>
                <w:rFonts w:cs="Times New Roman"/>
                <w:b/>
                <w:bCs/>
                <w:color w:val="000000"/>
                <w:kern w:val="22"/>
                <w:lang w:val="es-ES" w:eastAsia="en-CA"/>
              </w:rPr>
              <w:t xml:space="preserve"> neto (cantidad a dividir entre las partes)</w:t>
            </w:r>
          </w:p>
        </w:tc>
        <w:tc>
          <w:tcPr>
            <w:tcW w:w="2636" w:type="dxa"/>
            <w:tcBorders>
              <w:top w:val="single" w:sz="4" w:space="0" w:color="auto"/>
              <w:left w:val="nil"/>
              <w:bottom w:val="single" w:sz="4" w:space="0" w:color="auto"/>
              <w:right w:val="single" w:sz="4" w:space="0" w:color="auto"/>
            </w:tcBorders>
            <w:vAlign w:val="center"/>
          </w:tcPr>
          <w:p w:rsidR="00D31999" w:rsidRDefault="00D31999">
            <w:pPr>
              <w:suppressLineNumbers/>
              <w:suppressAutoHyphens/>
              <w:jc w:val="right"/>
              <w:rPr>
                <w:rFonts w:cs="Times New Roman"/>
                <w:b/>
                <w:bCs/>
                <w:color w:val="000000"/>
                <w:kern w:val="22"/>
                <w:lang w:val="es-ES" w:eastAsia="en-CA"/>
              </w:rPr>
            </w:pPr>
            <w:r>
              <w:rPr>
                <w:rFonts w:cs="Times New Roman"/>
                <w:b/>
                <w:bCs/>
                <w:color w:val="000000"/>
                <w:kern w:val="22"/>
                <w:lang w:val="es-ES"/>
              </w:rPr>
              <w:t>17 052,95</w:t>
            </w:r>
          </w:p>
        </w:tc>
        <w:tc>
          <w:tcPr>
            <w:tcW w:w="2303" w:type="dxa"/>
            <w:tcBorders>
              <w:top w:val="single" w:sz="4" w:space="0" w:color="auto"/>
              <w:left w:val="nil"/>
              <w:bottom w:val="single" w:sz="4" w:space="0" w:color="auto"/>
              <w:right w:val="single" w:sz="4" w:space="0" w:color="auto"/>
            </w:tcBorders>
            <w:vAlign w:val="center"/>
          </w:tcPr>
          <w:p w:rsidR="00D31999" w:rsidRDefault="00D31999">
            <w:pPr>
              <w:suppressLineNumbers/>
              <w:suppressAutoHyphens/>
              <w:jc w:val="center"/>
              <w:rPr>
                <w:rFonts w:cs="Times New Roman"/>
                <w:color w:val="000000"/>
                <w:kern w:val="22"/>
                <w:lang w:val="es-ES" w:eastAsia="en-CA"/>
              </w:rPr>
            </w:pPr>
          </w:p>
        </w:tc>
      </w:tr>
      <w:tr w:rsidR="00D31999">
        <w:trPr>
          <w:trHeight w:val="300"/>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i/>
                <w:iCs/>
                <w:color w:val="000000"/>
                <w:kern w:val="22"/>
                <w:lang w:val="es-ES" w:eastAsia="en-CA"/>
              </w:rPr>
            </w:pPr>
            <w:r>
              <w:rPr>
                <w:rFonts w:cs="Times New Roman"/>
                <w:i/>
                <w:iCs/>
                <w:color w:val="000000"/>
                <w:kern w:val="22"/>
                <w:lang w:val="es-ES" w:eastAsia="en-CA"/>
              </w:rPr>
              <w:t>Proporción del presupuesto provisional correspondiente al Convenio (74 %)</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i/>
                <w:iCs/>
                <w:color w:val="000000"/>
                <w:kern w:val="22"/>
                <w:lang w:val="es-ES" w:eastAsia="en-CA"/>
              </w:rPr>
            </w:pPr>
            <w:r>
              <w:rPr>
                <w:rFonts w:cs="Times New Roman"/>
                <w:i/>
                <w:iCs/>
                <w:color w:val="000000"/>
                <w:kern w:val="22"/>
                <w:lang w:val="es-ES"/>
              </w:rPr>
              <w:t>12 619,18</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i/>
                <w:iCs/>
                <w:color w:val="000000"/>
                <w:kern w:val="22"/>
                <w:lang w:val="es-ES" w:eastAsia="en-CA"/>
              </w:rPr>
            </w:pPr>
          </w:p>
        </w:tc>
      </w:tr>
      <w:tr w:rsidR="00D31999">
        <w:trPr>
          <w:trHeight w:val="287"/>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i/>
                <w:iCs/>
                <w:color w:val="000000"/>
                <w:spacing w:val="-12"/>
                <w:kern w:val="22"/>
                <w:lang w:val="es-ES" w:eastAsia="en-CA"/>
              </w:rPr>
            </w:pPr>
            <w:r>
              <w:rPr>
                <w:rFonts w:cs="Times New Roman"/>
                <w:i/>
                <w:iCs/>
                <w:color w:val="000000"/>
                <w:spacing w:val="-12"/>
                <w:kern w:val="22"/>
                <w:lang w:val="es-ES" w:eastAsia="en-CA"/>
              </w:rPr>
              <w:t>Proporción del presupuesto provisional correspondiente al Protocolo de Cartagena (15 %)</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i/>
                <w:iCs/>
                <w:color w:val="000000"/>
                <w:kern w:val="22"/>
                <w:lang w:val="es-ES" w:eastAsia="en-CA"/>
              </w:rPr>
            </w:pPr>
            <w:r>
              <w:rPr>
                <w:rFonts w:cs="Times New Roman"/>
                <w:i/>
                <w:iCs/>
                <w:color w:val="000000"/>
                <w:kern w:val="22"/>
                <w:lang w:val="es-ES"/>
              </w:rPr>
              <w:t>2557,94</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i/>
                <w:iCs/>
                <w:color w:val="000000"/>
                <w:kern w:val="22"/>
                <w:lang w:val="es-ES" w:eastAsia="en-CA"/>
              </w:rPr>
            </w:pPr>
          </w:p>
        </w:tc>
      </w:tr>
      <w:tr w:rsidR="00D31999">
        <w:trPr>
          <w:trHeight w:val="224"/>
          <w:jc w:val="center"/>
        </w:trPr>
        <w:tc>
          <w:tcPr>
            <w:tcW w:w="4426" w:type="dxa"/>
            <w:tcBorders>
              <w:top w:val="nil"/>
              <w:left w:val="single" w:sz="4" w:space="0" w:color="auto"/>
              <w:bottom w:val="single" w:sz="4" w:space="0" w:color="auto"/>
              <w:right w:val="single" w:sz="4" w:space="0" w:color="auto"/>
            </w:tcBorders>
            <w:vAlign w:val="center"/>
          </w:tcPr>
          <w:p w:rsidR="00D31999" w:rsidRDefault="00D31999">
            <w:pPr>
              <w:suppressLineNumbers/>
              <w:suppressAutoHyphens/>
              <w:jc w:val="left"/>
              <w:rPr>
                <w:rFonts w:cs="Times New Roman"/>
                <w:i/>
                <w:iCs/>
                <w:color w:val="000000"/>
                <w:spacing w:val="-8"/>
                <w:kern w:val="22"/>
                <w:lang w:val="es-ES" w:eastAsia="en-CA"/>
              </w:rPr>
            </w:pPr>
            <w:r>
              <w:rPr>
                <w:rFonts w:cs="Times New Roman"/>
                <w:i/>
                <w:iCs/>
                <w:color w:val="000000"/>
                <w:spacing w:val="-12"/>
                <w:kern w:val="22"/>
                <w:lang w:val="es-ES" w:eastAsia="en-CA"/>
              </w:rPr>
              <w:t xml:space="preserve">Proporción del presupuesto provisional correspondiente al Protocolo de </w:t>
            </w:r>
            <w:r>
              <w:rPr>
                <w:rFonts w:cs="Times New Roman"/>
                <w:i/>
                <w:iCs/>
                <w:color w:val="000000"/>
                <w:spacing w:val="-8"/>
                <w:kern w:val="22"/>
                <w:lang w:val="es-ES" w:eastAsia="en-CA"/>
              </w:rPr>
              <w:t>Nagoya (11 %)</w:t>
            </w:r>
          </w:p>
        </w:tc>
        <w:tc>
          <w:tcPr>
            <w:tcW w:w="2636" w:type="dxa"/>
            <w:tcBorders>
              <w:top w:val="nil"/>
              <w:left w:val="nil"/>
              <w:bottom w:val="single" w:sz="4" w:space="0" w:color="auto"/>
              <w:right w:val="single" w:sz="4" w:space="0" w:color="auto"/>
            </w:tcBorders>
            <w:vAlign w:val="center"/>
          </w:tcPr>
          <w:p w:rsidR="00D31999" w:rsidRDefault="00D31999">
            <w:pPr>
              <w:suppressLineNumbers/>
              <w:suppressAutoHyphens/>
              <w:jc w:val="right"/>
              <w:rPr>
                <w:rFonts w:cs="Times New Roman"/>
                <w:i/>
                <w:iCs/>
                <w:color w:val="000000"/>
                <w:kern w:val="22"/>
                <w:lang w:val="es-ES" w:eastAsia="en-CA"/>
              </w:rPr>
            </w:pPr>
            <w:r>
              <w:rPr>
                <w:rFonts w:cs="Times New Roman"/>
                <w:i/>
                <w:iCs/>
                <w:color w:val="000000"/>
                <w:kern w:val="22"/>
                <w:lang w:val="es-ES"/>
              </w:rPr>
              <w:t>1875,82</w:t>
            </w:r>
          </w:p>
        </w:tc>
        <w:tc>
          <w:tcPr>
            <w:tcW w:w="2303" w:type="dxa"/>
            <w:tcBorders>
              <w:top w:val="nil"/>
              <w:left w:val="nil"/>
              <w:bottom w:val="single" w:sz="4" w:space="0" w:color="auto"/>
              <w:right w:val="single" w:sz="4" w:space="0" w:color="auto"/>
            </w:tcBorders>
            <w:vAlign w:val="center"/>
          </w:tcPr>
          <w:p w:rsidR="00D31999" w:rsidRDefault="00D31999">
            <w:pPr>
              <w:suppressLineNumbers/>
              <w:suppressAutoHyphens/>
              <w:jc w:val="center"/>
              <w:rPr>
                <w:rFonts w:cs="Times New Roman"/>
                <w:i/>
                <w:iCs/>
                <w:color w:val="000000"/>
                <w:kern w:val="22"/>
                <w:lang w:val="es-ES" w:eastAsia="en-CA"/>
              </w:rPr>
            </w:pPr>
          </w:p>
        </w:tc>
      </w:tr>
    </w:tbl>
    <w:p w:rsidR="00D31999" w:rsidRDefault="00D31999">
      <w:pPr>
        <w:keepNext/>
        <w:suppressLineNumbers/>
        <w:suppressAutoHyphens/>
        <w:spacing w:before="120" w:after="120"/>
        <w:jc w:val="left"/>
        <w:rPr>
          <w:rFonts w:cs="Times New Roman"/>
          <w:kern w:val="22"/>
          <w:sz w:val="18"/>
          <w:szCs w:val="18"/>
          <w:lang w:val="es-ES"/>
        </w:rPr>
      </w:pPr>
      <w:r>
        <w:rPr>
          <w:rFonts w:cs="Times New Roman"/>
          <w:i/>
          <w:iCs/>
          <w:kern w:val="22"/>
          <w:sz w:val="18"/>
          <w:szCs w:val="18"/>
          <w:lang w:val="es-ES"/>
        </w:rPr>
        <w:t>Notas</w:t>
      </w:r>
      <w:r>
        <w:rPr>
          <w:rFonts w:cs="Times New Roman"/>
          <w:kern w:val="22"/>
          <w:sz w:val="18"/>
          <w:szCs w:val="18"/>
          <w:lang w:val="es-ES"/>
        </w:rPr>
        <w:t>:</w:t>
      </w:r>
    </w:p>
    <w:p w:rsidR="00D31999" w:rsidRDefault="00D31999">
      <w:pPr>
        <w:pStyle w:val="ListParagraph"/>
        <w:numPr>
          <w:ilvl w:val="0"/>
          <w:numId w:val="13"/>
        </w:numPr>
        <w:suppressLineNumbers/>
        <w:suppressAutoHyphens/>
        <w:spacing w:after="120"/>
        <w:ind w:left="142" w:firstLine="284"/>
        <w:rPr>
          <w:kern w:val="22"/>
          <w:sz w:val="18"/>
          <w:szCs w:val="18"/>
          <w:lang w:val="es-ES"/>
        </w:rPr>
      </w:pPr>
      <w:r>
        <w:rPr>
          <w:kern w:val="22"/>
          <w:sz w:val="18"/>
          <w:szCs w:val="18"/>
          <w:lang w:val="es-ES"/>
        </w:rPr>
        <w:t>Los recursos estimados se basan en los gastos efectivos de personal en 2021, con aumentos acordes con las escalas salariales y los incrementos de las Naciones Unidas para el personal del cuadro orgánico y del cuadro de servicios generales, como sigue: SSG: 331 000; D-2: 305 000; D-1: 277 000; P-5: 233 000; P-4: 220 000</w:t>
      </w:r>
      <w:r>
        <w:rPr>
          <w:kern w:val="22"/>
          <w:sz w:val="18"/>
          <w:szCs w:val="18"/>
          <w:lang w:val="es-ES"/>
        </w:rPr>
        <w:noBreakHyphen/>
        <w:t>; P-3: 182 000; P-2: 141 000; cuadro de servicios generales: 77 000.</w:t>
      </w:r>
    </w:p>
    <w:p w:rsidR="00D31999" w:rsidRDefault="00D31999">
      <w:pPr>
        <w:pStyle w:val="ListParagraph"/>
        <w:numPr>
          <w:ilvl w:val="0"/>
          <w:numId w:val="13"/>
        </w:numPr>
        <w:suppressLineNumbers/>
        <w:suppressAutoHyphens/>
        <w:spacing w:after="120"/>
        <w:ind w:left="142" w:firstLine="284"/>
        <w:rPr>
          <w:rFonts w:eastAsia="???"/>
          <w:kern w:val="22"/>
          <w:sz w:val="18"/>
          <w:szCs w:val="18"/>
          <w:lang w:val="es-ES"/>
        </w:rPr>
      </w:pPr>
      <w:r>
        <w:rPr>
          <w:kern w:val="22"/>
          <w:sz w:val="18"/>
          <w:szCs w:val="18"/>
          <w:lang w:val="es-ES"/>
        </w:rPr>
        <w:t>La Secretaría renovó su acuerdo de subvención con el país anfitrión (el Gobierno de Canadá y la Provincia de Quebec) para el alquiler y los gastos asociados del espacio destinado a oficinas en Montreal. El acuerdo abarca el período comprendido entre el 1 de octubre de 2019 y el 30 de septiembre de 2029, que corresponde al período del contrato de arrendamiento vigente que la Secretaría ha firmado. El alquiler y los gastos asociados para 2022 se estiman en 2 092 229 CAD. El tipo de cambio utilizado para convertir la contribución del país anfitrión en dólares canadienses es de 1,25 CAD: 1,00 US$.</w:t>
      </w:r>
    </w:p>
    <w:p w:rsidR="00D31999" w:rsidRDefault="00D31999">
      <w:pPr>
        <w:keepNext/>
        <w:keepLines/>
        <w:suppressLineNumbers/>
        <w:suppressAutoHyphens/>
        <w:spacing w:before="240" w:after="120"/>
        <w:ind w:left="851"/>
        <w:jc w:val="left"/>
        <w:rPr>
          <w:rFonts w:cs="Times New Roman"/>
          <w:kern w:val="22"/>
          <w:lang w:val="es-ES"/>
        </w:rPr>
      </w:pPr>
      <w:r>
        <w:rPr>
          <w:rFonts w:cs="Times New Roman"/>
          <w:b/>
          <w:bCs/>
          <w:kern w:val="22"/>
          <w:lang w:val="es-ES"/>
        </w:rPr>
        <w:t>Cuadro 5b</w:t>
      </w:r>
      <w:r>
        <w:rPr>
          <w:rFonts w:cs="Times New Roman"/>
          <w:b/>
          <w:bCs/>
          <w:kern w:val="22"/>
          <w:lang w:val="es-ES"/>
        </w:rPr>
        <w:br/>
        <w:t>Necesidades de recursos de los presupuestos básicos integrados para el año 2022, por división</w:t>
      </w:r>
      <w:r>
        <w:rPr>
          <w:rFonts w:cs="Times New Roman"/>
          <w:b/>
          <w:bCs/>
          <w:kern w:val="22"/>
          <w:lang w:val="es-ES"/>
        </w:rPr>
        <w:br/>
      </w:r>
      <w:r>
        <w:rPr>
          <w:rFonts w:cs="Times New Roman"/>
          <w:i/>
          <w:iCs/>
          <w:color w:val="000000"/>
          <w:kern w:val="22"/>
          <w:lang w:val="es-ES"/>
        </w:rPr>
        <w:t>(Miles de dólares estadounidenses)</w:t>
      </w:r>
    </w:p>
    <w:tbl>
      <w:tblPr>
        <w:tblW w:w="7760" w:type="dxa"/>
        <w:jc w:val="center"/>
        <w:tblLook w:val="0000" w:firstRow="0" w:lastRow="0" w:firstColumn="0" w:lastColumn="0" w:noHBand="0" w:noVBand="0"/>
      </w:tblPr>
      <w:tblGrid>
        <w:gridCol w:w="4520"/>
        <w:gridCol w:w="1600"/>
        <w:gridCol w:w="1640"/>
      </w:tblGrid>
      <w:tr w:rsidR="00D31999">
        <w:trPr>
          <w:cantSplit/>
          <w:jc w:val="center"/>
        </w:trPr>
        <w:tc>
          <w:tcPr>
            <w:tcW w:w="4520" w:type="dxa"/>
            <w:tcBorders>
              <w:top w:val="single" w:sz="12" w:space="0" w:color="auto"/>
              <w:left w:val="nil"/>
              <w:bottom w:val="single" w:sz="8" w:space="0" w:color="auto"/>
              <w:right w:val="nil"/>
            </w:tcBorders>
            <w:vAlign w:val="center"/>
          </w:tcPr>
          <w:p w:rsidR="00D31999" w:rsidRDefault="00D31999">
            <w:pPr>
              <w:keepNext/>
              <w:keepLines/>
              <w:suppressLineNumbers/>
              <w:suppressAutoHyphens/>
              <w:rPr>
                <w:rFonts w:cs="Times New Roman"/>
                <w:i/>
                <w:iCs/>
                <w:color w:val="000000"/>
                <w:kern w:val="22"/>
                <w:lang w:val="es-ES"/>
              </w:rPr>
            </w:pPr>
          </w:p>
        </w:tc>
        <w:tc>
          <w:tcPr>
            <w:tcW w:w="1600" w:type="dxa"/>
            <w:tcBorders>
              <w:top w:val="single" w:sz="12" w:space="0" w:color="auto"/>
              <w:left w:val="nil"/>
              <w:bottom w:val="single" w:sz="8" w:space="0" w:color="auto"/>
              <w:right w:val="nil"/>
            </w:tcBorders>
            <w:vAlign w:val="center"/>
          </w:tcPr>
          <w:p w:rsidR="00D31999" w:rsidRDefault="00D31999">
            <w:pPr>
              <w:keepNext/>
              <w:keepLines/>
              <w:suppressLineNumbers/>
              <w:suppressAutoHyphens/>
              <w:jc w:val="center"/>
              <w:rPr>
                <w:rFonts w:cs="Times New Roman"/>
                <w:i/>
                <w:iCs/>
                <w:color w:val="000000"/>
                <w:kern w:val="22"/>
                <w:lang w:val="es-ES"/>
              </w:rPr>
            </w:pPr>
            <w:r>
              <w:rPr>
                <w:rFonts w:cs="Times New Roman"/>
                <w:i/>
                <w:iCs/>
                <w:color w:val="000000"/>
                <w:kern w:val="22"/>
                <w:lang w:val="es-ES"/>
              </w:rPr>
              <w:t>2021</w:t>
            </w:r>
          </w:p>
        </w:tc>
        <w:tc>
          <w:tcPr>
            <w:tcW w:w="1640" w:type="dxa"/>
            <w:tcBorders>
              <w:top w:val="single" w:sz="12" w:space="0" w:color="auto"/>
              <w:left w:val="nil"/>
              <w:bottom w:val="nil"/>
              <w:right w:val="nil"/>
            </w:tcBorders>
            <w:vAlign w:val="center"/>
          </w:tcPr>
          <w:p w:rsidR="00D31999" w:rsidRDefault="00D31999">
            <w:pPr>
              <w:keepNext/>
              <w:keepLines/>
              <w:suppressLineNumbers/>
              <w:suppressAutoHyphens/>
              <w:jc w:val="center"/>
              <w:rPr>
                <w:rFonts w:cs="Times New Roman"/>
                <w:i/>
                <w:iCs/>
                <w:color w:val="000000"/>
                <w:kern w:val="22"/>
                <w:lang w:val="es-ES"/>
              </w:rPr>
            </w:pPr>
            <w:r>
              <w:rPr>
                <w:rFonts w:cs="Times New Roman"/>
                <w:i/>
                <w:iCs/>
                <w:color w:val="000000"/>
                <w:kern w:val="22"/>
                <w:lang w:val="es-ES"/>
              </w:rPr>
              <w:t>2022</w:t>
            </w:r>
          </w:p>
        </w:tc>
      </w:tr>
      <w:tr w:rsidR="00D31999">
        <w:trPr>
          <w:cantSplit/>
          <w:jc w:val="center"/>
        </w:trPr>
        <w:tc>
          <w:tcPr>
            <w:tcW w:w="4520" w:type="dxa"/>
            <w:tcBorders>
              <w:top w:val="single" w:sz="8" w:space="0" w:color="auto"/>
              <w:left w:val="nil"/>
              <w:bottom w:val="nil"/>
              <w:right w:val="nil"/>
            </w:tcBorders>
          </w:tcPr>
          <w:p w:rsidR="00D31999" w:rsidRDefault="00D31999">
            <w:pPr>
              <w:keepNext/>
              <w:keepLines/>
              <w:suppressLineNumbers/>
              <w:suppressAutoHyphens/>
              <w:jc w:val="left"/>
              <w:rPr>
                <w:rFonts w:cs="Times New Roman"/>
                <w:b/>
                <w:bCs/>
                <w:color w:val="000000"/>
                <w:kern w:val="22"/>
                <w:lang w:val="es-ES"/>
              </w:rPr>
            </w:pPr>
            <w:r>
              <w:rPr>
                <w:rFonts w:cs="Times New Roman"/>
                <w:b/>
                <w:bCs/>
                <w:color w:val="000000"/>
                <w:kern w:val="22"/>
                <w:lang w:val="es-ES"/>
              </w:rPr>
              <w:t>I. Programas:</w:t>
            </w:r>
          </w:p>
        </w:tc>
        <w:tc>
          <w:tcPr>
            <w:tcW w:w="1600" w:type="dxa"/>
            <w:tcBorders>
              <w:top w:val="single" w:sz="8" w:space="0" w:color="auto"/>
              <w:left w:val="nil"/>
              <w:bottom w:val="nil"/>
              <w:right w:val="nil"/>
            </w:tcBorders>
            <w:vAlign w:val="center"/>
          </w:tcPr>
          <w:p w:rsidR="00D31999" w:rsidRDefault="00D31999">
            <w:pPr>
              <w:keepNext/>
              <w:keepLines/>
              <w:suppressLineNumbers/>
              <w:suppressAutoHyphens/>
              <w:jc w:val="right"/>
              <w:rPr>
                <w:rFonts w:cs="Times New Roman"/>
                <w:color w:val="000000"/>
                <w:kern w:val="22"/>
                <w:lang w:val="es-ES"/>
              </w:rPr>
            </w:pPr>
          </w:p>
        </w:tc>
        <w:tc>
          <w:tcPr>
            <w:tcW w:w="1640" w:type="dxa"/>
            <w:tcBorders>
              <w:top w:val="single" w:sz="8" w:space="0" w:color="auto"/>
              <w:left w:val="nil"/>
              <w:bottom w:val="nil"/>
              <w:right w:val="nil"/>
            </w:tcBorders>
            <w:vAlign w:val="center"/>
          </w:tcPr>
          <w:p w:rsidR="00D31999" w:rsidRDefault="00D31999">
            <w:pPr>
              <w:keepNext/>
              <w:keepLines/>
              <w:suppressLineNumbers/>
              <w:suppressAutoHyphens/>
              <w:jc w:val="right"/>
              <w:rPr>
                <w:rFonts w:cs="Times New Roman"/>
                <w:color w:val="000000"/>
                <w:kern w:val="22"/>
                <w:lang w:val="es-ES"/>
              </w:rPr>
            </w:pPr>
          </w:p>
        </w:tc>
      </w:tr>
      <w:tr w:rsidR="00D31999">
        <w:trPr>
          <w:trHeight w:val="288"/>
          <w:jc w:val="center"/>
        </w:trPr>
        <w:tc>
          <w:tcPr>
            <w:tcW w:w="4520" w:type="dxa"/>
            <w:tcBorders>
              <w:top w:val="nil"/>
              <w:left w:val="nil"/>
              <w:bottom w:val="nil"/>
              <w:right w:val="nil"/>
            </w:tcBorders>
          </w:tcPr>
          <w:p w:rsidR="00D31999" w:rsidRDefault="00D31999">
            <w:pPr>
              <w:keepNext/>
              <w:keepLines/>
              <w:suppressLineNumbers/>
              <w:suppressAutoHyphens/>
              <w:jc w:val="left"/>
              <w:rPr>
                <w:rFonts w:cs="Times New Roman"/>
                <w:color w:val="000000"/>
                <w:kern w:val="22"/>
                <w:lang w:val="es-ES"/>
              </w:rPr>
            </w:pPr>
            <w:r>
              <w:rPr>
                <w:rFonts w:cs="Times New Roman"/>
                <w:color w:val="000000"/>
                <w:kern w:val="22"/>
                <w:lang w:val="es-ES"/>
              </w:rPr>
              <w:t xml:space="preserve">  Oficina de la Secretaria Ejecutiva</w:t>
            </w:r>
          </w:p>
        </w:tc>
        <w:tc>
          <w:tcPr>
            <w:tcW w:w="160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2404,4</w:t>
            </w:r>
          </w:p>
        </w:tc>
        <w:tc>
          <w:tcPr>
            <w:tcW w:w="164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2816,5</w:t>
            </w:r>
          </w:p>
        </w:tc>
      </w:tr>
      <w:tr w:rsidR="00D31999">
        <w:trPr>
          <w:trHeight w:val="288"/>
          <w:jc w:val="center"/>
        </w:trPr>
        <w:tc>
          <w:tcPr>
            <w:tcW w:w="4520" w:type="dxa"/>
            <w:tcBorders>
              <w:top w:val="nil"/>
              <w:left w:val="nil"/>
              <w:bottom w:val="nil"/>
              <w:right w:val="nil"/>
            </w:tcBorders>
          </w:tcPr>
          <w:p w:rsidR="00D31999" w:rsidRDefault="00D31999">
            <w:pPr>
              <w:keepNext/>
              <w:keepLines/>
              <w:suppressLineNumbers/>
              <w:suppressAutoHyphens/>
              <w:jc w:val="left"/>
              <w:rPr>
                <w:rFonts w:cs="Times New Roman"/>
                <w:color w:val="000000"/>
                <w:kern w:val="22"/>
                <w:lang w:val="es-ES"/>
              </w:rPr>
            </w:pPr>
            <w:r>
              <w:rPr>
                <w:rFonts w:cs="Times New Roman"/>
                <w:color w:val="000000"/>
                <w:kern w:val="22"/>
                <w:lang w:val="es-ES"/>
              </w:rPr>
              <w:t xml:space="preserve">  Protocolos de Nagoya y Cartagena</w:t>
            </w:r>
          </w:p>
        </w:tc>
        <w:tc>
          <w:tcPr>
            <w:tcW w:w="160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2283,4</w:t>
            </w:r>
          </w:p>
        </w:tc>
        <w:tc>
          <w:tcPr>
            <w:tcW w:w="164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2336,5</w:t>
            </w:r>
          </w:p>
        </w:tc>
      </w:tr>
      <w:tr w:rsidR="00D31999">
        <w:trPr>
          <w:trHeight w:val="288"/>
          <w:jc w:val="center"/>
        </w:trPr>
        <w:tc>
          <w:tcPr>
            <w:tcW w:w="4520" w:type="dxa"/>
            <w:tcBorders>
              <w:top w:val="nil"/>
              <w:left w:val="nil"/>
              <w:bottom w:val="nil"/>
              <w:right w:val="nil"/>
            </w:tcBorders>
          </w:tcPr>
          <w:p w:rsidR="00D31999" w:rsidRDefault="00D31999">
            <w:pPr>
              <w:keepNext/>
              <w:keepLines/>
              <w:suppressLineNumbers/>
              <w:suppressAutoHyphens/>
              <w:jc w:val="left"/>
              <w:rPr>
                <w:rFonts w:cs="Times New Roman"/>
                <w:color w:val="000000"/>
                <w:kern w:val="22"/>
                <w:lang w:val="es-ES"/>
              </w:rPr>
            </w:pPr>
            <w:r>
              <w:rPr>
                <w:rFonts w:cs="Times New Roman"/>
                <w:color w:val="000000"/>
                <w:kern w:val="22"/>
                <w:lang w:val="es-ES"/>
              </w:rPr>
              <w:t xml:space="preserve">  División de Ciencia, Sociedad y </w:t>
            </w:r>
            <w:proofErr w:type="gramStart"/>
            <w:r>
              <w:rPr>
                <w:rFonts w:cs="Times New Roman"/>
                <w:color w:val="000000"/>
                <w:kern w:val="22"/>
                <w:lang w:val="es-ES"/>
              </w:rPr>
              <w:t>Futuros  Sostenibles</w:t>
            </w:r>
            <w:proofErr w:type="gramEnd"/>
          </w:p>
        </w:tc>
        <w:tc>
          <w:tcPr>
            <w:tcW w:w="160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3316,75</w:t>
            </w:r>
          </w:p>
        </w:tc>
        <w:tc>
          <w:tcPr>
            <w:tcW w:w="164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3714,0</w:t>
            </w:r>
          </w:p>
        </w:tc>
      </w:tr>
      <w:tr w:rsidR="00D31999">
        <w:trPr>
          <w:trHeight w:val="300"/>
          <w:jc w:val="center"/>
        </w:trPr>
        <w:tc>
          <w:tcPr>
            <w:tcW w:w="4520" w:type="dxa"/>
            <w:tcBorders>
              <w:top w:val="nil"/>
              <w:left w:val="nil"/>
              <w:bottom w:val="single" w:sz="8" w:space="0" w:color="auto"/>
              <w:right w:val="nil"/>
            </w:tcBorders>
          </w:tcPr>
          <w:p w:rsidR="00D31999" w:rsidRDefault="00D31999">
            <w:pPr>
              <w:keepNext/>
              <w:keepLines/>
              <w:suppressLineNumbers/>
              <w:suppressAutoHyphens/>
              <w:jc w:val="left"/>
              <w:rPr>
                <w:rFonts w:cs="Times New Roman"/>
                <w:color w:val="000000"/>
                <w:kern w:val="22"/>
                <w:lang w:val="es-ES"/>
              </w:rPr>
            </w:pPr>
            <w:r>
              <w:rPr>
                <w:rFonts w:cs="Times New Roman"/>
                <w:color w:val="000000"/>
                <w:kern w:val="22"/>
                <w:lang w:val="es-ES"/>
              </w:rPr>
              <w:t xml:space="preserve">  División de Apoyo a la Aplicación</w:t>
            </w:r>
          </w:p>
        </w:tc>
        <w:tc>
          <w:tcPr>
            <w:tcW w:w="1600" w:type="dxa"/>
            <w:tcBorders>
              <w:top w:val="nil"/>
              <w:left w:val="nil"/>
              <w:bottom w:val="single" w:sz="8" w:space="0" w:color="auto"/>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4262,15</w:t>
            </w:r>
          </w:p>
        </w:tc>
        <w:tc>
          <w:tcPr>
            <w:tcW w:w="1640" w:type="dxa"/>
            <w:tcBorders>
              <w:top w:val="nil"/>
              <w:left w:val="nil"/>
              <w:bottom w:val="single" w:sz="8" w:space="0" w:color="auto"/>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4397,25</w:t>
            </w:r>
          </w:p>
        </w:tc>
      </w:tr>
      <w:tr w:rsidR="00D31999">
        <w:trPr>
          <w:trHeight w:val="300"/>
          <w:jc w:val="center"/>
        </w:trPr>
        <w:tc>
          <w:tcPr>
            <w:tcW w:w="4520" w:type="dxa"/>
            <w:tcBorders>
              <w:top w:val="nil"/>
              <w:left w:val="nil"/>
              <w:bottom w:val="single" w:sz="8" w:space="0" w:color="auto"/>
              <w:right w:val="nil"/>
            </w:tcBorders>
          </w:tcPr>
          <w:p w:rsidR="00D31999" w:rsidRDefault="00D31999">
            <w:pPr>
              <w:keepNext/>
              <w:keepLines/>
              <w:suppressLineNumbers/>
              <w:suppressAutoHyphens/>
              <w:jc w:val="left"/>
              <w:rPr>
                <w:rFonts w:cs="Times New Roman"/>
                <w:b/>
                <w:bCs/>
                <w:color w:val="000000"/>
                <w:kern w:val="22"/>
                <w:lang w:val="es-ES"/>
              </w:rPr>
            </w:pPr>
            <w:r>
              <w:rPr>
                <w:rFonts w:cs="Times New Roman"/>
                <w:b/>
                <w:bCs/>
                <w:color w:val="000000"/>
                <w:kern w:val="22"/>
                <w:lang w:val="es-ES"/>
              </w:rPr>
              <w:t>II. Administración, Finanzas y Servicios de Conferencias</w:t>
            </w:r>
          </w:p>
        </w:tc>
        <w:tc>
          <w:tcPr>
            <w:tcW w:w="1600" w:type="dxa"/>
            <w:tcBorders>
              <w:top w:val="nil"/>
              <w:left w:val="nil"/>
              <w:bottom w:val="single" w:sz="8" w:space="0" w:color="auto"/>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2921,7</w:t>
            </w:r>
          </w:p>
        </w:tc>
        <w:tc>
          <w:tcPr>
            <w:tcW w:w="1640" w:type="dxa"/>
            <w:tcBorders>
              <w:top w:val="nil"/>
              <w:left w:val="nil"/>
              <w:bottom w:val="single" w:sz="8" w:space="0" w:color="auto"/>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3127,75</w:t>
            </w:r>
          </w:p>
        </w:tc>
      </w:tr>
      <w:tr w:rsidR="00D31999">
        <w:trPr>
          <w:trHeight w:val="300"/>
          <w:jc w:val="center"/>
        </w:trPr>
        <w:tc>
          <w:tcPr>
            <w:tcW w:w="4520" w:type="dxa"/>
            <w:tcBorders>
              <w:top w:val="nil"/>
              <w:left w:val="nil"/>
              <w:bottom w:val="single" w:sz="12" w:space="0" w:color="auto"/>
              <w:right w:val="nil"/>
            </w:tcBorders>
          </w:tcPr>
          <w:p w:rsidR="00D31999" w:rsidRDefault="00D31999">
            <w:pPr>
              <w:keepNext/>
              <w:keepLines/>
              <w:suppressLineNumbers/>
              <w:suppressAutoHyphens/>
              <w:jc w:val="left"/>
              <w:rPr>
                <w:rFonts w:cs="Times New Roman"/>
                <w:b/>
                <w:bCs/>
                <w:color w:val="000000"/>
                <w:kern w:val="22"/>
                <w:lang w:val="es-ES"/>
              </w:rPr>
            </w:pPr>
            <w:r>
              <w:rPr>
                <w:rFonts w:cs="Times New Roman"/>
                <w:b/>
                <w:bCs/>
                <w:color w:val="000000"/>
                <w:kern w:val="22"/>
                <w:lang w:val="es-ES"/>
              </w:rPr>
              <w:t>Subtotal</w:t>
            </w:r>
          </w:p>
        </w:tc>
        <w:tc>
          <w:tcPr>
            <w:tcW w:w="1600" w:type="dxa"/>
            <w:tcBorders>
              <w:top w:val="nil"/>
              <w:left w:val="nil"/>
              <w:bottom w:val="single" w:sz="12" w:space="0" w:color="auto"/>
              <w:right w:val="nil"/>
            </w:tcBorders>
          </w:tcPr>
          <w:p w:rsidR="00D31999" w:rsidRDefault="00D31999">
            <w:pPr>
              <w:keepNext/>
              <w:keepLines/>
              <w:suppressLineNumbers/>
              <w:suppressAutoHyphens/>
              <w:ind w:right="193"/>
              <w:jc w:val="right"/>
              <w:rPr>
                <w:rFonts w:cs="Times New Roman"/>
                <w:b/>
                <w:bCs/>
                <w:color w:val="000000"/>
                <w:kern w:val="22"/>
                <w:lang w:val="es-ES"/>
              </w:rPr>
            </w:pPr>
            <w:r>
              <w:rPr>
                <w:rFonts w:cs="Times New Roman"/>
                <w:b/>
                <w:bCs/>
                <w:color w:val="000000"/>
                <w:kern w:val="22"/>
                <w:lang w:val="es-ES"/>
              </w:rPr>
              <w:t>15 188,4</w:t>
            </w:r>
          </w:p>
        </w:tc>
        <w:tc>
          <w:tcPr>
            <w:tcW w:w="1640" w:type="dxa"/>
            <w:tcBorders>
              <w:top w:val="nil"/>
              <w:left w:val="nil"/>
              <w:bottom w:val="single" w:sz="12" w:space="0" w:color="auto"/>
              <w:right w:val="nil"/>
            </w:tcBorders>
          </w:tcPr>
          <w:p w:rsidR="00D31999" w:rsidRDefault="00D31999">
            <w:pPr>
              <w:keepNext/>
              <w:keepLines/>
              <w:suppressLineNumbers/>
              <w:suppressAutoHyphens/>
              <w:ind w:right="193"/>
              <w:jc w:val="right"/>
              <w:rPr>
                <w:rFonts w:cs="Times New Roman"/>
                <w:b/>
                <w:bCs/>
                <w:color w:val="000000"/>
                <w:kern w:val="22"/>
                <w:lang w:val="es-ES"/>
              </w:rPr>
            </w:pPr>
            <w:r>
              <w:rPr>
                <w:rFonts w:cs="Times New Roman"/>
                <w:b/>
                <w:bCs/>
                <w:color w:val="000000"/>
                <w:kern w:val="22"/>
                <w:lang w:val="es-ES"/>
              </w:rPr>
              <w:t>16 391,82</w:t>
            </w:r>
          </w:p>
        </w:tc>
      </w:tr>
      <w:tr w:rsidR="00D31999">
        <w:trPr>
          <w:trHeight w:val="300"/>
          <w:jc w:val="center"/>
        </w:trPr>
        <w:tc>
          <w:tcPr>
            <w:tcW w:w="4520" w:type="dxa"/>
            <w:tcBorders>
              <w:top w:val="nil"/>
              <w:left w:val="nil"/>
              <w:bottom w:val="nil"/>
              <w:right w:val="nil"/>
            </w:tcBorders>
          </w:tcPr>
          <w:p w:rsidR="00D31999" w:rsidRDefault="00D31999">
            <w:pPr>
              <w:keepNext/>
              <w:keepLines/>
              <w:suppressLineNumbers/>
              <w:suppressAutoHyphens/>
              <w:jc w:val="left"/>
              <w:rPr>
                <w:rFonts w:cs="Times New Roman"/>
                <w:color w:val="000000"/>
                <w:kern w:val="22"/>
                <w:lang w:val="es-ES"/>
              </w:rPr>
            </w:pPr>
            <w:r>
              <w:rPr>
                <w:rFonts w:cs="Times New Roman"/>
                <w:color w:val="000000"/>
                <w:kern w:val="22"/>
                <w:lang w:val="es-ES"/>
              </w:rPr>
              <w:t>Gastos de apoyo a los programas</w:t>
            </w:r>
          </w:p>
        </w:tc>
        <w:tc>
          <w:tcPr>
            <w:tcW w:w="1600" w:type="dxa"/>
            <w:tcBorders>
              <w:top w:val="nil"/>
              <w:left w:val="nil"/>
              <w:bottom w:val="nil"/>
              <w:right w:val="nil"/>
            </w:tcBorders>
            <w:noWrap/>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1974,49</w:t>
            </w:r>
          </w:p>
        </w:tc>
        <w:tc>
          <w:tcPr>
            <w:tcW w:w="1640" w:type="dxa"/>
            <w:tcBorders>
              <w:top w:val="nil"/>
              <w:left w:val="nil"/>
              <w:bottom w:val="nil"/>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2130,94</w:t>
            </w:r>
          </w:p>
        </w:tc>
      </w:tr>
      <w:tr w:rsidR="00D31999">
        <w:trPr>
          <w:trHeight w:val="300"/>
          <w:jc w:val="center"/>
        </w:trPr>
        <w:tc>
          <w:tcPr>
            <w:tcW w:w="4520" w:type="dxa"/>
            <w:tcBorders>
              <w:top w:val="nil"/>
              <w:left w:val="nil"/>
              <w:bottom w:val="single" w:sz="8" w:space="0" w:color="auto"/>
              <w:right w:val="nil"/>
            </w:tcBorders>
          </w:tcPr>
          <w:p w:rsidR="00D31999" w:rsidRDefault="00D31999">
            <w:pPr>
              <w:keepNext/>
              <w:keepLines/>
              <w:suppressLineNumbers/>
              <w:suppressAutoHyphens/>
              <w:jc w:val="left"/>
              <w:rPr>
                <w:rFonts w:cs="Times New Roman"/>
                <w:b/>
                <w:bCs/>
                <w:color w:val="000000"/>
                <w:kern w:val="22"/>
                <w:lang w:val="es-ES"/>
              </w:rPr>
            </w:pPr>
            <w:r>
              <w:rPr>
                <w:rFonts w:cs="Times New Roman"/>
                <w:b/>
                <w:bCs/>
                <w:color w:val="000000"/>
                <w:kern w:val="22"/>
                <w:lang w:val="es-ES"/>
              </w:rPr>
              <w:t>III. Reserva operacional</w:t>
            </w:r>
          </w:p>
        </w:tc>
        <w:tc>
          <w:tcPr>
            <w:tcW w:w="1600" w:type="dxa"/>
            <w:tcBorders>
              <w:top w:val="nil"/>
              <w:left w:val="nil"/>
              <w:bottom w:val="single" w:sz="8" w:space="0" w:color="auto"/>
              <w:right w:val="nil"/>
            </w:tcBorders>
            <w:noWrap/>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(390,27)</w:t>
            </w:r>
          </w:p>
        </w:tc>
        <w:tc>
          <w:tcPr>
            <w:tcW w:w="1640" w:type="dxa"/>
            <w:tcBorders>
              <w:top w:val="nil"/>
              <w:left w:val="nil"/>
              <w:bottom w:val="single" w:sz="8" w:space="0" w:color="auto"/>
              <w:right w:val="nil"/>
            </w:tcBorders>
          </w:tcPr>
          <w:p w:rsidR="00D31999" w:rsidRDefault="00D31999">
            <w:pPr>
              <w:keepNext/>
              <w:keepLines/>
              <w:suppressLineNumbers/>
              <w:suppressAutoHyphens/>
              <w:ind w:right="193"/>
              <w:jc w:val="right"/>
              <w:rPr>
                <w:rFonts w:cs="Times New Roman"/>
                <w:color w:val="000000"/>
                <w:kern w:val="22"/>
                <w:lang w:val="es-ES"/>
              </w:rPr>
            </w:pPr>
            <w:r>
              <w:rPr>
                <w:rFonts w:cs="Times New Roman"/>
                <w:color w:val="000000"/>
                <w:kern w:val="22"/>
                <w:lang w:val="es-ES"/>
              </w:rPr>
              <w:t>203,97</w:t>
            </w:r>
          </w:p>
        </w:tc>
      </w:tr>
      <w:tr w:rsidR="00D31999">
        <w:trPr>
          <w:trHeight w:val="300"/>
          <w:jc w:val="center"/>
        </w:trPr>
        <w:tc>
          <w:tcPr>
            <w:tcW w:w="4520" w:type="dxa"/>
            <w:tcBorders>
              <w:top w:val="nil"/>
              <w:left w:val="nil"/>
              <w:bottom w:val="single" w:sz="8" w:space="0" w:color="auto"/>
              <w:right w:val="nil"/>
            </w:tcBorders>
          </w:tcPr>
          <w:p w:rsidR="00D31999" w:rsidRDefault="00D31999">
            <w:pPr>
              <w:keepNext/>
              <w:keepLines/>
              <w:suppressLineNumbers/>
              <w:suppressAutoHyphens/>
              <w:jc w:val="left"/>
              <w:rPr>
                <w:rFonts w:cs="Times New Roman"/>
                <w:b/>
                <w:bCs/>
                <w:color w:val="000000"/>
                <w:kern w:val="22"/>
                <w:lang w:val="es-ES"/>
              </w:rPr>
            </w:pPr>
            <w:r>
              <w:rPr>
                <w:rFonts w:cs="Times New Roman"/>
                <w:b/>
                <w:bCs/>
                <w:color w:val="000000"/>
                <w:kern w:val="22"/>
                <w:lang w:val="es-ES"/>
              </w:rPr>
              <w:t>Total</w:t>
            </w:r>
          </w:p>
        </w:tc>
        <w:tc>
          <w:tcPr>
            <w:tcW w:w="1600" w:type="dxa"/>
            <w:tcBorders>
              <w:top w:val="nil"/>
              <w:left w:val="nil"/>
              <w:bottom w:val="single" w:sz="8" w:space="0" w:color="auto"/>
              <w:right w:val="nil"/>
            </w:tcBorders>
            <w:noWrap/>
          </w:tcPr>
          <w:p w:rsidR="00D31999" w:rsidRDefault="00D31999">
            <w:pPr>
              <w:keepNext/>
              <w:keepLines/>
              <w:suppressLineNumbers/>
              <w:suppressAutoHyphens/>
              <w:ind w:right="193"/>
              <w:jc w:val="right"/>
              <w:rPr>
                <w:rFonts w:cs="Times New Roman"/>
                <w:b/>
                <w:bCs/>
                <w:color w:val="000000"/>
                <w:kern w:val="22"/>
                <w:lang w:val="es-ES"/>
              </w:rPr>
            </w:pPr>
            <w:r>
              <w:rPr>
                <w:rFonts w:cs="Times New Roman"/>
                <w:b/>
                <w:bCs/>
                <w:color w:val="000000"/>
                <w:kern w:val="22"/>
                <w:lang w:val="es-ES"/>
              </w:rPr>
              <w:t>16 772,63</w:t>
            </w:r>
          </w:p>
        </w:tc>
        <w:tc>
          <w:tcPr>
            <w:tcW w:w="1640" w:type="dxa"/>
            <w:tcBorders>
              <w:top w:val="nil"/>
              <w:left w:val="nil"/>
              <w:bottom w:val="single" w:sz="8" w:space="0" w:color="auto"/>
              <w:right w:val="nil"/>
            </w:tcBorders>
          </w:tcPr>
          <w:p w:rsidR="00D31999" w:rsidRDefault="00D31999">
            <w:pPr>
              <w:keepNext/>
              <w:keepLines/>
              <w:suppressLineNumbers/>
              <w:suppressAutoHyphens/>
              <w:ind w:right="193"/>
              <w:jc w:val="right"/>
              <w:rPr>
                <w:rFonts w:cs="Times New Roman"/>
                <w:b/>
                <w:bCs/>
                <w:color w:val="000000"/>
                <w:kern w:val="22"/>
                <w:lang w:val="es-ES"/>
              </w:rPr>
            </w:pPr>
            <w:r>
              <w:rPr>
                <w:rFonts w:cs="Times New Roman"/>
                <w:b/>
                <w:bCs/>
                <w:color w:val="000000"/>
                <w:kern w:val="22"/>
                <w:lang w:val="es-ES"/>
              </w:rPr>
              <w:t>18 522,76</w:t>
            </w:r>
          </w:p>
        </w:tc>
      </w:tr>
    </w:tbl>
    <w:p w:rsidR="00D31999" w:rsidRDefault="00D31999">
      <w:pPr>
        <w:suppressLineNumbers/>
        <w:suppressAutoHyphens/>
        <w:spacing w:before="120" w:after="120"/>
        <w:rPr>
          <w:rFonts w:cs="Times New Roman"/>
          <w:kern w:val="22"/>
          <w:lang w:val="es-ES"/>
        </w:rPr>
      </w:pPr>
    </w:p>
    <w:p w:rsidR="00D31999" w:rsidRDefault="00D31999" w:rsidP="003B56D0">
      <w:pPr>
        <w:spacing w:after="160" w:line="259" w:lineRule="auto"/>
        <w:jc w:val="center"/>
        <w:rPr>
          <w:kern w:val="22"/>
          <w:lang w:val="es-ES"/>
        </w:rPr>
      </w:pPr>
      <w:r>
        <w:rPr>
          <w:rFonts w:cs="Times New Roman"/>
          <w:kern w:val="22"/>
          <w:lang w:val="es-ES"/>
        </w:rPr>
        <w:br w:type="page"/>
      </w:r>
      <w:r>
        <w:rPr>
          <w:b/>
          <w:bCs/>
          <w:caps/>
          <w:kern w:val="22"/>
          <w:lang w:val="es-ES"/>
        </w:rPr>
        <w:t>III.</w:t>
      </w:r>
      <w:r>
        <w:rPr>
          <w:b/>
          <w:bCs/>
          <w:caps/>
          <w:kern w:val="22"/>
          <w:lang w:val="es-ES"/>
        </w:rPr>
        <w:tab/>
        <w:t>PROPUESTAS DE PROYECTOS DE DECISIÓN</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La Conferencia de las Partes tal vez desee adoptar una decisión del siguiente tenor:</w:t>
      </w:r>
    </w:p>
    <w:p w:rsidR="00D31999" w:rsidRDefault="00D31999">
      <w:pPr>
        <w:pStyle w:val="ListParagraph"/>
        <w:suppressLineNumbers/>
        <w:suppressAutoHyphens/>
        <w:spacing w:before="120" w:after="120"/>
        <w:ind w:left="0" w:firstLine="720"/>
        <w:rPr>
          <w:kern w:val="22"/>
          <w:lang w:val="es-ES"/>
        </w:rPr>
      </w:pPr>
      <w:r>
        <w:rPr>
          <w:i/>
          <w:iCs/>
          <w:kern w:val="22"/>
          <w:lang w:val="es-ES"/>
        </w:rPr>
        <w:t>La Conferencia de las Partes</w:t>
      </w:r>
      <w:r>
        <w:rPr>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Recordando</w:t>
      </w:r>
      <w:r>
        <w:rPr>
          <w:rFonts w:cs="Times New Roman"/>
          <w:kern w:val="22"/>
          <w:lang w:val="es-ES"/>
        </w:rPr>
        <w:t xml:space="preserve"> su decisión 14/37, en la que aprobó el presupuesto para el bienio 2019-2020 y pidió a la Secretaria Ejecutiva que preparase propuestas para el presupuesto para el bienio 2021-2022,</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Recordando también</w:t>
      </w:r>
      <w:r>
        <w:rPr>
          <w:rFonts w:cs="Times New Roman"/>
          <w:kern w:val="22"/>
          <w:lang w:val="es-ES"/>
        </w:rPr>
        <w:t xml:space="preserve"> su decisión EM-2/1, en la que aprobó la prórroga del presupuesto para el bienio 2019-2020 y el presupuesto provisional para 2021,</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 xml:space="preserve">Considerando </w:t>
      </w:r>
      <w:r>
        <w:rPr>
          <w:rFonts w:cs="Times New Roman"/>
          <w:kern w:val="22"/>
          <w:lang w:val="es-ES"/>
        </w:rPr>
        <w:t>la decisión de celebrar la 15ª reunión de la Conferencia de las Partes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Tomando nota</w:t>
      </w:r>
      <w:r>
        <w:rPr>
          <w:rFonts w:cs="Times New Roman"/>
          <w:kern w:val="22"/>
          <w:lang w:val="es-ES"/>
        </w:rPr>
        <w:t>, por consiguiente, de la necesidad de tomar medidas para permitir el funcionamiento continuo de los órganos del Convenio, incluidas su Secretaría y las reuniones de la Conferencia de las Partes y sus órganos subsidiarios,</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Tomando nota</w:t>
      </w:r>
      <w:r>
        <w:rPr>
          <w:rFonts w:cs="Times New Roman"/>
          <w:kern w:val="22"/>
          <w:lang w:val="es-ES"/>
        </w:rPr>
        <w:t xml:space="preserve"> de la propuesta de la Mesa de la Conferencia de las Partes de que, con carácter excepcional, las Partes examinen y aprueben un presupuesto provisional para 2022 mediante modalidades acordadas</w:t>
      </w:r>
      <w:r>
        <w:rPr>
          <w:rFonts w:eastAsia="Malgun Gothic" w:cs="Times New Roman"/>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Habiendo examinado</w:t>
      </w:r>
      <w:r>
        <w:rPr>
          <w:rFonts w:cs="Times New Roman"/>
          <w:kern w:val="22"/>
          <w:lang w:val="es-ES"/>
        </w:rPr>
        <w:t xml:space="preserve"> la nota de la Secretaria Ejecutiva</w:t>
      </w:r>
      <w:bookmarkStart w:id="2" w:name="_Ref81136053"/>
      <w:r>
        <w:rPr>
          <w:rStyle w:val="FootnoteReference"/>
          <w:kern w:val="22"/>
          <w:sz w:val="22"/>
          <w:szCs w:val="22"/>
          <w:lang w:val="es-ES"/>
        </w:rPr>
        <w:footnoteReference w:id="6"/>
      </w:r>
      <w:bookmarkEnd w:id="2"/>
      <w:r>
        <w:rPr>
          <w:rFonts w:cs="Times New Roman"/>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Reconociendo</w:t>
      </w:r>
      <w:r>
        <w:rPr>
          <w:rFonts w:cs="Times New Roman"/>
          <w:kern w:val="22"/>
          <w:lang w:val="es-ES"/>
        </w:rPr>
        <w:t xml:space="preserve"> el carácter excepcional de las circunstancias derivadas de la pandemia y expresando solidaridad con todas las Partes al hacer frente a las repercusiones humanas y económicas de la pandemia actual,</w:t>
      </w:r>
    </w:p>
    <w:p w:rsidR="00D31999" w:rsidRDefault="00D31999">
      <w:pPr>
        <w:pStyle w:val="ListParagraph"/>
        <w:numPr>
          <w:ilvl w:val="0"/>
          <w:numId w:val="1"/>
        </w:numPr>
        <w:suppressLineNumbers/>
        <w:suppressAutoHyphens/>
        <w:spacing w:before="120" w:after="120"/>
        <w:ind w:left="0" w:firstLine="720"/>
        <w:rPr>
          <w:kern w:val="22"/>
          <w:lang w:val="es-ES"/>
        </w:rPr>
      </w:pPr>
      <w:r>
        <w:rPr>
          <w:rFonts w:eastAsia="Malgun Gothic"/>
          <w:i/>
          <w:iCs/>
          <w:color w:val="000000"/>
          <w:kern w:val="22"/>
          <w:lang w:val="es-ES"/>
        </w:rPr>
        <w:t>Aprueba,</w:t>
      </w:r>
      <w:r>
        <w:rPr>
          <w:rFonts w:eastAsia="Malgun Gothic"/>
          <w:color w:val="000000"/>
          <w:kern w:val="22"/>
          <w:lang w:val="es-ES"/>
        </w:rPr>
        <w:t xml:space="preserve"> con carácter excepcional, un presupuesto básico por programas para el Convenio de 12 619 185 dólares estadounidenses para el año 2022, que representa el 74 % del presupuesto integrado provisional de 17 052 952 dólares estadounidenses para el año 2022, para los fines que se indican en los cuadros 5a y 5b de la nota de la Secretaria Ejecutiva</w:t>
      </w:r>
      <w:r w:rsidR="003B56D0">
        <w:fldChar w:fldCharType="begin"/>
      </w:r>
      <w:r w:rsidR="003B56D0" w:rsidRPr="00713820">
        <w:rPr>
          <w:lang w:val="fr-CA"/>
        </w:rPr>
        <w:instrText xml:space="preserve"> NOTEREF _Ref81136053 \h  \* MERGEFORMAT </w:instrText>
      </w:r>
      <w:r w:rsidR="003B56D0">
        <w:fldChar w:fldCharType="separate"/>
      </w:r>
      <w:r w:rsidRPr="00713820">
        <w:rPr>
          <w:lang w:val="fr-CA"/>
        </w:rPr>
        <w:t>2</w:t>
      </w:r>
      <w:r w:rsidR="003B56D0">
        <w:fldChar w:fldCharType="end"/>
      </w:r>
      <w:r>
        <w:rPr>
          <w:rFonts w:eastAsia="Malgun Gothic"/>
          <w:color w:val="000000"/>
          <w:kern w:val="22"/>
          <w:lang w:val="es-ES"/>
        </w:rPr>
        <w:t>;</w:t>
      </w:r>
    </w:p>
    <w:p w:rsidR="00D31999" w:rsidRDefault="00D31999">
      <w:pPr>
        <w:pStyle w:val="ListParagraph"/>
        <w:numPr>
          <w:ilvl w:val="0"/>
          <w:numId w:val="1"/>
        </w:numPr>
        <w:suppressLineNumbers/>
        <w:suppressAutoHyphens/>
        <w:spacing w:before="120" w:after="120"/>
        <w:ind w:left="0" w:firstLine="720"/>
        <w:rPr>
          <w:kern w:val="22"/>
          <w:lang w:val="es-ES"/>
        </w:rPr>
      </w:pPr>
      <w:r>
        <w:rPr>
          <w:rFonts w:eastAsia="Malgun Gothic"/>
          <w:i/>
          <w:iCs/>
          <w:color w:val="000000"/>
          <w:kern w:val="22"/>
          <w:lang w:val="es-ES" w:eastAsia="ko-KR"/>
        </w:rPr>
        <w:t>Decide</w:t>
      </w:r>
      <w:r>
        <w:rPr>
          <w:rFonts w:eastAsia="Malgun Gothic"/>
          <w:color w:val="000000"/>
          <w:kern w:val="22"/>
          <w:lang w:val="es-ES"/>
        </w:rPr>
        <w:t xml:space="preserve"> distribuir todos los gastos de los servicios de secretaría entre el Convenio, el Protocolo de Cartagena y el Protocolo de Nagoya a razón de 74 %, 15 % y 11 % para el año 2022;</w:t>
      </w:r>
    </w:p>
    <w:p w:rsidR="00D31999" w:rsidRDefault="00D31999">
      <w:pPr>
        <w:pStyle w:val="ListParagraph"/>
        <w:numPr>
          <w:ilvl w:val="0"/>
          <w:numId w:val="1"/>
        </w:numPr>
        <w:suppressLineNumbers/>
        <w:suppressAutoHyphens/>
        <w:spacing w:before="120" w:after="120"/>
        <w:ind w:left="0" w:firstLine="720"/>
        <w:rPr>
          <w:kern w:val="22"/>
          <w:lang w:val="es-ES"/>
        </w:rPr>
      </w:pPr>
      <w:r>
        <w:rPr>
          <w:i/>
          <w:iCs/>
          <w:color w:val="000000"/>
          <w:kern w:val="22"/>
          <w:lang w:val="es-ES"/>
        </w:rPr>
        <w:t>Expresa</w:t>
      </w:r>
      <w:r>
        <w:rPr>
          <w:color w:val="000000"/>
          <w:kern w:val="22"/>
          <w:lang w:val="es-ES"/>
        </w:rPr>
        <w:t xml:space="preserve"> su agradecimiento al país anfitrión, Canadá, por su renovado apoyo a la Secretaría, y </w:t>
      </w:r>
      <w:r>
        <w:rPr>
          <w:i/>
          <w:iCs/>
          <w:color w:val="000000"/>
          <w:kern w:val="22"/>
          <w:lang w:val="es-ES"/>
        </w:rPr>
        <w:t xml:space="preserve">acoge con satisfacción </w:t>
      </w:r>
      <w:r>
        <w:rPr>
          <w:color w:val="000000"/>
          <w:kern w:val="22"/>
          <w:lang w:val="es-ES"/>
        </w:rPr>
        <w:t>la contribución de 2 092 229 dólares canadienses para el año 2022 por parte del país anfitrión y la Provincia de Quebec para sufragar el alquiler y los gastos conexos de la Secretaría en Montreal, que se asignarán a razón de 74 %,  15 %  y  11 %  y  para  compensar las contribuciones de las Partes en el Convenio, el Protocolo de Cartagena y el Protocolo de Nagoya, respectivamente, para el año 2022;</w:t>
      </w:r>
    </w:p>
    <w:p w:rsidR="00D31999" w:rsidRDefault="00D31999">
      <w:pPr>
        <w:pStyle w:val="ListParagraph"/>
        <w:numPr>
          <w:ilvl w:val="0"/>
          <w:numId w:val="1"/>
        </w:numPr>
        <w:suppressLineNumbers/>
        <w:suppressAutoHyphens/>
        <w:spacing w:before="120" w:after="120"/>
        <w:ind w:left="0" w:firstLine="720"/>
        <w:rPr>
          <w:kern w:val="22"/>
          <w:lang w:val="es-ES"/>
        </w:rPr>
      </w:pPr>
      <w:r>
        <w:rPr>
          <w:rFonts w:eastAsia="Malgun Gothic"/>
          <w:i/>
          <w:iCs/>
          <w:color w:val="000000"/>
          <w:kern w:val="22"/>
          <w:lang w:val="es-ES"/>
        </w:rPr>
        <w:t>Adopta</w:t>
      </w:r>
      <w:r>
        <w:rPr>
          <w:rFonts w:eastAsia="Malgun Gothic"/>
          <w:color w:val="000000"/>
          <w:kern w:val="22"/>
          <w:lang w:val="es-ES"/>
        </w:rPr>
        <w:t xml:space="preserve"> la escala de cuotas para el prorrateo de los gastos de 2022, de conformidad con la escala de cuotas vigente para el prorrateo de los gastos de las Naciones Unidas, según figura en los cuadros </w:t>
      </w:r>
      <w:r>
        <w:rPr>
          <w:color w:val="000000"/>
          <w:kern w:val="22"/>
          <w:lang w:val="es-ES"/>
        </w:rPr>
        <w:t>7, 8 y 9 de la presente decisión</w:t>
      </w:r>
      <w:r>
        <w:rPr>
          <w:rFonts w:eastAsia="Malgun Gothic"/>
          <w:kern w:val="22"/>
          <w:lang w:val="es-ES"/>
        </w:rPr>
        <w:t xml:space="preserve">, tomando nota de que se espera que la Asamblea General de las Naciones Unidas apruebe en diciembre de 2022 una escala de cuotas revisada para el trienio </w:t>
      </w:r>
      <w:r>
        <w:rPr>
          <w:rStyle w:val="markedcontent"/>
          <w:kern w:val="22"/>
          <w:lang w:val="es-ES"/>
        </w:rPr>
        <w:t>2022-2024 y de que, una vez liberada, se aplicará la nueva escala de cuotas para calcular las cuotas correspondientes a 2022;</w:t>
      </w:r>
    </w:p>
    <w:p w:rsidR="00D31999" w:rsidRDefault="00D31999">
      <w:pPr>
        <w:pStyle w:val="ListParagraph"/>
        <w:numPr>
          <w:ilvl w:val="0"/>
          <w:numId w:val="1"/>
        </w:numPr>
        <w:suppressLineNumbers/>
        <w:suppressAutoHyphens/>
        <w:spacing w:before="120" w:after="120"/>
        <w:ind w:left="0" w:firstLine="720"/>
        <w:rPr>
          <w:kern w:val="22"/>
          <w:lang w:val="es-ES"/>
        </w:rPr>
      </w:pPr>
      <w:r>
        <w:rPr>
          <w:i/>
          <w:iCs/>
          <w:color w:val="000000"/>
          <w:kern w:val="22"/>
          <w:lang w:val="es-ES" w:eastAsia="fr-FR"/>
        </w:rPr>
        <w:t>Adopta también</w:t>
      </w:r>
      <w:r>
        <w:rPr>
          <w:color w:val="000000"/>
          <w:kern w:val="22"/>
          <w:lang w:val="es-ES" w:eastAsia="fr-FR"/>
        </w:rPr>
        <w:t xml:space="preserve"> la plantilla </w:t>
      </w:r>
      <w:r>
        <w:rPr>
          <w:rFonts w:eastAsia="Malgun Gothic"/>
          <w:color w:val="000000"/>
          <w:kern w:val="22"/>
          <w:lang w:val="es-ES" w:eastAsia="ko-KR"/>
        </w:rPr>
        <w:t>(cuadro 6) de la Secretaría para el año 2022, que se utilizará para calcular los costes a fin de establecer el presupuesto general;</w:t>
      </w:r>
    </w:p>
    <w:p w:rsidR="00D31999" w:rsidRDefault="00D31999">
      <w:pPr>
        <w:pStyle w:val="ListParagraph"/>
        <w:numPr>
          <w:ilvl w:val="0"/>
          <w:numId w:val="1"/>
        </w:numPr>
        <w:suppressLineNumbers/>
        <w:suppressAutoHyphens/>
        <w:spacing w:before="120" w:after="120"/>
        <w:ind w:left="0" w:firstLine="720"/>
        <w:rPr>
          <w:rFonts w:eastAsia="Malgun Gothic"/>
          <w:color w:val="000000"/>
          <w:kern w:val="22"/>
          <w:lang w:val="es-ES"/>
        </w:rPr>
      </w:pPr>
      <w:r>
        <w:rPr>
          <w:rFonts w:eastAsia="Malgun Gothic"/>
          <w:i/>
          <w:iCs/>
          <w:color w:val="000000"/>
          <w:kern w:val="22"/>
          <w:lang w:val="es-ES"/>
        </w:rPr>
        <w:t>Autoriza</w:t>
      </w:r>
      <w:r>
        <w:rPr>
          <w:rFonts w:eastAsia="Malgun Gothic"/>
          <w:color w:val="000000"/>
          <w:kern w:val="22"/>
          <w:lang w:val="es-ES"/>
        </w:rPr>
        <w:t xml:space="preserve"> a la Secretaria </w:t>
      </w:r>
      <w:r w:rsidR="003B56D0">
        <w:rPr>
          <w:lang w:val="es-ES"/>
        </w:rPr>
        <w:t xml:space="preserve">Ejecutiva </w:t>
      </w:r>
      <w:proofErr w:type="gramStart"/>
      <w:r w:rsidR="003B56D0">
        <w:rPr>
          <w:lang w:val="es-ES"/>
        </w:rPr>
        <w:t>a</w:t>
      </w:r>
      <w:r>
        <w:rPr>
          <w:lang w:val="es-ES"/>
        </w:rPr>
        <w:t xml:space="preserve">  contraer</w:t>
      </w:r>
      <w:proofErr w:type="gramEnd"/>
      <w:r>
        <w:rPr>
          <w:lang w:val="es-ES"/>
        </w:rPr>
        <w:t xml:space="preserve"> compromisos,  dentro  de  los  niveles  del presupuesto  aprobado,  utilizando  para  ello  los  recursos  disponibles  en  efectivo</w:t>
      </w:r>
      <w:r>
        <w:rPr>
          <w:rFonts w:eastAsia="Malgun Gothic"/>
          <w:color w:val="000000"/>
          <w:kern w:val="22"/>
          <w:lang w:val="es-ES"/>
        </w:rPr>
        <w:t xml:space="preserve">, incluidos </w:t>
      </w:r>
      <w:r>
        <w:rPr>
          <w:lang w:val="es-ES"/>
        </w:rPr>
        <w:t>saldos  no utilizados, contribuciones de ejercicios económicos anteriores e ingresos varios, de conformidad con el Reglamento Financiero y el Reglamento del Programa de las Naciones Unidas para el Medio Ambiente</w:t>
      </w:r>
      <w:r>
        <w:rPr>
          <w:rFonts w:eastAsia="Malgun Gothic"/>
          <w:color w:val="000000"/>
          <w:kern w:val="22"/>
          <w:lang w:val="es-ES"/>
        </w:rPr>
        <w:t>;</w:t>
      </w:r>
    </w:p>
    <w:p w:rsidR="00D31999" w:rsidRDefault="00D31999">
      <w:pPr>
        <w:pStyle w:val="ListParagraph"/>
        <w:numPr>
          <w:ilvl w:val="0"/>
          <w:numId w:val="1"/>
        </w:numPr>
        <w:suppressLineNumbers/>
        <w:suppressAutoHyphens/>
        <w:spacing w:before="120" w:after="120"/>
        <w:ind w:left="0" w:firstLine="720"/>
        <w:rPr>
          <w:rFonts w:eastAsia="Malgun Gothic"/>
          <w:color w:val="000000"/>
          <w:kern w:val="22"/>
          <w:lang w:val="es-ES"/>
        </w:rPr>
      </w:pPr>
      <w:r>
        <w:rPr>
          <w:rFonts w:eastAsia="Malgun Gothic"/>
          <w:i/>
          <w:iCs/>
          <w:color w:val="000000"/>
          <w:kern w:val="22"/>
          <w:lang w:val="es-ES"/>
        </w:rPr>
        <w:t>Autoriza asimismo</w:t>
      </w:r>
      <w:r>
        <w:rPr>
          <w:rFonts w:eastAsia="Malgun Gothic"/>
          <w:color w:val="000000"/>
          <w:kern w:val="22"/>
          <w:lang w:val="es-ES"/>
        </w:rPr>
        <w:t xml:space="preserve"> a la Secretaria Ejecutiva a transferir </w:t>
      </w:r>
      <w:r>
        <w:rPr>
          <w:lang w:val="es-ES"/>
        </w:rPr>
        <w:t>recursos de un programa a otro, entre los sectores de consignaciones</w:t>
      </w:r>
      <w:r>
        <w:rPr>
          <w:rFonts w:eastAsia="Malgun Gothic"/>
          <w:color w:val="000000"/>
          <w:kern w:val="22"/>
          <w:lang w:val="es-ES"/>
        </w:rPr>
        <w:t xml:space="preserve"> </w:t>
      </w:r>
      <w:r>
        <w:rPr>
          <w:lang w:val="es-ES"/>
        </w:rPr>
        <w:t xml:space="preserve">principales establecidos en el cuadro </w:t>
      </w:r>
      <w:r>
        <w:rPr>
          <w:rFonts w:eastAsia="Malgun Gothic"/>
          <w:color w:val="000000"/>
          <w:kern w:val="22"/>
          <w:lang w:val="es-ES"/>
        </w:rPr>
        <w:t>5b de la nota de la Secretaria Ejecutiva</w:t>
      </w:r>
      <w:r w:rsidR="003B56D0">
        <w:fldChar w:fldCharType="begin"/>
      </w:r>
      <w:r w:rsidR="003B56D0" w:rsidRPr="00713820">
        <w:rPr>
          <w:lang w:val="fr-CA"/>
        </w:rPr>
        <w:instrText xml:space="preserve"> NOTEREF _Ref81136053 \h  \* MERGEFORMAT </w:instrText>
      </w:r>
      <w:r w:rsidR="003B56D0">
        <w:fldChar w:fldCharType="separate"/>
      </w:r>
      <w:r w:rsidRPr="00713820">
        <w:rPr>
          <w:lang w:val="fr-CA"/>
        </w:rPr>
        <w:t>2</w:t>
      </w:r>
      <w:r w:rsidR="003B56D0">
        <w:fldChar w:fldCharType="end"/>
      </w:r>
      <w:r>
        <w:rPr>
          <w:rFonts w:eastAsia="Malgun Gothic"/>
          <w:color w:val="000000"/>
          <w:kern w:val="22"/>
          <w:lang w:val="es-ES"/>
        </w:rPr>
        <w:t xml:space="preserve"> hasta un límite </w:t>
      </w:r>
      <w:r>
        <w:rPr>
          <w:lang w:val="es-ES"/>
        </w:rPr>
        <w:t>global del</w:t>
      </w:r>
      <w:r>
        <w:rPr>
          <w:rFonts w:eastAsia="Malgun Gothic"/>
          <w:color w:val="000000"/>
          <w:kern w:val="22"/>
          <w:lang w:val="es-ES"/>
        </w:rPr>
        <w:t xml:space="preserve"> 15 % </w:t>
      </w:r>
      <w:r>
        <w:rPr>
          <w:lang w:val="es-ES"/>
        </w:rPr>
        <w:t>del presupuesto por programas total, siempre que se aplique una limitación</w:t>
      </w:r>
      <w:r>
        <w:rPr>
          <w:rFonts w:eastAsia="Malgun Gothic"/>
          <w:color w:val="000000"/>
          <w:kern w:val="22"/>
          <w:lang w:val="es-ES"/>
        </w:rPr>
        <w:t xml:space="preserve"> </w:t>
      </w:r>
      <w:r>
        <w:rPr>
          <w:lang w:val="es-ES"/>
        </w:rPr>
        <w:t>adicional de hasta un máximo del 25 % de cada uno de estos sectores de consignaciones</w:t>
      </w:r>
      <w:r>
        <w:rPr>
          <w:rFonts w:eastAsia="Malgun Gothic"/>
          <w:color w:val="000000"/>
          <w:kern w:val="22"/>
          <w:lang w:val="es-ES"/>
        </w:rPr>
        <w:t>;</w:t>
      </w:r>
    </w:p>
    <w:p w:rsidR="00D31999" w:rsidRDefault="00D31999">
      <w:pPr>
        <w:pStyle w:val="ListParagraph"/>
        <w:numPr>
          <w:ilvl w:val="0"/>
          <w:numId w:val="1"/>
        </w:numPr>
        <w:suppressLineNumbers/>
        <w:suppressAutoHyphens/>
        <w:spacing w:before="120" w:after="120"/>
        <w:ind w:left="0" w:firstLine="720"/>
        <w:rPr>
          <w:kern w:val="22"/>
          <w:lang w:val="es-ES"/>
        </w:rPr>
      </w:pPr>
      <w:r>
        <w:rPr>
          <w:rFonts w:eastAsia="Malgun Gothic"/>
          <w:i/>
          <w:iCs/>
          <w:color w:val="000000"/>
          <w:kern w:val="22"/>
          <w:lang w:val="es-ES"/>
        </w:rPr>
        <w:t>Invita</w:t>
      </w:r>
      <w:r>
        <w:rPr>
          <w:rFonts w:eastAsia="Malgun Gothic"/>
          <w:color w:val="000000"/>
          <w:kern w:val="22"/>
          <w:lang w:val="es-ES"/>
        </w:rPr>
        <w:t xml:space="preserve"> a todas las Partes en el Convenio a </w:t>
      </w:r>
      <w:r w:rsidR="003B56D0">
        <w:rPr>
          <w:lang w:val="es-ES"/>
        </w:rPr>
        <w:t xml:space="preserve">tomar nota </w:t>
      </w:r>
      <w:proofErr w:type="gramStart"/>
      <w:r w:rsidR="003B56D0">
        <w:rPr>
          <w:lang w:val="es-ES"/>
        </w:rPr>
        <w:t>de</w:t>
      </w:r>
      <w:r>
        <w:rPr>
          <w:lang w:val="es-ES"/>
        </w:rPr>
        <w:t xml:space="preserve">  que</w:t>
      </w:r>
      <w:proofErr w:type="gramEnd"/>
      <w:r>
        <w:rPr>
          <w:lang w:val="es-ES"/>
        </w:rPr>
        <w:t xml:space="preserve">  las  contribuciones  a  los presupuestos básicos por programas</w:t>
      </w:r>
      <w:r>
        <w:rPr>
          <w:rFonts w:eastAsia="Malgun Gothic"/>
          <w:color w:val="000000"/>
          <w:kern w:val="22"/>
          <w:lang w:val="es-ES"/>
        </w:rPr>
        <w:t xml:space="preserve"> (BY, BG y BB) </w:t>
      </w:r>
      <w:r>
        <w:rPr>
          <w:lang w:val="es-ES"/>
        </w:rPr>
        <w:t>son pagaderas al 1 de enero del año para el que fueron presupuestadas</w:t>
      </w:r>
      <w:r>
        <w:rPr>
          <w:rFonts w:eastAsia="Malgun Gothic"/>
          <w:color w:val="000000"/>
          <w:kern w:val="22"/>
          <w:lang w:val="es-ES"/>
        </w:rPr>
        <w:t xml:space="preserve">, </w:t>
      </w:r>
      <w:r>
        <w:rPr>
          <w:lang w:val="es-ES"/>
        </w:rPr>
        <w:t xml:space="preserve">y a pagarlas sin demora, y </w:t>
      </w:r>
      <w:r>
        <w:rPr>
          <w:i/>
          <w:iCs/>
          <w:lang w:val="es-ES"/>
        </w:rPr>
        <w:t>pide</w:t>
      </w:r>
      <w:r>
        <w:rPr>
          <w:lang w:val="es-ES"/>
        </w:rPr>
        <w:t xml:space="preserve"> que se notifique a las Partes la cuantía de sus</w:t>
      </w:r>
      <w:r>
        <w:rPr>
          <w:rFonts w:eastAsia="Malgun Gothic"/>
          <w:color w:val="000000"/>
          <w:kern w:val="22"/>
          <w:lang w:val="es-ES"/>
        </w:rPr>
        <w:t xml:space="preserve"> </w:t>
      </w:r>
      <w:r>
        <w:rPr>
          <w:lang w:val="es-ES"/>
        </w:rPr>
        <w:t>contribuciones lo más temprano posible durante el año anterior al año en que vencen las mismas</w:t>
      </w:r>
      <w:r>
        <w:rPr>
          <w:rFonts w:eastAsia="Malgun Gothic"/>
          <w:color w:val="000000"/>
          <w:kern w:val="22"/>
          <w:lang w:val="es-ES"/>
        </w:rPr>
        <w:t>;</w:t>
      </w:r>
    </w:p>
    <w:p w:rsidR="00D31999" w:rsidRDefault="00D31999">
      <w:pPr>
        <w:pStyle w:val="ListParagraph"/>
        <w:numPr>
          <w:ilvl w:val="0"/>
          <w:numId w:val="1"/>
        </w:numPr>
        <w:suppressLineNumbers/>
        <w:suppressAutoHyphens/>
        <w:spacing w:before="120" w:after="120"/>
        <w:ind w:left="0" w:firstLine="720"/>
        <w:rPr>
          <w:kern w:val="22"/>
          <w:lang w:val="es-ES"/>
        </w:rPr>
      </w:pPr>
      <w:r>
        <w:rPr>
          <w:i/>
          <w:iCs/>
          <w:color w:val="000000"/>
          <w:kern w:val="22"/>
          <w:lang w:val="es-ES"/>
        </w:rPr>
        <w:t xml:space="preserve">Observa con preocupación </w:t>
      </w:r>
      <w:r w:rsidR="003B56D0">
        <w:rPr>
          <w:lang w:val="es-ES"/>
        </w:rPr>
        <w:t xml:space="preserve">que varias </w:t>
      </w:r>
      <w:proofErr w:type="gramStart"/>
      <w:r w:rsidR="003B56D0">
        <w:rPr>
          <w:lang w:val="es-ES"/>
        </w:rPr>
        <w:t>Partes</w:t>
      </w:r>
      <w:r>
        <w:rPr>
          <w:lang w:val="es-ES"/>
        </w:rPr>
        <w:t xml:space="preserve">  no</w:t>
      </w:r>
      <w:proofErr w:type="gramEnd"/>
      <w:r>
        <w:rPr>
          <w:lang w:val="es-ES"/>
        </w:rPr>
        <w:t xml:space="preserve">  han  pagado  sus  contribuciones correspondientes a los presupuestos básicos (fondos fiduciarios BY, BG y BB) para 2020 y años anteriores</w:t>
      </w:r>
      <w:r>
        <w:rPr>
          <w:color w:val="000000"/>
          <w:kern w:val="22"/>
          <w:lang w:val="es-ES"/>
        </w:rPr>
        <w:t>,</w:t>
      </w:r>
      <w:r>
        <w:rPr>
          <w:color w:val="000000"/>
          <w:kern w:val="22"/>
          <w:lang w:val="es-ES" w:eastAsia="ko-KR"/>
        </w:rPr>
        <w:t xml:space="preserve"> </w:t>
      </w:r>
      <w:r>
        <w:rPr>
          <w:lang w:val="es-ES"/>
        </w:rPr>
        <w:t>entre las que se incluyen Partes que nunca han pagado sus contribuciones</w:t>
      </w:r>
      <w:r>
        <w:rPr>
          <w:color w:val="000000"/>
          <w:kern w:val="22"/>
          <w:lang w:val="es-ES" w:eastAsia="ko-KR"/>
        </w:rPr>
        <w:t>;</w:t>
      </w:r>
    </w:p>
    <w:p w:rsidR="00D31999" w:rsidRDefault="00D31999">
      <w:pPr>
        <w:pStyle w:val="ListParagraph"/>
        <w:numPr>
          <w:ilvl w:val="0"/>
          <w:numId w:val="1"/>
        </w:numPr>
        <w:suppressLineNumbers/>
        <w:suppressAutoHyphens/>
        <w:spacing w:before="120" w:after="120"/>
        <w:ind w:left="0" w:firstLine="720"/>
        <w:rPr>
          <w:kern w:val="22"/>
          <w:lang w:val="es-ES"/>
        </w:rPr>
      </w:pPr>
      <w:r>
        <w:rPr>
          <w:i/>
          <w:iCs/>
          <w:color w:val="000000"/>
          <w:kern w:val="22"/>
          <w:lang w:val="es-ES" w:eastAsia="ko-KR"/>
        </w:rPr>
        <w:t>Observa</w:t>
      </w:r>
      <w:r>
        <w:rPr>
          <w:rFonts w:eastAsia="Malgun Gothic"/>
          <w:color w:val="000000"/>
          <w:kern w:val="22"/>
          <w:lang w:val="es-ES"/>
        </w:rPr>
        <w:t xml:space="preserve"> </w:t>
      </w:r>
      <w:proofErr w:type="gramStart"/>
      <w:r>
        <w:rPr>
          <w:lang w:val="es-ES"/>
        </w:rPr>
        <w:t>que  los</w:t>
      </w:r>
      <w:proofErr w:type="gramEnd"/>
      <w:r>
        <w:rPr>
          <w:lang w:val="es-ES"/>
        </w:rPr>
        <w:t xml:space="preserve">  fondos fiduciarios  para  el  Convenio  y  sus  Protocolos </w:t>
      </w:r>
      <w:r>
        <w:rPr>
          <w:rFonts w:eastAsia="Malgun Gothic"/>
          <w:color w:val="000000"/>
          <w:kern w:val="22"/>
          <w:lang w:val="es-ES"/>
        </w:rPr>
        <w:t xml:space="preserve">(BY, BG y BB) </w:t>
      </w:r>
      <w:r>
        <w:rPr>
          <w:lang w:val="es-ES"/>
        </w:rPr>
        <w:t xml:space="preserve">deberían prorrogarse por un período de dos años, que comenzaría el 1 de enero de </w:t>
      </w:r>
      <w:r>
        <w:rPr>
          <w:rFonts w:eastAsia="Malgun Gothic"/>
          <w:color w:val="000000"/>
          <w:kern w:val="22"/>
          <w:lang w:val="es-ES"/>
        </w:rPr>
        <w:t xml:space="preserve">2022 y </w:t>
      </w:r>
      <w:r>
        <w:rPr>
          <w:lang w:val="es-ES"/>
        </w:rPr>
        <w:t xml:space="preserve">finalizaría el 31 de diciembre de 2023, y </w:t>
      </w:r>
      <w:r>
        <w:rPr>
          <w:i/>
          <w:iCs/>
          <w:lang w:val="es-ES"/>
        </w:rPr>
        <w:t>pide</w:t>
      </w:r>
      <w:r>
        <w:rPr>
          <w:lang w:val="es-ES"/>
        </w:rPr>
        <w:t xml:space="preserve"> a la Directora Ejecutiva del Programa de las Naciones Unidas para el Medio Ambiente que solicite la aprobación de la Asamblea</w:t>
      </w:r>
      <w:r>
        <w:rPr>
          <w:rFonts w:eastAsia="Malgun Gothic"/>
          <w:color w:val="000000"/>
          <w:kern w:val="22"/>
          <w:lang w:val="es-ES" w:eastAsia="ko-KR"/>
        </w:rPr>
        <w:t xml:space="preserve"> </w:t>
      </w:r>
      <w:r>
        <w:rPr>
          <w:lang w:val="es-ES"/>
        </w:rPr>
        <w:t>de las Naciones Unidas para el Medio Ambiente para</w:t>
      </w:r>
      <w:r>
        <w:rPr>
          <w:rFonts w:eastAsia="Malgun Gothic"/>
          <w:color w:val="000000"/>
          <w:kern w:val="22"/>
          <w:lang w:val="es-ES" w:eastAsia="ko-KR"/>
        </w:rPr>
        <w:t xml:space="preserve"> esa prórroga;</w:t>
      </w:r>
    </w:p>
    <w:p w:rsidR="00D31999" w:rsidRDefault="00D31999">
      <w:pPr>
        <w:pStyle w:val="ListParagraph"/>
        <w:numPr>
          <w:ilvl w:val="0"/>
          <w:numId w:val="1"/>
        </w:numPr>
        <w:suppressLineNumbers/>
        <w:suppressAutoHyphens/>
        <w:spacing w:before="120" w:after="120"/>
        <w:ind w:left="0" w:firstLine="720"/>
        <w:rPr>
          <w:kern w:val="22"/>
          <w:lang w:val="es-ES"/>
        </w:rPr>
      </w:pPr>
      <w:r>
        <w:rPr>
          <w:i/>
          <w:iCs/>
          <w:kern w:val="22"/>
          <w:lang w:val="es-ES"/>
        </w:rPr>
        <w:t>Afirma</w:t>
      </w:r>
      <w:r>
        <w:rPr>
          <w:kern w:val="22"/>
          <w:lang w:val="es-ES"/>
        </w:rPr>
        <w:t xml:space="preserve"> que </w:t>
      </w:r>
      <w:r>
        <w:rPr>
          <w:lang w:val="es-ES"/>
        </w:rPr>
        <w:t>la presente decisión no afecta las ulteriores decisiones que adopte la Conferencia</w:t>
      </w:r>
      <w:r>
        <w:rPr>
          <w:kern w:val="22"/>
          <w:lang w:val="es-ES"/>
        </w:rPr>
        <w:t xml:space="preserve"> de las Partes en la Parte II de su 15ª reunión;</w:t>
      </w:r>
    </w:p>
    <w:p w:rsidR="00D31999" w:rsidRDefault="00D31999">
      <w:pPr>
        <w:pStyle w:val="ListParagraph"/>
        <w:numPr>
          <w:ilvl w:val="0"/>
          <w:numId w:val="1"/>
        </w:numPr>
        <w:suppressLineNumbers/>
        <w:suppressAutoHyphens/>
        <w:spacing w:before="120" w:after="120"/>
        <w:ind w:left="0" w:firstLine="720"/>
        <w:rPr>
          <w:kern w:val="22"/>
          <w:lang w:val="es-ES"/>
        </w:rPr>
      </w:pPr>
      <w:r>
        <w:rPr>
          <w:i/>
          <w:iCs/>
          <w:kern w:val="22"/>
          <w:lang w:val="es-ES"/>
        </w:rPr>
        <w:t>Pide</w:t>
      </w:r>
      <w:r>
        <w:rPr>
          <w:kern w:val="22"/>
          <w:lang w:val="es-ES"/>
        </w:rPr>
        <w:t xml:space="preserve"> a la Secretaria Ejecutiva que:</w:t>
      </w:r>
    </w:p>
    <w:p w:rsidR="00D31999" w:rsidRDefault="00D31999">
      <w:pPr>
        <w:pStyle w:val="ListParagraph"/>
        <w:numPr>
          <w:ilvl w:val="1"/>
          <w:numId w:val="7"/>
        </w:numPr>
        <w:suppressLineNumbers/>
        <w:suppressAutoHyphens/>
        <w:spacing w:before="120" w:after="120"/>
        <w:ind w:left="0" w:firstLine="720"/>
        <w:rPr>
          <w:kern w:val="22"/>
          <w:lang w:val="es-ES"/>
        </w:rPr>
      </w:pPr>
      <w:r>
        <w:rPr>
          <w:kern w:val="22"/>
          <w:lang w:val="es-ES"/>
        </w:rPr>
        <w:t xml:space="preserve">Tenga en cuenta los resultados de </w:t>
      </w:r>
      <w:r>
        <w:rPr>
          <w:lang w:val="es-ES"/>
        </w:rPr>
        <w:t xml:space="preserve">la presente decisión al elaborar las propuestas para el presupuesto para el bienio </w:t>
      </w:r>
      <w:r>
        <w:rPr>
          <w:kern w:val="22"/>
          <w:lang w:val="es-ES"/>
        </w:rPr>
        <w:t>2023-2024, de conformidad con el párrafo 48 de la decisión 14/37;</w:t>
      </w:r>
    </w:p>
    <w:p w:rsidR="00D31999" w:rsidRDefault="00D31999">
      <w:pPr>
        <w:pStyle w:val="ListParagraph"/>
        <w:numPr>
          <w:ilvl w:val="1"/>
          <w:numId w:val="7"/>
        </w:numPr>
        <w:suppressLineNumbers/>
        <w:suppressAutoHyphens/>
        <w:spacing w:before="120" w:after="120"/>
        <w:ind w:left="0" w:firstLine="720"/>
        <w:rPr>
          <w:kern w:val="22"/>
          <w:lang w:val="es-ES"/>
        </w:rPr>
      </w:pPr>
      <w:r>
        <w:rPr>
          <w:kern w:val="22"/>
          <w:lang w:val="es-ES"/>
        </w:rPr>
        <w:t>Prepare</w:t>
      </w:r>
      <w:r>
        <w:rPr>
          <w:lang w:val="es-ES"/>
        </w:rPr>
        <w:t xml:space="preserve"> propuestas presupuestarias para el período </w:t>
      </w:r>
      <w:r>
        <w:rPr>
          <w:kern w:val="22"/>
          <w:lang w:val="es-ES"/>
        </w:rPr>
        <w:t xml:space="preserve">2023-2024, en </w:t>
      </w:r>
      <w:r>
        <w:rPr>
          <w:lang w:val="es-ES"/>
        </w:rPr>
        <w:t>espera de una decisión de la Conferencia de las Partes y la Conferencia</w:t>
      </w:r>
      <w:r>
        <w:rPr>
          <w:kern w:val="22"/>
          <w:lang w:val="es-ES"/>
        </w:rPr>
        <w:t xml:space="preserve"> de las Partes que actúa como reunión de las Partes en los Protocolos de Cartagena y de Nagoya </w:t>
      </w:r>
      <w:r>
        <w:rPr>
          <w:lang w:val="es-ES"/>
        </w:rPr>
        <w:t>sobre las fechas de sus reuniones 16ª, 11ª y 5ª, respectivamente</w:t>
      </w:r>
      <w:r>
        <w:rPr>
          <w:kern w:val="22"/>
          <w:lang w:val="es-ES"/>
        </w:rPr>
        <w:t>.</w:t>
      </w:r>
    </w:p>
    <w:p w:rsidR="00D31999" w:rsidRDefault="00D31999">
      <w:pPr>
        <w:pStyle w:val="ListParagraph"/>
        <w:suppressLineNumbers/>
        <w:suppressAutoHyphens/>
        <w:ind w:left="0"/>
        <w:rPr>
          <w:kern w:val="22"/>
          <w:lang w:val="es-ES"/>
        </w:rPr>
      </w:pPr>
    </w:p>
    <w:p w:rsidR="00D31999" w:rsidRDefault="00D31999">
      <w:pPr>
        <w:pStyle w:val="ListParagraph"/>
        <w:keepNext/>
        <w:suppressLineNumbers/>
        <w:suppressAutoHyphens/>
        <w:spacing w:after="120"/>
        <w:ind w:left="1152" w:hanging="720"/>
        <w:outlineLvl w:val="0"/>
        <w:rPr>
          <w:caps/>
          <w:kern w:val="22"/>
          <w:lang w:val="es-ES"/>
        </w:rPr>
      </w:pPr>
      <w:r>
        <w:rPr>
          <w:b/>
          <w:bCs/>
          <w:caps/>
          <w:kern w:val="22"/>
          <w:lang w:val="es-ES"/>
        </w:rPr>
        <w:t>IV.</w:t>
      </w:r>
      <w:r>
        <w:rPr>
          <w:b/>
          <w:bCs/>
          <w:caps/>
          <w:kern w:val="22"/>
          <w:lang w:val="es-ES"/>
        </w:rPr>
        <w:tab/>
        <w:t>PROYECTO DE DECISIÓN PARA EL EXAMEN DE LA CONFERENCIA DE LAS PARTES QUE ACTÚA COMO REUNIÓN DE LAS PARTES EN EL PROTOCOLO DE Cartagena SOBRE SEGURIDAD DE LA BIOTECNOLOGÍA</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La Conferencia de las Partes que actúa como reunión de las Partes en el Protocolo de Cartagena sobre Seguridad de la Biotecnología tal vez desee adoptar una decisión del siguiente tenor:</w:t>
      </w:r>
    </w:p>
    <w:p w:rsidR="00D31999" w:rsidRDefault="00D31999">
      <w:pPr>
        <w:pStyle w:val="ListParagraph"/>
        <w:suppressLineNumbers/>
        <w:suppressAutoHyphens/>
        <w:spacing w:before="120" w:after="120"/>
        <w:ind w:left="0" w:firstLine="720"/>
        <w:rPr>
          <w:kern w:val="22"/>
          <w:lang w:val="es-ES"/>
        </w:rPr>
      </w:pPr>
      <w:r>
        <w:rPr>
          <w:i/>
          <w:iCs/>
          <w:kern w:val="22"/>
          <w:lang w:val="es-ES"/>
        </w:rPr>
        <w:t>La Conferencia de las Partes que actúa como reunión de las Partes en el Protocolo de Cartagena sobre Seguridad de la Biotecnología</w:t>
      </w:r>
      <w:r>
        <w:rPr>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Recordando</w:t>
      </w:r>
      <w:r>
        <w:rPr>
          <w:rFonts w:cs="Times New Roman"/>
          <w:kern w:val="22"/>
          <w:lang w:val="es-ES"/>
        </w:rPr>
        <w:t xml:space="preserve"> su decisión </w:t>
      </w:r>
      <w:hyperlink r:id="rId11" w:history="1">
        <w:r>
          <w:rPr>
            <w:rStyle w:val="Hyperlink"/>
            <w:kern w:val="22"/>
            <w:sz w:val="22"/>
            <w:szCs w:val="22"/>
            <w:lang w:val="es-ES"/>
          </w:rPr>
          <w:t>9/16</w:t>
        </w:r>
      </w:hyperlink>
      <w:r>
        <w:rPr>
          <w:rFonts w:cs="Times New Roman"/>
          <w:kern w:val="22"/>
          <w:lang w:val="es-ES"/>
        </w:rPr>
        <w:t>, en la que aprobó el presupuesto para el bienio 2019-2020,</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 xml:space="preserve">Recordando </w:t>
      </w:r>
      <w:r>
        <w:rPr>
          <w:rFonts w:cs="Times New Roman"/>
          <w:kern w:val="22"/>
          <w:lang w:val="es-ES"/>
        </w:rPr>
        <w:t>su decisión CP-EM-1/1, en la que aprobó la prórroga del presupuesto para el bienio 2019-2020 y el presupuesto provisional para 2021,</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 xml:space="preserve">Considerando </w:t>
      </w:r>
      <w:r>
        <w:rPr>
          <w:rFonts w:cs="Times New Roman"/>
          <w:kern w:val="22"/>
          <w:lang w:val="es-ES"/>
        </w:rPr>
        <w:t>la decisión de celebrar la 10ª reunión de la Conferencia de las Partes que actúa como reunión de las Partes en el Protocolo de Cartagena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Tomando nota</w:t>
      </w:r>
      <w:r>
        <w:rPr>
          <w:rFonts w:cs="Times New Roman"/>
          <w:kern w:val="22"/>
          <w:lang w:val="es-ES"/>
        </w:rPr>
        <w:t>, por consiguiente, de la necesidad de tomar medidas para permitir el funcionamiento continuo de los órganos del Protocolo, incluidas su Secretaría y las reuniones de sus Partes y sus órganos subsidiarios,</w:t>
      </w:r>
    </w:p>
    <w:p w:rsidR="00D31999" w:rsidRDefault="00D31999">
      <w:pPr>
        <w:suppressLineNumbers/>
        <w:suppressAutoHyphens/>
        <w:spacing w:before="120" w:after="120"/>
        <w:ind w:firstLine="720"/>
        <w:rPr>
          <w:rFonts w:eastAsia="Malgun Gothic" w:cs="Times New Roman"/>
          <w:kern w:val="22"/>
          <w:lang w:val="es-ES"/>
        </w:rPr>
      </w:pPr>
      <w:r>
        <w:rPr>
          <w:rFonts w:cs="Times New Roman"/>
          <w:i/>
          <w:iCs/>
          <w:kern w:val="22"/>
          <w:lang w:val="es-ES"/>
        </w:rPr>
        <w:t>Tomando nota</w:t>
      </w:r>
      <w:r>
        <w:rPr>
          <w:rFonts w:cs="Times New Roman"/>
          <w:kern w:val="22"/>
          <w:lang w:val="es-ES"/>
        </w:rPr>
        <w:t xml:space="preserve"> de la propuesta de la Mesa de la Conferencia de las Partes de que, con carácter excepcional, las Partes examinen y aprueben un presupuesto provisional para 2022 mediante modalidades acordadas</w:t>
      </w:r>
      <w:r>
        <w:rPr>
          <w:rFonts w:eastAsia="Malgun Gothic" w:cs="Times New Roman"/>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Habiendo examinado</w:t>
      </w:r>
      <w:r>
        <w:rPr>
          <w:rFonts w:cs="Times New Roman"/>
          <w:kern w:val="22"/>
          <w:lang w:val="es-ES"/>
        </w:rPr>
        <w:t xml:space="preserve"> la nota de la Secretaria Ejecutiva</w:t>
      </w:r>
      <w:bookmarkStart w:id="3" w:name="_Ref81140950"/>
      <w:r>
        <w:rPr>
          <w:rStyle w:val="FootnoteReference"/>
          <w:kern w:val="22"/>
          <w:sz w:val="22"/>
          <w:szCs w:val="22"/>
          <w:lang w:val="es-ES"/>
        </w:rPr>
        <w:footnoteReference w:id="7"/>
      </w:r>
      <w:bookmarkEnd w:id="3"/>
      <w:r>
        <w:rPr>
          <w:rFonts w:cs="Times New Roman"/>
          <w:kern w:val="22"/>
          <w:lang w:val="es-ES"/>
        </w:rPr>
        <w:t>,</w:t>
      </w:r>
    </w:p>
    <w:p w:rsidR="00D31999" w:rsidRDefault="00D31999">
      <w:pPr>
        <w:pStyle w:val="ListParagraph"/>
        <w:numPr>
          <w:ilvl w:val="0"/>
          <w:numId w:val="5"/>
        </w:numPr>
        <w:suppressLineNumbers/>
        <w:suppressAutoHyphens/>
        <w:spacing w:before="120" w:after="120"/>
        <w:ind w:left="0" w:firstLine="720"/>
        <w:rPr>
          <w:rFonts w:eastAsia="Malgun Gothic"/>
          <w:color w:val="000000"/>
          <w:kern w:val="22"/>
          <w:lang w:val="es-ES"/>
        </w:rPr>
      </w:pPr>
      <w:r>
        <w:rPr>
          <w:rFonts w:eastAsia="Malgun Gothic"/>
          <w:i/>
          <w:iCs/>
          <w:color w:val="000000"/>
          <w:kern w:val="22"/>
          <w:lang w:val="es-ES"/>
        </w:rPr>
        <w:t>Aprueba,</w:t>
      </w:r>
      <w:r>
        <w:rPr>
          <w:rFonts w:eastAsia="Malgun Gothic"/>
          <w:color w:val="000000"/>
          <w:kern w:val="22"/>
          <w:lang w:val="es-ES"/>
        </w:rPr>
        <w:t xml:space="preserve"> con carácter excepcional, un presupuesto básico por programas provisional para el Protocolo de </w:t>
      </w:r>
      <w:r>
        <w:rPr>
          <w:rFonts w:eastAsia="Malgun Gothic"/>
          <w:snapToGrid w:val="0"/>
          <w:kern w:val="22"/>
          <w:lang w:val="es-ES"/>
        </w:rPr>
        <w:t xml:space="preserve">Cartagena sobre Seguridad de la Biotecnología de </w:t>
      </w:r>
      <w:r>
        <w:rPr>
          <w:rFonts w:eastAsia="Malgun Gothic"/>
          <w:kern w:val="22"/>
          <w:lang w:val="es-ES"/>
        </w:rPr>
        <w:t xml:space="preserve">2 557 943 dólares estadounidenses para el año 2022, </w:t>
      </w:r>
      <w:r>
        <w:rPr>
          <w:rFonts w:eastAsia="Malgun Gothic"/>
          <w:color w:val="000000"/>
          <w:kern w:val="22"/>
          <w:lang w:val="es-ES"/>
        </w:rPr>
        <w:t xml:space="preserve">que representa el 15 % del presupuesto integrado provisional de </w:t>
      </w:r>
      <w:r>
        <w:rPr>
          <w:rFonts w:eastAsia="Malgun Gothic"/>
          <w:kern w:val="22"/>
          <w:lang w:val="es-ES"/>
        </w:rPr>
        <w:t xml:space="preserve">17 052 952 dólares estadounidenses para el año </w:t>
      </w:r>
      <w:r>
        <w:rPr>
          <w:rFonts w:eastAsia="Malgun Gothic"/>
          <w:color w:val="000000"/>
          <w:kern w:val="22"/>
          <w:lang w:val="es-ES"/>
        </w:rPr>
        <w:t>2022, para los fines que se indican en los cuadros 5a y 5b de la nota de la Secretaria Ejecutiva</w:t>
      </w:r>
      <w:r w:rsidR="003B56D0">
        <w:fldChar w:fldCharType="begin"/>
      </w:r>
      <w:r w:rsidR="003B56D0" w:rsidRPr="00713820">
        <w:rPr>
          <w:lang w:val="fr-CA"/>
        </w:rPr>
        <w:instrText xml:space="preserve"> NOTEREF _Ref81140950 \h  \* MERGEFORMAT </w:instrText>
      </w:r>
      <w:r w:rsidR="003B56D0">
        <w:fldChar w:fldCharType="separate"/>
      </w:r>
      <w:r w:rsidRPr="00713820">
        <w:rPr>
          <w:lang w:val="fr-CA"/>
        </w:rPr>
        <w:t>3</w:t>
      </w:r>
      <w:r w:rsidR="003B56D0">
        <w:fldChar w:fldCharType="end"/>
      </w:r>
      <w:r>
        <w:rPr>
          <w:rFonts w:eastAsia="Malgun Gothic"/>
          <w:color w:val="000000"/>
          <w:kern w:val="22"/>
          <w:lang w:val="es-ES"/>
        </w:rPr>
        <w:t>;</w:t>
      </w:r>
    </w:p>
    <w:p w:rsidR="00D31999" w:rsidRDefault="00D31999">
      <w:pPr>
        <w:pStyle w:val="ListParagraph"/>
        <w:numPr>
          <w:ilvl w:val="0"/>
          <w:numId w:val="5"/>
        </w:numPr>
        <w:suppressLineNumbers/>
        <w:suppressAutoHyphens/>
        <w:spacing w:before="120" w:after="120"/>
        <w:ind w:left="0" w:firstLine="720"/>
        <w:rPr>
          <w:rFonts w:eastAsia="Malgun Gothic"/>
          <w:color w:val="000000"/>
          <w:kern w:val="22"/>
          <w:lang w:val="es-ES"/>
        </w:rPr>
      </w:pPr>
      <w:r>
        <w:rPr>
          <w:i/>
          <w:iCs/>
          <w:kern w:val="22"/>
          <w:lang w:val="es-ES"/>
        </w:rPr>
        <w:t>Pide</w:t>
      </w:r>
      <w:r>
        <w:rPr>
          <w:kern w:val="22"/>
          <w:lang w:val="es-ES"/>
        </w:rPr>
        <w:t xml:space="preserve"> a la Secretaria Ejecutiva que prepare propuestas para el presupuesto para el bienio 2023-2024;</w:t>
      </w:r>
    </w:p>
    <w:p w:rsidR="00D31999" w:rsidRDefault="00D31999">
      <w:pPr>
        <w:pStyle w:val="ListParagraph"/>
        <w:numPr>
          <w:ilvl w:val="0"/>
          <w:numId w:val="5"/>
        </w:numPr>
        <w:suppressLineNumbers/>
        <w:shd w:val="clear" w:color="auto" w:fill="FFFFFF"/>
        <w:suppressAutoHyphens/>
        <w:spacing w:before="120" w:after="120"/>
        <w:ind w:left="0" w:firstLine="720"/>
        <w:rPr>
          <w:kern w:val="22"/>
          <w:lang w:val="es-ES"/>
        </w:rPr>
      </w:pPr>
      <w:r>
        <w:rPr>
          <w:rFonts w:eastAsia="Malgun Gothic"/>
          <w:i/>
          <w:iCs/>
          <w:snapToGrid w:val="0"/>
          <w:kern w:val="22"/>
          <w:lang w:val="es-ES"/>
        </w:rPr>
        <w:t>Decide</w:t>
      </w:r>
      <w:r>
        <w:rPr>
          <w:rFonts w:eastAsia="Malgun Gothic"/>
          <w:snapToGrid w:val="0"/>
          <w:kern w:val="22"/>
          <w:lang w:val="es-ES"/>
        </w:rPr>
        <w:t xml:space="preserve"> aplicar, </w:t>
      </w:r>
      <w:r>
        <w:rPr>
          <w:i/>
          <w:iCs/>
          <w:kern w:val="22"/>
          <w:lang w:val="es-ES"/>
        </w:rPr>
        <w:t>mutatis mutandis</w:t>
      </w:r>
      <w:r>
        <w:rPr>
          <w:rFonts w:eastAsia="Malgun Gothic"/>
          <w:snapToGrid w:val="0"/>
          <w:kern w:val="22"/>
          <w:lang w:val="es-ES"/>
        </w:rPr>
        <w:t>, los párrafos 2 al 12 de la decisión adoptada por la Conferencia de las Partes en su 15ª reunión (Parte I)</w:t>
      </w:r>
      <w:r>
        <w:rPr>
          <w:rStyle w:val="FootnoteReference"/>
          <w:rFonts w:eastAsia="Malgun Gothic"/>
          <w:snapToGrid w:val="0"/>
          <w:kern w:val="22"/>
          <w:sz w:val="22"/>
          <w:szCs w:val="22"/>
          <w:lang w:val="es-ES"/>
        </w:rPr>
        <w:footnoteReference w:id="8"/>
      </w:r>
      <w:r>
        <w:rPr>
          <w:rFonts w:eastAsia="Malgun Gothic"/>
          <w:snapToGrid w:val="0"/>
          <w:kern w:val="22"/>
          <w:lang w:val="es-ES"/>
        </w:rPr>
        <w:t>.</w:t>
      </w:r>
    </w:p>
    <w:p w:rsidR="00D31999" w:rsidRDefault="00D31999">
      <w:pPr>
        <w:pStyle w:val="ListParagraph"/>
        <w:suppressLineNumbers/>
        <w:shd w:val="clear" w:color="auto" w:fill="FFFFFF"/>
        <w:suppressAutoHyphens/>
        <w:ind w:left="0"/>
        <w:rPr>
          <w:kern w:val="22"/>
          <w:lang w:val="es-ES"/>
        </w:rPr>
      </w:pPr>
    </w:p>
    <w:p w:rsidR="00D31999" w:rsidRDefault="00D31999">
      <w:pPr>
        <w:keepNext/>
        <w:suppressLineNumbers/>
        <w:suppressAutoHyphens/>
        <w:spacing w:after="120"/>
        <w:ind w:left="1152" w:hanging="432"/>
        <w:jc w:val="left"/>
        <w:outlineLvl w:val="0"/>
        <w:rPr>
          <w:rFonts w:ascii="Times New Roman Bold" w:hAnsi="Times New Roman Bold" w:cs="Times New Roman Bold"/>
          <w:caps/>
          <w:kern w:val="22"/>
          <w:lang w:val="es-ES"/>
        </w:rPr>
      </w:pPr>
      <w:r>
        <w:rPr>
          <w:rFonts w:ascii="Times New Roman Bold" w:hAnsi="Times New Roman Bold" w:cs="Times New Roman Bold"/>
          <w:b/>
          <w:bCs/>
          <w:caps/>
          <w:kern w:val="22"/>
          <w:lang w:val="es-ES"/>
        </w:rPr>
        <w:t>V.</w:t>
      </w:r>
      <w:r>
        <w:rPr>
          <w:rFonts w:ascii="Times New Roman Bold" w:hAnsi="Times New Roman Bold" w:cs="Times New Roman Bold"/>
          <w:b/>
          <w:bCs/>
          <w:caps/>
          <w:kern w:val="22"/>
          <w:lang w:val="es-ES"/>
        </w:rPr>
        <w:tab/>
        <w:t xml:space="preserve">PROYECTO </w:t>
      </w:r>
      <w:r>
        <w:rPr>
          <w:rFonts w:cs="Times New Roman"/>
          <w:b/>
          <w:bCs/>
          <w:caps/>
          <w:kern w:val="22"/>
          <w:lang w:val="es-ES"/>
        </w:rPr>
        <w:t>DE DECISIÓN PARA EL EXAMEN DE LA CONFERENCIA DE LAS PARTES QUE ACTÚA COMO REUNIÓN DE LAS PARTES EN EL PROTOCOLO</w:t>
      </w:r>
      <w:r>
        <w:rPr>
          <w:rFonts w:ascii="Times New Roman Bold" w:hAnsi="Times New Roman Bold" w:cs="Times New Roman Bold"/>
          <w:b/>
          <w:bCs/>
          <w:caps/>
          <w:kern w:val="22"/>
          <w:lang w:val="es-ES"/>
        </w:rPr>
        <w:t xml:space="preserve"> DE Nagoya SOBRE ACCESO Y PARTICIPACIÓN EN LOS BENEFICIOS</w:t>
      </w:r>
    </w:p>
    <w:p w:rsidR="00D31999" w:rsidRDefault="00D31999">
      <w:pPr>
        <w:pStyle w:val="ListParagraph"/>
        <w:numPr>
          <w:ilvl w:val="0"/>
          <w:numId w:val="2"/>
        </w:numPr>
        <w:suppressLineNumbers/>
        <w:suppressAutoHyphens/>
        <w:spacing w:before="120" w:after="120"/>
        <w:ind w:left="0" w:firstLine="0"/>
        <w:rPr>
          <w:kern w:val="22"/>
          <w:lang w:val="es-ES"/>
        </w:rPr>
      </w:pPr>
      <w:r>
        <w:rPr>
          <w:kern w:val="22"/>
          <w:lang w:val="es-ES"/>
        </w:rPr>
        <w:t>La Conferencia de las Partes que actúa como reunión de las Partes en el Protocolo de Nagoya sobre Acceso y Participación en los Beneficios tal vez desee adoptar una decisión del siguiente tenor:</w:t>
      </w:r>
    </w:p>
    <w:p w:rsidR="00D31999" w:rsidRDefault="00D31999">
      <w:pPr>
        <w:pStyle w:val="ListParagraph"/>
        <w:suppressLineNumbers/>
        <w:suppressAutoHyphens/>
        <w:spacing w:before="120" w:after="120"/>
        <w:ind w:left="0" w:firstLine="720"/>
        <w:rPr>
          <w:kern w:val="22"/>
          <w:lang w:val="es-ES"/>
        </w:rPr>
      </w:pPr>
      <w:r>
        <w:rPr>
          <w:i/>
          <w:iCs/>
          <w:kern w:val="22"/>
          <w:lang w:val="es-ES"/>
        </w:rPr>
        <w:t>La Conferencia de las Partes que actúa como reunión de las Partes en el Protocolo de Nagoya sobre Acceso y Participación en los Beneficios</w:t>
      </w:r>
      <w:r>
        <w:rPr>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Recordando</w:t>
      </w:r>
      <w:r>
        <w:rPr>
          <w:rFonts w:cs="Times New Roman"/>
          <w:kern w:val="22"/>
          <w:lang w:val="es-ES"/>
        </w:rPr>
        <w:t xml:space="preserve"> su decisión </w:t>
      </w:r>
      <w:hyperlink r:id="rId12" w:history="1">
        <w:r>
          <w:rPr>
            <w:rStyle w:val="Hyperlink"/>
            <w:kern w:val="22"/>
            <w:sz w:val="22"/>
            <w:szCs w:val="22"/>
            <w:lang w:val="es-ES"/>
          </w:rPr>
          <w:t>3/16</w:t>
        </w:r>
      </w:hyperlink>
      <w:r>
        <w:rPr>
          <w:rFonts w:cs="Times New Roman"/>
          <w:kern w:val="22"/>
          <w:lang w:val="es-ES"/>
        </w:rPr>
        <w:t>, en la que aprobó el presupuesto para el bienio 2019-2020,</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Recordando</w:t>
      </w:r>
      <w:r>
        <w:rPr>
          <w:rFonts w:cs="Times New Roman"/>
          <w:kern w:val="22"/>
          <w:lang w:val="es-ES"/>
        </w:rPr>
        <w:t xml:space="preserve"> su decisión NP-EM-1/1, en la que aprobó la prórroga del presupuesto para el bienio 2019-2020 y el presupuesto provisional para 2021,</w:t>
      </w:r>
    </w:p>
    <w:p w:rsidR="00D31999" w:rsidRDefault="00D31999">
      <w:pPr>
        <w:suppressLineNumbers/>
        <w:suppressAutoHyphens/>
        <w:spacing w:before="120" w:after="120"/>
        <w:ind w:firstLine="720"/>
        <w:rPr>
          <w:rFonts w:cs="Times New Roman"/>
          <w:i/>
          <w:iCs/>
          <w:kern w:val="22"/>
          <w:lang w:val="es-ES"/>
        </w:rPr>
      </w:pPr>
      <w:r>
        <w:rPr>
          <w:rFonts w:cs="Times New Roman"/>
          <w:i/>
          <w:iCs/>
          <w:kern w:val="22"/>
          <w:lang w:val="es-ES"/>
        </w:rPr>
        <w:t xml:space="preserve">Considerando </w:t>
      </w:r>
      <w:r>
        <w:rPr>
          <w:rFonts w:cs="Times New Roman"/>
          <w:kern w:val="22"/>
          <w:lang w:val="es-ES"/>
        </w:rPr>
        <w:t>la decisión de celebrar la 4ª reunión de la Conferencia de las Partes en dos partes, la Parte I del 11 al 15 de octubre de 2021 y la Parte II del 25 de abril al 8 de mayo de 2022, debido a las restricciones provocadas por la situación de la pandemia de la COVID-19, y que está previsto que el examen y la aprobación de un presupuesto ordinario o completo tengan lugar durante la Parte II de la reunión,</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Tomando nota</w:t>
      </w:r>
      <w:r>
        <w:rPr>
          <w:rFonts w:cs="Times New Roman"/>
          <w:kern w:val="22"/>
          <w:lang w:val="es-ES"/>
        </w:rPr>
        <w:t>, por consiguiente, de la necesidad de tomar medidas para permitir el funcionamiento continuo de los órganos del Protocolo, incluidas su Secretaría y las reuniones de sus Partes y sus órganos subsidiarios,</w:t>
      </w:r>
    </w:p>
    <w:p w:rsidR="00D31999" w:rsidRDefault="00D31999">
      <w:pPr>
        <w:suppressLineNumbers/>
        <w:suppressAutoHyphens/>
        <w:spacing w:before="120" w:after="120"/>
        <w:ind w:firstLine="720"/>
        <w:rPr>
          <w:rFonts w:eastAsia="Malgun Gothic" w:cs="Times New Roman"/>
          <w:kern w:val="22"/>
          <w:lang w:val="es-ES"/>
        </w:rPr>
      </w:pPr>
      <w:r>
        <w:rPr>
          <w:rFonts w:cs="Times New Roman"/>
          <w:i/>
          <w:iCs/>
          <w:kern w:val="22"/>
          <w:lang w:val="es-ES"/>
        </w:rPr>
        <w:t>Tomando nota</w:t>
      </w:r>
      <w:r>
        <w:rPr>
          <w:rFonts w:cs="Times New Roman"/>
          <w:kern w:val="22"/>
          <w:lang w:val="es-ES"/>
        </w:rPr>
        <w:t xml:space="preserve"> de la propuesta de la Mesa de la Conferencia de las Partes de que, con carácter excepcional, las Partes examinen y aprueben un presupuesto provisional para 2022 mediante modalidades acordadas</w:t>
      </w:r>
      <w:r>
        <w:rPr>
          <w:rFonts w:eastAsia="Malgun Gothic" w:cs="Times New Roman"/>
          <w:kern w:val="22"/>
          <w:lang w:val="es-ES"/>
        </w:rPr>
        <w:t>,</w:t>
      </w:r>
    </w:p>
    <w:p w:rsidR="00D31999" w:rsidRDefault="00D31999">
      <w:pPr>
        <w:suppressLineNumbers/>
        <w:suppressAutoHyphens/>
        <w:spacing w:before="120" w:after="120"/>
        <w:ind w:firstLine="720"/>
        <w:rPr>
          <w:rFonts w:cs="Times New Roman"/>
          <w:kern w:val="22"/>
          <w:lang w:val="es-ES"/>
        </w:rPr>
      </w:pPr>
      <w:r>
        <w:rPr>
          <w:rFonts w:cs="Times New Roman"/>
          <w:i/>
          <w:iCs/>
          <w:kern w:val="22"/>
          <w:lang w:val="es-ES"/>
        </w:rPr>
        <w:t>Habiendo examinado</w:t>
      </w:r>
      <w:r>
        <w:rPr>
          <w:rFonts w:cs="Times New Roman"/>
          <w:kern w:val="22"/>
          <w:lang w:val="es-ES"/>
        </w:rPr>
        <w:t xml:space="preserve"> la nota de la Secretaria Ejecutiva</w:t>
      </w:r>
      <w:bookmarkStart w:id="4" w:name="_Ref81141669"/>
      <w:r>
        <w:rPr>
          <w:rStyle w:val="FootnoteReference"/>
          <w:kern w:val="22"/>
          <w:sz w:val="22"/>
          <w:szCs w:val="22"/>
          <w:lang w:val="es-ES"/>
        </w:rPr>
        <w:footnoteReference w:id="9"/>
      </w:r>
      <w:bookmarkEnd w:id="4"/>
      <w:r>
        <w:rPr>
          <w:rFonts w:cs="Times New Roman"/>
          <w:kern w:val="22"/>
          <w:lang w:val="es-ES"/>
        </w:rPr>
        <w:t>,</w:t>
      </w:r>
    </w:p>
    <w:p w:rsidR="00D31999" w:rsidRDefault="00D31999">
      <w:pPr>
        <w:pStyle w:val="ListParagraph"/>
        <w:numPr>
          <w:ilvl w:val="0"/>
          <w:numId w:val="6"/>
        </w:numPr>
        <w:suppressLineNumbers/>
        <w:shd w:val="clear" w:color="auto" w:fill="FFFFFF"/>
        <w:suppressAutoHyphens/>
        <w:spacing w:before="120" w:after="120"/>
        <w:ind w:left="0" w:firstLine="720"/>
        <w:rPr>
          <w:kern w:val="22"/>
          <w:lang w:val="es-ES" w:eastAsia="ko-KR"/>
        </w:rPr>
      </w:pPr>
      <w:r>
        <w:rPr>
          <w:rFonts w:eastAsia="Malgun Gothic"/>
          <w:i/>
          <w:iCs/>
          <w:kern w:val="22"/>
          <w:lang w:val="es-ES"/>
        </w:rPr>
        <w:t>Aprueba,</w:t>
      </w:r>
      <w:r>
        <w:rPr>
          <w:rFonts w:eastAsia="Malgun Gothic"/>
          <w:kern w:val="22"/>
          <w:lang w:val="es-ES"/>
        </w:rPr>
        <w:t xml:space="preserve"> </w:t>
      </w:r>
      <w:r>
        <w:rPr>
          <w:rFonts w:eastAsia="Malgun Gothic"/>
          <w:color w:val="000000"/>
          <w:kern w:val="22"/>
          <w:lang w:val="es-ES"/>
        </w:rPr>
        <w:t xml:space="preserve">con carácter excepcional, un presupuesto básico por programas provisional para el Protocolo de </w:t>
      </w:r>
      <w:r>
        <w:rPr>
          <w:rFonts w:eastAsia="Malgun Gothic"/>
          <w:kern w:val="22"/>
          <w:lang w:val="es-ES"/>
        </w:rPr>
        <w:t>Nagoya</w:t>
      </w:r>
      <w:r>
        <w:rPr>
          <w:rFonts w:eastAsia="Malgun Gothic"/>
          <w:snapToGrid w:val="0"/>
          <w:kern w:val="22"/>
          <w:lang w:val="es-ES"/>
        </w:rPr>
        <w:t xml:space="preserve"> sobre Acceso y Participación en los Beneficios de</w:t>
      </w:r>
      <w:r>
        <w:rPr>
          <w:rFonts w:eastAsia="Malgun Gothic"/>
          <w:kern w:val="22"/>
          <w:lang w:val="es-ES"/>
        </w:rPr>
        <w:t xml:space="preserve"> 1 875 825 dólares estadounidenses para el año 2022, </w:t>
      </w:r>
      <w:r>
        <w:rPr>
          <w:rFonts w:eastAsia="Malgun Gothic"/>
          <w:color w:val="000000"/>
          <w:kern w:val="22"/>
          <w:lang w:val="es-ES"/>
        </w:rPr>
        <w:t xml:space="preserve">que representa el 11 % del presupuesto integrado provisional de </w:t>
      </w:r>
      <w:r>
        <w:rPr>
          <w:rFonts w:eastAsia="Malgun Gothic"/>
          <w:kern w:val="22"/>
          <w:lang w:val="es-ES"/>
        </w:rPr>
        <w:t xml:space="preserve">17 052 952 dólares estadounidenses para el año </w:t>
      </w:r>
      <w:r>
        <w:rPr>
          <w:rFonts w:eastAsia="Malgun Gothic"/>
          <w:color w:val="000000"/>
          <w:kern w:val="22"/>
          <w:lang w:val="es-ES"/>
        </w:rPr>
        <w:t>2022, para los fines que se indican en los cuadros 5a y 5b de la nota de la Secretaria Ejecutiva</w:t>
      </w:r>
      <w:r w:rsidR="003B56D0">
        <w:fldChar w:fldCharType="begin"/>
      </w:r>
      <w:r w:rsidR="003B56D0" w:rsidRPr="00713820">
        <w:rPr>
          <w:lang w:val="fr-CA"/>
        </w:rPr>
        <w:instrText xml:space="preserve"> NOTEREF _Ref81141669 \h  \* MERGEFORMAT </w:instrText>
      </w:r>
      <w:r w:rsidR="003B56D0">
        <w:fldChar w:fldCharType="separate"/>
      </w:r>
      <w:r w:rsidRPr="00713820">
        <w:rPr>
          <w:lang w:val="fr-CA"/>
        </w:rPr>
        <w:t>5</w:t>
      </w:r>
      <w:r w:rsidR="003B56D0">
        <w:fldChar w:fldCharType="end"/>
      </w:r>
      <w:r>
        <w:rPr>
          <w:rFonts w:eastAsia="Malgun Gothic"/>
          <w:kern w:val="22"/>
          <w:lang w:val="es-ES"/>
        </w:rPr>
        <w:t>;</w:t>
      </w:r>
    </w:p>
    <w:p w:rsidR="00D31999" w:rsidRDefault="00D31999">
      <w:pPr>
        <w:pStyle w:val="ListParagraph"/>
        <w:numPr>
          <w:ilvl w:val="0"/>
          <w:numId w:val="6"/>
        </w:numPr>
        <w:suppressLineNumbers/>
        <w:shd w:val="clear" w:color="auto" w:fill="FFFFFF"/>
        <w:suppressAutoHyphens/>
        <w:spacing w:before="120" w:after="120"/>
        <w:ind w:left="0" w:firstLine="720"/>
        <w:rPr>
          <w:kern w:val="22"/>
          <w:lang w:val="es-ES" w:eastAsia="ko-KR"/>
        </w:rPr>
      </w:pPr>
      <w:r>
        <w:rPr>
          <w:i/>
          <w:iCs/>
          <w:kern w:val="22"/>
          <w:lang w:val="es-ES"/>
        </w:rPr>
        <w:t>Pide</w:t>
      </w:r>
      <w:r>
        <w:rPr>
          <w:kern w:val="22"/>
          <w:lang w:val="es-ES"/>
        </w:rPr>
        <w:t xml:space="preserve"> a la Secretaria Ejecutiva que prepare propuestas para el presupuesto para el bienio 2023-2024;</w:t>
      </w:r>
    </w:p>
    <w:p w:rsidR="00D31999" w:rsidRDefault="00D31999">
      <w:pPr>
        <w:pStyle w:val="ListParagraph"/>
        <w:numPr>
          <w:ilvl w:val="0"/>
          <w:numId w:val="6"/>
        </w:numPr>
        <w:suppressLineNumbers/>
        <w:shd w:val="clear" w:color="auto" w:fill="FFFFFF"/>
        <w:suppressAutoHyphens/>
        <w:spacing w:before="120" w:after="120"/>
        <w:ind w:left="0" w:firstLine="720"/>
        <w:rPr>
          <w:kern w:val="22"/>
          <w:lang w:val="es-ES"/>
        </w:rPr>
      </w:pPr>
      <w:r>
        <w:rPr>
          <w:rFonts w:eastAsia="Malgun Gothic"/>
          <w:i/>
          <w:iCs/>
          <w:snapToGrid w:val="0"/>
          <w:kern w:val="22"/>
          <w:lang w:val="es-ES"/>
        </w:rPr>
        <w:t>Decide</w:t>
      </w:r>
      <w:r>
        <w:rPr>
          <w:rFonts w:eastAsia="Malgun Gothic"/>
          <w:snapToGrid w:val="0"/>
          <w:kern w:val="22"/>
          <w:lang w:val="es-ES"/>
        </w:rPr>
        <w:t xml:space="preserve"> aplicar, </w:t>
      </w:r>
      <w:r>
        <w:rPr>
          <w:i/>
          <w:iCs/>
          <w:kern w:val="22"/>
          <w:lang w:val="es-ES"/>
        </w:rPr>
        <w:t>mutatis mutandis</w:t>
      </w:r>
      <w:r>
        <w:rPr>
          <w:rFonts w:eastAsia="Malgun Gothic"/>
          <w:snapToGrid w:val="0"/>
          <w:kern w:val="22"/>
          <w:lang w:val="es-ES"/>
        </w:rPr>
        <w:t>, los párrafos 2 al 12 de la decisión adoptada por la Conferencia de las Partes en su 15ª reunión (Parte I)</w:t>
      </w:r>
      <w:r>
        <w:rPr>
          <w:rStyle w:val="FootnoteReference"/>
          <w:rFonts w:eastAsia="Malgun Gothic"/>
          <w:snapToGrid w:val="0"/>
          <w:kern w:val="22"/>
          <w:sz w:val="22"/>
          <w:szCs w:val="22"/>
          <w:lang w:val="es-ES"/>
        </w:rPr>
        <w:footnoteReference w:id="10"/>
      </w:r>
      <w:r>
        <w:rPr>
          <w:rFonts w:eastAsia="Malgun Gothic"/>
          <w:snapToGrid w:val="0"/>
          <w:kern w:val="22"/>
          <w:lang w:val="es-ES"/>
        </w:rPr>
        <w:t>.</w:t>
      </w:r>
    </w:p>
    <w:p w:rsidR="00D31999" w:rsidRDefault="00D31999">
      <w:pPr>
        <w:suppressLineNumbers/>
        <w:suppressAutoHyphens/>
        <w:spacing w:before="120" w:after="120"/>
        <w:rPr>
          <w:rFonts w:cs="Times New Roman"/>
          <w:kern w:val="22"/>
          <w:lang w:val="es-ES"/>
        </w:rPr>
      </w:pPr>
    </w:p>
    <w:p w:rsidR="00D31999" w:rsidRDefault="00D31999">
      <w:pPr>
        <w:pStyle w:val="Default"/>
        <w:keepNext/>
        <w:keepLines/>
        <w:suppressLineNumbers/>
        <w:suppressAutoHyphens/>
        <w:adjustRightInd/>
        <w:ind w:left="144"/>
        <w:jc w:val="both"/>
        <w:rPr>
          <w:b/>
          <w:bCs/>
          <w:kern w:val="22"/>
          <w:sz w:val="22"/>
          <w:szCs w:val="22"/>
          <w:lang w:val="es-ES"/>
        </w:rPr>
      </w:pPr>
      <w:r>
        <w:rPr>
          <w:b/>
          <w:bCs/>
          <w:kern w:val="22"/>
          <w:sz w:val="22"/>
          <w:szCs w:val="22"/>
          <w:lang w:val="es-ES"/>
        </w:rPr>
        <w:t>Cuadro 6</w:t>
      </w:r>
    </w:p>
    <w:p w:rsidR="00D31999" w:rsidRDefault="00D31999">
      <w:pPr>
        <w:pStyle w:val="Default"/>
        <w:keepNext/>
        <w:keepLines/>
        <w:suppressLineNumbers/>
        <w:suppressAutoHyphens/>
        <w:ind w:left="144"/>
        <w:rPr>
          <w:b/>
          <w:bCs/>
          <w:kern w:val="22"/>
          <w:sz w:val="22"/>
          <w:szCs w:val="22"/>
          <w:lang w:val="es-ES"/>
        </w:rPr>
      </w:pPr>
      <w:r>
        <w:rPr>
          <w:b/>
          <w:bCs/>
          <w:kern w:val="22"/>
          <w:sz w:val="22"/>
          <w:szCs w:val="22"/>
          <w:lang w:val="es-ES"/>
        </w:rPr>
        <w:t xml:space="preserve">Necesidades de personal de la Secretaría con cargo a los presupuestos básicos del Convenio y </w:t>
      </w:r>
    </w:p>
    <w:p w:rsidR="00D31999" w:rsidRDefault="00D31999">
      <w:pPr>
        <w:pStyle w:val="Default"/>
        <w:keepNext/>
        <w:keepLines/>
        <w:suppressLineNumbers/>
        <w:suppressAutoHyphens/>
        <w:adjustRightInd/>
        <w:ind w:left="144"/>
        <w:jc w:val="both"/>
        <w:rPr>
          <w:kern w:val="22"/>
          <w:sz w:val="22"/>
          <w:szCs w:val="22"/>
          <w:lang w:val="es-ES"/>
        </w:rPr>
      </w:pPr>
      <w:r>
        <w:rPr>
          <w:b/>
          <w:bCs/>
          <w:kern w:val="22"/>
          <w:sz w:val="22"/>
          <w:szCs w:val="22"/>
          <w:lang w:val="es-ES"/>
        </w:rPr>
        <w:t>sus Protocolos para 2022</w:t>
      </w:r>
    </w:p>
    <w:p w:rsidR="00D31999" w:rsidRDefault="00D31999">
      <w:pPr>
        <w:keepNext/>
        <w:keepLines/>
        <w:suppressLineNumbers/>
        <w:suppressAutoHyphens/>
        <w:ind w:left="144"/>
        <w:rPr>
          <w:rFonts w:cs="Times New Roman"/>
          <w:kern w:val="22"/>
          <w:lang w:val="es-ES"/>
        </w:rPr>
      </w:pPr>
    </w:p>
    <w:tbl>
      <w:tblPr>
        <w:tblW w:w="9073" w:type="dxa"/>
        <w:jc w:val="center"/>
        <w:tblLook w:val="0000" w:firstRow="0" w:lastRow="0" w:firstColumn="0" w:lastColumn="0" w:noHBand="0" w:noVBand="0"/>
      </w:tblPr>
      <w:tblGrid>
        <w:gridCol w:w="3651"/>
        <w:gridCol w:w="1807"/>
        <w:gridCol w:w="1807"/>
        <w:gridCol w:w="1808"/>
      </w:tblGrid>
      <w:tr w:rsidR="00D31999">
        <w:trPr>
          <w:cantSplit/>
          <w:jc w:val="center"/>
        </w:trPr>
        <w:tc>
          <w:tcPr>
            <w:tcW w:w="3651" w:type="dxa"/>
            <w:tcBorders>
              <w:top w:val="nil"/>
              <w:left w:val="nil"/>
              <w:bottom w:val="single" w:sz="8" w:space="0" w:color="auto"/>
              <w:right w:val="nil"/>
            </w:tcBorders>
            <w:vAlign w:val="center"/>
          </w:tcPr>
          <w:p w:rsidR="00D31999" w:rsidRDefault="00D31999">
            <w:pPr>
              <w:keepNext/>
              <w:keepLines/>
              <w:suppressLineNumbers/>
              <w:suppressAutoHyphens/>
              <w:jc w:val="center"/>
              <w:rPr>
                <w:rFonts w:cs="Times New Roman"/>
                <w:b/>
                <w:bCs/>
                <w:color w:val="000000"/>
                <w:kern w:val="22"/>
                <w:lang w:val="es-ES"/>
              </w:rPr>
            </w:pPr>
            <w:r>
              <w:rPr>
                <w:rFonts w:cs="Times New Roman"/>
                <w:b/>
                <w:bCs/>
                <w:color w:val="000000"/>
                <w:kern w:val="22"/>
                <w:lang w:val="es-ES"/>
              </w:rPr>
              <w:t>Categoría y nivel</w:t>
            </w:r>
          </w:p>
        </w:tc>
        <w:tc>
          <w:tcPr>
            <w:tcW w:w="1807" w:type="dxa"/>
            <w:tcBorders>
              <w:top w:val="nil"/>
              <w:left w:val="nil"/>
              <w:bottom w:val="single" w:sz="8" w:space="0" w:color="auto"/>
              <w:right w:val="nil"/>
            </w:tcBorders>
            <w:vAlign w:val="center"/>
          </w:tcPr>
          <w:p w:rsidR="00D31999" w:rsidRDefault="00D31999">
            <w:pPr>
              <w:keepNext/>
              <w:keepLines/>
              <w:suppressLineNumbers/>
              <w:suppressAutoHyphens/>
              <w:jc w:val="center"/>
              <w:rPr>
                <w:rFonts w:cs="Times New Roman"/>
                <w:b/>
                <w:bCs/>
                <w:color w:val="000000"/>
                <w:kern w:val="22"/>
                <w:lang w:val="es-ES"/>
              </w:rPr>
            </w:pPr>
            <w:r>
              <w:rPr>
                <w:rFonts w:cs="Times New Roman"/>
                <w:b/>
                <w:bCs/>
                <w:color w:val="000000"/>
                <w:kern w:val="22"/>
                <w:lang w:val="es-ES"/>
              </w:rPr>
              <w:t>Aprobado para 2021</w:t>
            </w:r>
          </w:p>
        </w:tc>
        <w:tc>
          <w:tcPr>
            <w:tcW w:w="1807" w:type="dxa"/>
            <w:tcBorders>
              <w:top w:val="nil"/>
              <w:left w:val="nil"/>
              <w:bottom w:val="single" w:sz="8" w:space="0" w:color="auto"/>
              <w:right w:val="nil"/>
            </w:tcBorders>
            <w:vAlign w:val="center"/>
          </w:tcPr>
          <w:p w:rsidR="00D31999" w:rsidRDefault="00D31999">
            <w:pPr>
              <w:keepNext/>
              <w:keepLines/>
              <w:suppressLineNumbers/>
              <w:suppressAutoHyphens/>
              <w:jc w:val="center"/>
              <w:rPr>
                <w:rFonts w:cs="Times New Roman"/>
                <w:b/>
                <w:bCs/>
                <w:color w:val="000000"/>
                <w:kern w:val="22"/>
                <w:lang w:val="es-ES"/>
              </w:rPr>
            </w:pPr>
            <w:r>
              <w:rPr>
                <w:rFonts w:cs="Times New Roman"/>
                <w:b/>
                <w:bCs/>
                <w:color w:val="000000"/>
                <w:kern w:val="22"/>
                <w:lang w:val="es-ES"/>
              </w:rPr>
              <w:t>Propuesto para 2022</w:t>
            </w:r>
          </w:p>
        </w:tc>
        <w:tc>
          <w:tcPr>
            <w:tcW w:w="1808" w:type="dxa"/>
            <w:tcBorders>
              <w:top w:val="nil"/>
              <w:left w:val="nil"/>
              <w:bottom w:val="single" w:sz="8" w:space="0" w:color="auto"/>
              <w:right w:val="nil"/>
            </w:tcBorders>
            <w:vAlign w:val="center"/>
          </w:tcPr>
          <w:p w:rsidR="00D31999" w:rsidRDefault="00D31999">
            <w:pPr>
              <w:keepNext/>
              <w:keepLines/>
              <w:suppressLineNumbers/>
              <w:suppressAutoHyphens/>
              <w:jc w:val="center"/>
              <w:rPr>
                <w:rFonts w:cs="Times New Roman"/>
                <w:b/>
                <w:bCs/>
                <w:color w:val="000000"/>
                <w:kern w:val="22"/>
                <w:lang w:val="es-ES"/>
              </w:rPr>
            </w:pPr>
            <w:r>
              <w:rPr>
                <w:rFonts w:cs="Times New Roman"/>
                <w:b/>
                <w:bCs/>
                <w:color w:val="000000"/>
                <w:kern w:val="22"/>
                <w:lang w:val="es-ES"/>
              </w:rPr>
              <w:t>Diferencia</w:t>
            </w:r>
          </w:p>
        </w:tc>
      </w:tr>
      <w:tr w:rsidR="00D31999">
        <w:trPr>
          <w:trHeight w:val="288"/>
          <w:jc w:val="center"/>
        </w:trPr>
        <w:tc>
          <w:tcPr>
            <w:tcW w:w="3651" w:type="dxa"/>
            <w:tcBorders>
              <w:top w:val="nil"/>
              <w:left w:val="nil"/>
              <w:bottom w:val="nil"/>
              <w:right w:val="nil"/>
            </w:tcBorders>
            <w:noWrap/>
            <w:vAlign w:val="center"/>
          </w:tcPr>
          <w:p w:rsidR="00D31999" w:rsidRDefault="00D31999">
            <w:pPr>
              <w:keepNext/>
              <w:keepLines/>
              <w:suppressLineNumbers/>
              <w:suppressAutoHyphens/>
              <w:rPr>
                <w:rFonts w:cs="Times New Roman"/>
                <w:b/>
                <w:bCs/>
                <w:color w:val="000000"/>
                <w:kern w:val="22"/>
                <w:lang w:val="es-ES"/>
              </w:rPr>
            </w:pPr>
            <w:r>
              <w:rPr>
                <w:rFonts w:cs="Times New Roman"/>
                <w:b/>
                <w:bCs/>
                <w:color w:val="000000"/>
                <w:kern w:val="22"/>
                <w:lang w:val="es-ES"/>
              </w:rPr>
              <w:t>Cuadro orgánico y categorías superiores</w:t>
            </w:r>
          </w:p>
        </w:tc>
        <w:tc>
          <w:tcPr>
            <w:tcW w:w="1807"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p>
        </w:tc>
        <w:tc>
          <w:tcPr>
            <w:tcW w:w="1807"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p>
        </w:tc>
        <w:tc>
          <w:tcPr>
            <w:tcW w:w="1808" w:type="dxa"/>
            <w:tcBorders>
              <w:top w:val="nil"/>
              <w:left w:val="nil"/>
              <w:bottom w:val="nil"/>
              <w:right w:val="nil"/>
            </w:tcBorders>
          </w:tcPr>
          <w:p w:rsidR="00D31999" w:rsidRDefault="00D31999">
            <w:pPr>
              <w:keepNext/>
              <w:keepLines/>
              <w:suppressLineNumbers/>
              <w:suppressAutoHyphens/>
              <w:rPr>
                <w:rFonts w:cs="Times New Roman"/>
                <w:color w:val="000000"/>
                <w:kern w:val="22"/>
                <w:lang w:val="es-ES"/>
              </w:rPr>
            </w:pPr>
          </w:p>
        </w:tc>
      </w:tr>
      <w:tr w:rsidR="00D31999">
        <w:trPr>
          <w:trHeight w:val="288"/>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SSG</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w:t>
            </w:r>
          </w:p>
        </w:tc>
      </w:tr>
      <w:tr w:rsidR="00D31999">
        <w:trPr>
          <w:trHeight w:val="288"/>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D-2</w:t>
            </w:r>
            <w:r>
              <w:rPr>
                <w:rFonts w:cs="Times New Roman"/>
                <w:color w:val="000000"/>
                <w:kern w:val="22"/>
                <w:vertAlign w:val="superscript"/>
                <w:lang w:val="es-ES"/>
              </w:rPr>
              <w:t>1</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r>
      <w:tr w:rsidR="00D31999">
        <w:trPr>
          <w:trHeight w:val="288"/>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D-1</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3</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2</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r>
      <w:tr w:rsidR="00D31999">
        <w:trPr>
          <w:trHeight w:val="288"/>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P-5</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10</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10</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w:t>
            </w:r>
          </w:p>
        </w:tc>
      </w:tr>
      <w:tr w:rsidR="00D31999">
        <w:trPr>
          <w:trHeight w:val="288"/>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P-4</w:t>
            </w:r>
            <w:r>
              <w:rPr>
                <w:rFonts w:cs="Times New Roman"/>
                <w:color w:val="000000"/>
                <w:kern w:val="22"/>
                <w:vertAlign w:val="superscript"/>
                <w:lang w:val="es-ES"/>
              </w:rPr>
              <w:t>2</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12</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13</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r>
      <w:tr w:rsidR="00D31999">
        <w:trPr>
          <w:trHeight w:val="288"/>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P-3</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14</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13</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-1-</w:t>
            </w:r>
          </w:p>
        </w:tc>
      </w:tr>
      <w:tr w:rsidR="00D31999">
        <w:trPr>
          <w:trHeight w:val="300"/>
          <w:jc w:val="center"/>
        </w:trPr>
        <w:tc>
          <w:tcPr>
            <w:tcW w:w="3651" w:type="dxa"/>
            <w:tcBorders>
              <w:top w:val="nil"/>
              <w:left w:val="nil"/>
              <w:bottom w:val="nil"/>
              <w:right w:val="nil"/>
            </w:tcBorders>
            <w:vAlign w:val="center"/>
          </w:tcPr>
          <w:p w:rsidR="00D31999" w:rsidRDefault="00D31999">
            <w:pPr>
              <w:keepNext/>
              <w:keepLines/>
              <w:suppressLineNumbers/>
              <w:suppressAutoHyphens/>
              <w:rPr>
                <w:rFonts w:cs="Times New Roman"/>
                <w:color w:val="000000"/>
                <w:kern w:val="22"/>
                <w:lang w:val="es-ES"/>
              </w:rPr>
            </w:pPr>
            <w:r>
              <w:rPr>
                <w:rFonts w:cs="Times New Roman"/>
                <w:color w:val="000000"/>
                <w:kern w:val="22"/>
                <w:lang w:val="es-ES"/>
              </w:rPr>
              <w:t>P-2/1</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9</w:t>
            </w:r>
          </w:p>
        </w:tc>
        <w:tc>
          <w:tcPr>
            <w:tcW w:w="1807" w:type="dxa"/>
            <w:tcBorders>
              <w:top w:val="nil"/>
              <w:left w:val="nil"/>
              <w:bottom w:val="nil"/>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9</w:t>
            </w:r>
          </w:p>
        </w:tc>
        <w:tc>
          <w:tcPr>
            <w:tcW w:w="1808" w:type="dxa"/>
            <w:tcBorders>
              <w:top w:val="nil"/>
              <w:left w:val="nil"/>
              <w:bottom w:val="nil"/>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w:t>
            </w:r>
          </w:p>
        </w:tc>
      </w:tr>
      <w:tr w:rsidR="00D31999">
        <w:trPr>
          <w:trHeight w:val="300"/>
          <w:jc w:val="center"/>
        </w:trPr>
        <w:tc>
          <w:tcPr>
            <w:tcW w:w="3651" w:type="dxa"/>
            <w:tcBorders>
              <w:top w:val="single" w:sz="8" w:space="0" w:color="auto"/>
              <w:left w:val="nil"/>
              <w:bottom w:val="single" w:sz="8" w:space="0" w:color="auto"/>
              <w:right w:val="nil"/>
            </w:tcBorders>
            <w:vAlign w:val="center"/>
          </w:tcPr>
          <w:p w:rsidR="00D31999" w:rsidRDefault="00D31999">
            <w:pPr>
              <w:keepNext/>
              <w:keepLines/>
              <w:suppressLineNumbers/>
              <w:suppressAutoHyphens/>
              <w:rPr>
                <w:rFonts w:cs="Times New Roman"/>
                <w:b/>
                <w:bCs/>
                <w:color w:val="000000"/>
                <w:kern w:val="22"/>
                <w:lang w:val="es-ES"/>
              </w:rPr>
            </w:pPr>
            <w:r>
              <w:rPr>
                <w:rFonts w:cs="Times New Roman"/>
                <w:b/>
                <w:bCs/>
                <w:color w:val="000000"/>
                <w:kern w:val="22"/>
                <w:lang w:val="es-ES"/>
              </w:rPr>
              <w:t>Subtotal</w:t>
            </w:r>
          </w:p>
        </w:tc>
        <w:tc>
          <w:tcPr>
            <w:tcW w:w="1807" w:type="dxa"/>
            <w:tcBorders>
              <w:top w:val="single" w:sz="8" w:space="0" w:color="auto"/>
              <w:left w:val="nil"/>
              <w:bottom w:val="single" w:sz="8" w:space="0" w:color="auto"/>
              <w:right w:val="nil"/>
            </w:tcBorders>
            <w:vAlign w:val="center"/>
          </w:tcPr>
          <w:p w:rsidR="00D31999" w:rsidRDefault="00D31999">
            <w:pPr>
              <w:keepNext/>
              <w:keepLines/>
              <w:suppressLineNumbers/>
              <w:suppressAutoHyphens/>
              <w:ind w:right="451"/>
              <w:jc w:val="right"/>
              <w:rPr>
                <w:rFonts w:cs="Times New Roman"/>
                <w:b/>
                <w:bCs/>
                <w:color w:val="000000"/>
                <w:kern w:val="22"/>
                <w:lang w:val="es-ES"/>
              </w:rPr>
            </w:pPr>
            <w:r>
              <w:rPr>
                <w:rFonts w:cs="Times New Roman"/>
                <w:b/>
                <w:bCs/>
                <w:color w:val="000000"/>
                <w:kern w:val="22"/>
                <w:lang w:val="es-ES"/>
              </w:rPr>
              <w:t>49</w:t>
            </w:r>
          </w:p>
        </w:tc>
        <w:tc>
          <w:tcPr>
            <w:tcW w:w="1807" w:type="dxa"/>
            <w:tcBorders>
              <w:top w:val="single" w:sz="8" w:space="0" w:color="auto"/>
              <w:left w:val="nil"/>
              <w:bottom w:val="single" w:sz="8" w:space="0" w:color="auto"/>
              <w:right w:val="nil"/>
            </w:tcBorders>
            <w:vAlign w:val="center"/>
          </w:tcPr>
          <w:p w:rsidR="00D31999" w:rsidRDefault="00D31999">
            <w:pPr>
              <w:keepNext/>
              <w:keepLines/>
              <w:suppressLineNumbers/>
              <w:suppressAutoHyphens/>
              <w:ind w:right="451"/>
              <w:jc w:val="right"/>
              <w:rPr>
                <w:rFonts w:cs="Times New Roman"/>
                <w:b/>
                <w:bCs/>
                <w:color w:val="000000"/>
                <w:kern w:val="22"/>
                <w:lang w:val="es-ES"/>
              </w:rPr>
            </w:pPr>
            <w:r>
              <w:rPr>
                <w:rFonts w:cs="Times New Roman"/>
                <w:b/>
                <w:bCs/>
                <w:color w:val="000000"/>
                <w:kern w:val="22"/>
                <w:lang w:val="es-ES"/>
              </w:rPr>
              <w:t>49</w:t>
            </w:r>
          </w:p>
        </w:tc>
        <w:tc>
          <w:tcPr>
            <w:tcW w:w="1808" w:type="dxa"/>
            <w:tcBorders>
              <w:top w:val="single" w:sz="8" w:space="0" w:color="auto"/>
              <w:left w:val="nil"/>
              <w:bottom w:val="single" w:sz="8" w:space="0" w:color="auto"/>
              <w:right w:val="nil"/>
            </w:tcBorders>
          </w:tcPr>
          <w:p w:rsidR="00D31999" w:rsidRDefault="00D31999">
            <w:pPr>
              <w:keepNext/>
              <w:keepLines/>
              <w:suppressLineNumbers/>
              <w:suppressAutoHyphens/>
              <w:ind w:right="451"/>
              <w:jc w:val="right"/>
              <w:rPr>
                <w:rFonts w:cs="Times New Roman"/>
                <w:b/>
                <w:bCs/>
                <w:color w:val="000000"/>
                <w:kern w:val="22"/>
                <w:lang w:val="es-ES"/>
              </w:rPr>
            </w:pPr>
            <w:r>
              <w:rPr>
                <w:rFonts w:cs="Times New Roman"/>
                <w:b/>
                <w:bCs/>
                <w:color w:val="000000"/>
                <w:kern w:val="22"/>
                <w:lang w:val="es-ES"/>
              </w:rPr>
              <w:t>-</w:t>
            </w:r>
          </w:p>
        </w:tc>
      </w:tr>
      <w:tr w:rsidR="00D31999">
        <w:trPr>
          <w:trHeight w:val="300"/>
          <w:jc w:val="center"/>
        </w:trPr>
        <w:tc>
          <w:tcPr>
            <w:tcW w:w="3651" w:type="dxa"/>
            <w:tcBorders>
              <w:top w:val="nil"/>
              <w:left w:val="nil"/>
              <w:bottom w:val="single" w:sz="8" w:space="0" w:color="auto"/>
              <w:right w:val="nil"/>
            </w:tcBorders>
            <w:vAlign w:val="center"/>
          </w:tcPr>
          <w:p w:rsidR="00D31999" w:rsidRDefault="00D31999">
            <w:pPr>
              <w:keepNext/>
              <w:keepLines/>
              <w:suppressLineNumbers/>
              <w:suppressAutoHyphens/>
              <w:rPr>
                <w:rFonts w:cs="Times New Roman"/>
                <w:b/>
                <w:bCs/>
                <w:color w:val="000000"/>
                <w:kern w:val="22"/>
                <w:lang w:val="es-ES"/>
              </w:rPr>
            </w:pPr>
            <w:r>
              <w:rPr>
                <w:rFonts w:cs="Times New Roman"/>
                <w:b/>
                <w:bCs/>
                <w:color w:val="000000"/>
                <w:kern w:val="22"/>
                <w:lang w:val="es-ES"/>
              </w:rPr>
              <w:t>Cuadro de Servicios Generales</w:t>
            </w:r>
          </w:p>
        </w:tc>
        <w:tc>
          <w:tcPr>
            <w:tcW w:w="1807" w:type="dxa"/>
            <w:tcBorders>
              <w:top w:val="nil"/>
              <w:left w:val="nil"/>
              <w:bottom w:val="single" w:sz="8" w:space="0" w:color="auto"/>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29</w:t>
            </w:r>
          </w:p>
        </w:tc>
        <w:tc>
          <w:tcPr>
            <w:tcW w:w="1807" w:type="dxa"/>
            <w:tcBorders>
              <w:top w:val="nil"/>
              <w:left w:val="nil"/>
              <w:bottom w:val="single" w:sz="8" w:space="0" w:color="auto"/>
              <w:right w:val="nil"/>
            </w:tcBorders>
            <w:vAlign w:val="center"/>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29</w:t>
            </w:r>
          </w:p>
        </w:tc>
        <w:tc>
          <w:tcPr>
            <w:tcW w:w="1808" w:type="dxa"/>
            <w:tcBorders>
              <w:top w:val="nil"/>
              <w:left w:val="nil"/>
              <w:bottom w:val="single" w:sz="8" w:space="0" w:color="auto"/>
              <w:right w:val="nil"/>
            </w:tcBorders>
          </w:tcPr>
          <w:p w:rsidR="00D31999" w:rsidRDefault="00D31999">
            <w:pPr>
              <w:keepNext/>
              <w:keepLines/>
              <w:suppressLineNumbers/>
              <w:suppressAutoHyphens/>
              <w:ind w:right="451"/>
              <w:jc w:val="right"/>
              <w:rPr>
                <w:rFonts w:cs="Times New Roman"/>
                <w:color w:val="000000"/>
                <w:kern w:val="22"/>
                <w:lang w:val="es-ES"/>
              </w:rPr>
            </w:pPr>
            <w:r>
              <w:rPr>
                <w:rFonts w:cs="Times New Roman"/>
                <w:color w:val="000000"/>
                <w:kern w:val="22"/>
                <w:lang w:val="es-ES"/>
              </w:rPr>
              <w:t>-</w:t>
            </w:r>
          </w:p>
        </w:tc>
      </w:tr>
      <w:tr w:rsidR="00D31999">
        <w:trPr>
          <w:trHeight w:val="300"/>
          <w:jc w:val="center"/>
        </w:trPr>
        <w:tc>
          <w:tcPr>
            <w:tcW w:w="3651" w:type="dxa"/>
            <w:tcBorders>
              <w:top w:val="nil"/>
              <w:left w:val="nil"/>
              <w:bottom w:val="single" w:sz="12" w:space="0" w:color="auto"/>
              <w:right w:val="nil"/>
            </w:tcBorders>
            <w:vAlign w:val="center"/>
          </w:tcPr>
          <w:p w:rsidR="00D31999" w:rsidRDefault="00D31999">
            <w:pPr>
              <w:keepNext/>
              <w:keepLines/>
              <w:suppressLineNumbers/>
              <w:suppressAutoHyphens/>
              <w:rPr>
                <w:rFonts w:cs="Times New Roman"/>
                <w:b/>
                <w:bCs/>
                <w:color w:val="000000"/>
                <w:kern w:val="22"/>
                <w:lang w:val="es-ES"/>
              </w:rPr>
            </w:pPr>
            <w:r>
              <w:rPr>
                <w:rFonts w:cs="Times New Roman"/>
                <w:b/>
                <w:bCs/>
                <w:color w:val="000000"/>
                <w:kern w:val="22"/>
                <w:lang w:val="es-ES"/>
              </w:rPr>
              <w:t>Total</w:t>
            </w:r>
          </w:p>
        </w:tc>
        <w:tc>
          <w:tcPr>
            <w:tcW w:w="1807" w:type="dxa"/>
            <w:tcBorders>
              <w:top w:val="nil"/>
              <w:left w:val="nil"/>
              <w:bottom w:val="single" w:sz="12" w:space="0" w:color="auto"/>
              <w:right w:val="nil"/>
            </w:tcBorders>
            <w:vAlign w:val="center"/>
          </w:tcPr>
          <w:p w:rsidR="00D31999" w:rsidRDefault="00D31999">
            <w:pPr>
              <w:keepNext/>
              <w:keepLines/>
              <w:suppressLineNumbers/>
              <w:suppressAutoHyphens/>
              <w:ind w:right="451"/>
              <w:jc w:val="right"/>
              <w:rPr>
                <w:rFonts w:cs="Times New Roman"/>
                <w:b/>
                <w:bCs/>
                <w:color w:val="000000"/>
                <w:kern w:val="22"/>
                <w:lang w:val="es-ES"/>
              </w:rPr>
            </w:pPr>
            <w:r>
              <w:rPr>
                <w:rFonts w:cs="Times New Roman"/>
                <w:b/>
                <w:bCs/>
                <w:color w:val="000000"/>
                <w:kern w:val="22"/>
                <w:lang w:val="es-ES"/>
              </w:rPr>
              <w:t>78</w:t>
            </w:r>
          </w:p>
        </w:tc>
        <w:tc>
          <w:tcPr>
            <w:tcW w:w="1807" w:type="dxa"/>
            <w:tcBorders>
              <w:top w:val="nil"/>
              <w:left w:val="nil"/>
              <w:bottom w:val="single" w:sz="12" w:space="0" w:color="auto"/>
              <w:right w:val="nil"/>
            </w:tcBorders>
            <w:vAlign w:val="center"/>
          </w:tcPr>
          <w:p w:rsidR="00D31999" w:rsidRDefault="00D31999">
            <w:pPr>
              <w:keepNext/>
              <w:keepLines/>
              <w:suppressLineNumbers/>
              <w:suppressAutoHyphens/>
              <w:ind w:right="451"/>
              <w:jc w:val="right"/>
              <w:rPr>
                <w:rFonts w:cs="Times New Roman"/>
                <w:b/>
                <w:bCs/>
                <w:color w:val="000000"/>
                <w:kern w:val="22"/>
                <w:lang w:val="es-ES"/>
              </w:rPr>
            </w:pPr>
            <w:r>
              <w:rPr>
                <w:rFonts w:cs="Times New Roman"/>
                <w:b/>
                <w:bCs/>
                <w:color w:val="000000"/>
                <w:kern w:val="22"/>
                <w:lang w:val="es-ES"/>
              </w:rPr>
              <w:t>78</w:t>
            </w:r>
          </w:p>
        </w:tc>
        <w:tc>
          <w:tcPr>
            <w:tcW w:w="1808" w:type="dxa"/>
            <w:tcBorders>
              <w:top w:val="nil"/>
              <w:left w:val="nil"/>
              <w:bottom w:val="single" w:sz="12" w:space="0" w:color="auto"/>
              <w:right w:val="nil"/>
            </w:tcBorders>
          </w:tcPr>
          <w:p w:rsidR="00D31999" w:rsidRDefault="00D31999">
            <w:pPr>
              <w:keepNext/>
              <w:keepLines/>
              <w:suppressLineNumbers/>
              <w:suppressAutoHyphens/>
              <w:ind w:right="451"/>
              <w:jc w:val="right"/>
              <w:rPr>
                <w:rFonts w:cs="Times New Roman"/>
                <w:b/>
                <w:bCs/>
                <w:color w:val="000000"/>
                <w:kern w:val="22"/>
                <w:lang w:val="es-ES"/>
              </w:rPr>
            </w:pPr>
            <w:r>
              <w:rPr>
                <w:rFonts w:cs="Times New Roman"/>
                <w:b/>
                <w:bCs/>
                <w:color w:val="000000"/>
                <w:kern w:val="22"/>
                <w:lang w:val="es-ES"/>
              </w:rPr>
              <w:t>-</w:t>
            </w:r>
          </w:p>
        </w:tc>
      </w:tr>
    </w:tbl>
    <w:p w:rsidR="00D31999" w:rsidRDefault="00D31999">
      <w:pPr>
        <w:pStyle w:val="ListParagraph"/>
        <w:suppressLineNumbers/>
        <w:tabs>
          <w:tab w:val="left" w:pos="1395"/>
        </w:tabs>
        <w:suppressAutoHyphens/>
        <w:spacing w:before="120" w:after="120"/>
        <w:ind w:left="144" w:right="144"/>
        <w:rPr>
          <w:rFonts w:eastAsia="Malgun Gothic"/>
          <w:color w:val="000000"/>
          <w:kern w:val="22"/>
          <w:sz w:val="20"/>
          <w:szCs w:val="20"/>
          <w:lang w:val="es-ES" w:eastAsia="ko-KR"/>
        </w:rPr>
      </w:pPr>
      <w:r>
        <w:rPr>
          <w:rFonts w:eastAsia="Malgun Gothic"/>
          <w:color w:val="000000"/>
          <w:kern w:val="22"/>
          <w:sz w:val="20"/>
          <w:szCs w:val="20"/>
          <w:vertAlign w:val="superscript"/>
          <w:lang w:val="es-ES" w:eastAsia="ko-KR"/>
        </w:rPr>
        <w:t>1</w:t>
      </w:r>
      <w:r>
        <w:rPr>
          <w:sz w:val="20"/>
          <w:szCs w:val="20"/>
          <w:lang w:val="es-ES"/>
        </w:rPr>
        <w:t>De conformidad con una recomendación de la Mesa y una comunicación de seguimiento de la Presidencia de la Conferencia de las Partes a la Directora Ejecutiva del Programa de las Naciones Unidas para el Medio Ambiente en mayo de 2020, la categoría del puesto de Secretario Ejecutivo Adjunto (D-1) se propone que se actualice a la categoría D-2 con el fin de adaptarla a puestos similares, cuando el jefe de la oficina tenga la categoría de SSG o superior.</w:t>
      </w:r>
    </w:p>
    <w:p w:rsidR="00D31999" w:rsidRDefault="00D31999">
      <w:pPr>
        <w:suppressLineNumbers/>
        <w:suppressAutoHyphens/>
        <w:spacing w:before="120" w:after="120"/>
        <w:ind w:left="144" w:right="144"/>
        <w:rPr>
          <w:rFonts w:cs="Times New Roman"/>
          <w:sz w:val="20"/>
          <w:szCs w:val="20"/>
          <w:lang w:val="es-ES"/>
        </w:rPr>
      </w:pPr>
      <w:r>
        <w:rPr>
          <w:rFonts w:cs="Times New Roman"/>
          <w:kern w:val="22"/>
          <w:sz w:val="20"/>
          <w:szCs w:val="20"/>
          <w:vertAlign w:val="superscript"/>
          <w:lang w:val="es-ES"/>
        </w:rPr>
        <w:t>2</w:t>
      </w:r>
      <w:r>
        <w:rPr>
          <w:rFonts w:cs="Times New Roman"/>
          <w:sz w:val="20"/>
          <w:szCs w:val="20"/>
          <w:lang w:val="es-ES"/>
        </w:rPr>
        <w:t>Tras el examen funcional de 2016 de la Secretaría*, el Servicio de Gestión de Recursos Humanos de la Oficina de las Naciones Unidas en Nairobi confirmó que el puesto de Auxiliar Especial (P-3) se había clasificado en la categoría P-4 y que las funciones asumidas por el puesto se mantienen hasta la fecha y deben alinearse con su reclasificación correcta.</w:t>
      </w:r>
    </w:p>
    <w:p w:rsidR="00D31999" w:rsidRDefault="00D31999">
      <w:pPr>
        <w:suppressLineNumbers/>
        <w:suppressAutoHyphens/>
        <w:spacing w:before="120" w:after="120"/>
        <w:ind w:left="144" w:right="144"/>
        <w:rPr>
          <w:rFonts w:cs="Times New Roman"/>
          <w:kern w:val="22"/>
          <w:sz w:val="20"/>
          <w:szCs w:val="20"/>
          <w:lang w:val="es-ES"/>
        </w:rPr>
      </w:pPr>
      <w:r>
        <w:rPr>
          <w:rFonts w:cs="Times New Roman"/>
          <w:kern w:val="22"/>
          <w:sz w:val="20"/>
          <w:szCs w:val="20"/>
          <w:lang w:val="es-ES"/>
        </w:rPr>
        <w:tab/>
        <w:t>* Véanse UNEP/CBD/COP/13/7/Add.2, UNEP/CBD/BS/COP-MOP/8/7/Add.2 y UNEP/CBD/NP/COP-MOP/2/7/Add.2.</w:t>
      </w:r>
    </w:p>
    <w:p w:rsidR="00D31999" w:rsidRDefault="00D31999">
      <w:pPr>
        <w:spacing w:after="160" w:line="259" w:lineRule="auto"/>
        <w:jc w:val="left"/>
        <w:rPr>
          <w:rFonts w:eastAsia="???" w:cs="Times New Roman"/>
          <w:kern w:val="22"/>
          <w:lang w:val="es-ES"/>
        </w:rPr>
      </w:pPr>
      <w:r>
        <w:rPr>
          <w:rFonts w:cs="Times New Roman"/>
          <w:kern w:val="22"/>
          <w:sz w:val="18"/>
          <w:szCs w:val="18"/>
          <w:highlight w:val="green"/>
          <w:lang w:val="es-ES"/>
        </w:rPr>
        <w:br w:type="page"/>
      </w:r>
      <w:r>
        <w:rPr>
          <w:rFonts w:eastAsia="???" w:cs="Times New Roman"/>
          <w:b/>
          <w:bCs/>
          <w:kern w:val="22"/>
          <w:lang w:val="es-ES"/>
        </w:rPr>
        <w:t>Cuadro 7</w:t>
      </w:r>
      <w:r>
        <w:rPr>
          <w:rFonts w:eastAsia="???" w:cs="Times New Roman"/>
          <w:b/>
          <w:bCs/>
          <w:kern w:val="22"/>
          <w:lang w:val="es-ES"/>
        </w:rPr>
        <w:br/>
        <w:t>Contribuciones al Fondo Fiduciario para el Convenio sobre la Diversidad Biológica para 2022</w:t>
      </w:r>
    </w:p>
    <w:tbl>
      <w:tblPr>
        <w:tblW w:w="9316" w:type="dxa"/>
        <w:jc w:val="center"/>
        <w:tblLook w:val="0000" w:firstRow="0" w:lastRow="0" w:firstColumn="0" w:lastColumn="0" w:noHBand="0" w:noVBand="0"/>
      </w:tblPr>
      <w:tblGrid>
        <w:gridCol w:w="436"/>
        <w:gridCol w:w="3920"/>
        <w:gridCol w:w="1520"/>
        <w:gridCol w:w="1720"/>
        <w:gridCol w:w="1720"/>
      </w:tblGrid>
      <w:tr w:rsidR="00D31999" w:rsidRPr="00713820">
        <w:trPr>
          <w:trHeight w:val="1040"/>
          <w:jc w:val="center"/>
        </w:trPr>
        <w:tc>
          <w:tcPr>
            <w:tcW w:w="436" w:type="dxa"/>
            <w:tcBorders>
              <w:top w:val="single" w:sz="4" w:space="0" w:color="auto"/>
              <w:left w:val="single" w:sz="4" w:space="0" w:color="auto"/>
              <w:bottom w:val="single" w:sz="4" w:space="0" w:color="auto"/>
              <w:right w:val="single" w:sz="4" w:space="0" w:color="auto"/>
            </w:tcBorders>
            <w:noWrap/>
            <w:vAlign w:val="center"/>
          </w:tcPr>
          <w:p w:rsidR="00D31999" w:rsidRDefault="00D31999">
            <w:pPr>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pStyle w:val="Heading2"/>
              <w:tabs>
                <w:tab w:val="clear" w:pos="720"/>
              </w:tabs>
              <w:spacing w:before="0" w:after="0"/>
              <w:rPr>
                <w:rFonts w:cs="Times New Roman"/>
                <w:kern w:val="22"/>
                <w:lang w:val="es-ES" w:eastAsia="en-CA"/>
              </w:rPr>
            </w:pPr>
            <w:r>
              <w:rPr>
                <w:rFonts w:cs="Times New Roman"/>
                <w:kern w:val="22"/>
                <w:lang w:val="es-ES" w:eastAsia="en-CA"/>
              </w:rPr>
              <w:t>Parte</w:t>
            </w:r>
          </w:p>
        </w:tc>
        <w:tc>
          <w:tcPr>
            <w:tcW w:w="15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de cuotas 2019-2021</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w:t>
            </w:r>
          </w:p>
        </w:tc>
        <w:tc>
          <w:tcPr>
            <w:tcW w:w="3920" w:type="dxa"/>
            <w:tcBorders>
              <w:top w:val="nil"/>
              <w:left w:val="nil"/>
              <w:bottom w:val="single" w:sz="4" w:space="0" w:color="auto"/>
              <w:right w:val="single" w:sz="4" w:space="0" w:color="auto"/>
            </w:tcBorders>
            <w:vAlign w:val="center"/>
          </w:tcPr>
          <w:p w:rsidR="00D31999" w:rsidRDefault="00D31999">
            <w:pPr>
              <w:pStyle w:val="BVIfnrChar"/>
              <w:spacing w:after="0" w:line="240" w:lineRule="auto"/>
              <w:rPr>
                <w:rFonts w:ascii="Times New Roman" w:hAnsi="Times New Roman" w:cs="Times New Roman"/>
                <w:kern w:val="22"/>
                <w:sz w:val="22"/>
                <w:szCs w:val="22"/>
                <w:vertAlign w:val="baseline"/>
                <w:lang w:val="es-ES" w:eastAsia="en-CA"/>
              </w:rPr>
            </w:pPr>
            <w:r>
              <w:rPr>
                <w:rFonts w:ascii="Times New Roman" w:hAnsi="Times New Roman" w:cs="Times New Roman"/>
                <w:kern w:val="22"/>
                <w:sz w:val="22"/>
                <w:szCs w:val="22"/>
                <w:vertAlign w:val="baseline"/>
                <w:lang w:val="es-ES" w:eastAsia="en-CA"/>
              </w:rPr>
              <w:t>Afganistán</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0,007</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0,009</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1104</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Albania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Alemania</w:t>
            </w:r>
          </w:p>
        </w:tc>
        <w:tc>
          <w:tcPr>
            <w:tcW w:w="152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6,090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7,614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960 808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Andorra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789</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Angola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Antigua y Barbuda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Arabia Saudita</w:t>
            </w:r>
          </w:p>
        </w:tc>
        <w:tc>
          <w:tcPr>
            <w:tcW w:w="152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1,172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1,465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184 904</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Argelia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0,138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0,173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21 772</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Argentina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0,915</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1144</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144 358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Armenia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0,007</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0,009</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1104</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Australia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2,210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2,763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348 668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Austria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0,677</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0,846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106 809</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Azerbaiyán</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0,049</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0,061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7731</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Bahamas</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2840</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Baréin</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0,050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0,063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7888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Bangladés</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Barbados</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0,007</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0,009</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1104</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Bélgica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0,821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1,026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129 528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Belice</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Benín</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Bielorrusia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0,049</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0,061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7731</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Birmania</w:t>
            </w:r>
          </w:p>
        </w:tc>
        <w:tc>
          <w:tcPr>
            <w:tcW w:w="152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Bolivia (Estado Plurinacional de)</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0,020</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2524</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Bosnia-Herzegovina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0,012</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0,015</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1893</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Botsuana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0,014</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2209</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Brasil</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2,948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3,686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465 101</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Brunéi Darussalam</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0,025</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0,031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3944</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Bulgaria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0,046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0,058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7257</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Burkina Faso</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Burundi</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Bután</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Cabo Verde</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Camboya</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947</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Camerún</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0,013</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0,016</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2051</w:t>
            </w:r>
          </w:p>
        </w:tc>
      </w:tr>
      <w:tr w:rsidR="00D31999">
        <w:trPr>
          <w:trHeight w:val="260"/>
          <w:jc w:val="center"/>
        </w:trPr>
        <w:tc>
          <w:tcPr>
            <w:tcW w:w="43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Canadá</w:t>
            </w:r>
          </w:p>
        </w:tc>
        <w:tc>
          <w:tcPr>
            <w:tcW w:w="152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2,734</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3,418</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431 338</w:t>
            </w:r>
          </w:p>
        </w:tc>
      </w:tr>
    </w:tbl>
    <w:p w:rsidR="00D31999" w:rsidRDefault="00D31999">
      <w:pPr>
        <w:rPr>
          <w:rFonts w:eastAsia="???" w:cs="Times New Roman"/>
          <w:kern w:val="22"/>
          <w:lang w:val="es-ES"/>
        </w:rPr>
      </w:pPr>
    </w:p>
    <w:p w:rsidR="00D31999" w:rsidRDefault="00D31999">
      <w:pPr>
        <w:spacing w:after="160" w:line="259" w:lineRule="auto"/>
        <w:rPr>
          <w:rFonts w:cs="Times New Roman"/>
          <w:kern w:val="22"/>
          <w:lang w:val="es-ES"/>
        </w:rPr>
      </w:pPr>
      <w:r>
        <w:rPr>
          <w:rFonts w:cs="Times New Roman"/>
          <w:kern w:val="22"/>
          <w:lang w:val="es-ES"/>
        </w:rPr>
        <w:br w:type="page"/>
      </w:r>
    </w:p>
    <w:tbl>
      <w:tblPr>
        <w:tblW w:w="9316" w:type="dxa"/>
        <w:jc w:val="center"/>
        <w:tblLook w:val="0000" w:firstRow="0" w:lastRow="0" w:firstColumn="0" w:lastColumn="0" w:noHBand="0" w:noVBand="0"/>
      </w:tblPr>
      <w:tblGrid>
        <w:gridCol w:w="456"/>
        <w:gridCol w:w="3920"/>
        <w:gridCol w:w="1500"/>
        <w:gridCol w:w="1720"/>
        <w:gridCol w:w="1720"/>
      </w:tblGrid>
      <w:tr w:rsidR="00D31999" w:rsidRPr="00713820">
        <w:trPr>
          <w:trHeight w:val="1040"/>
          <w:jc w:val="center"/>
        </w:trPr>
        <w:tc>
          <w:tcPr>
            <w:tcW w:w="456" w:type="dxa"/>
            <w:tcBorders>
              <w:top w:val="single" w:sz="4" w:space="0" w:color="auto"/>
              <w:left w:val="single" w:sz="4" w:space="0" w:color="auto"/>
              <w:bottom w:val="single" w:sz="4" w:space="0" w:color="auto"/>
              <w:right w:val="single" w:sz="4" w:space="0" w:color="auto"/>
            </w:tcBorders>
            <w:noWrap/>
            <w:vAlign w:val="center"/>
          </w:tcPr>
          <w:p w:rsidR="00D31999" w:rsidRDefault="00D31999">
            <w:pPr>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50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de cuotas 2019-2021</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Catar</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0,282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0,353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44 491</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Chad</w:t>
            </w:r>
          </w:p>
        </w:tc>
        <w:tc>
          <w:tcPr>
            <w:tcW w:w="150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Chequia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0,311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0,389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49 066</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Chile</w:t>
            </w:r>
          </w:p>
        </w:tc>
        <w:tc>
          <w:tcPr>
            <w:tcW w:w="1500"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0,407</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0,509</w:t>
            </w:r>
          </w:p>
        </w:tc>
        <w:tc>
          <w:tcPr>
            <w:tcW w:w="1720"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64 212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China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12,005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15,009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1 894 007</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Chipre</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0,045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5680</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Colombia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0,288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0,360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45 437</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Comoras</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Congo</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947</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Costa de Marfil</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2051</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Costa Rica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0,062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0,078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9782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Croacia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0,096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12 148</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Cuba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0,100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12 621</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Dinamarca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0,554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0,693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87 404</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Dominica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Ecuador</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0,100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12 621</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Egipto</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0,186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0,233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29 345</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El Salvador</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1893</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Emiratos Árabes Unidos</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0,616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0,770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97 185</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Eritrea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Eslovaquia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0,153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0,191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24 139</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Eslovenia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0,095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11 990</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España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2,146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2,683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338 570</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Estado de Palestina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Estonia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0,049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6153</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proofErr w:type="spellStart"/>
            <w:r>
              <w:rPr>
                <w:rFonts w:cs="Times New Roman"/>
                <w:kern w:val="22"/>
                <w:lang w:val="es-ES" w:eastAsia="en-CA"/>
              </w:rPr>
              <w:t>Esuatini</w:t>
            </w:r>
            <w:proofErr w:type="spellEnd"/>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Etiopía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Federación Rusa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2,405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3,007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379 432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Filipinas</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0,205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0,256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32 342</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Finlandia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0,421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0,526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66 420</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Fiyi</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Francia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4,427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5,535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698 440</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Gabón</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2367</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Gambia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45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Georgia</w:t>
            </w:r>
          </w:p>
        </w:tc>
        <w:tc>
          <w:tcPr>
            <w:tcW w:w="150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bl>
    <w:p w:rsidR="00D31999" w:rsidRDefault="00D31999">
      <w:pPr>
        <w:rPr>
          <w:rFonts w:cs="Times New Roman"/>
          <w:kern w:val="22"/>
          <w:lang w:val="es-ES"/>
        </w:rPr>
      </w:pPr>
    </w:p>
    <w:p w:rsidR="00D31999" w:rsidRDefault="00D31999">
      <w:pPr>
        <w:spacing w:after="160" w:line="259" w:lineRule="auto"/>
        <w:rPr>
          <w:rFonts w:cs="Times New Roman"/>
          <w:kern w:val="22"/>
          <w:lang w:val="es-ES"/>
        </w:rPr>
      </w:pPr>
      <w:r>
        <w:rPr>
          <w:rFonts w:cs="Times New Roman"/>
          <w:kern w:val="22"/>
          <w:lang w:val="es-ES"/>
        </w:rPr>
        <w:br w:type="page"/>
      </w:r>
    </w:p>
    <w:tbl>
      <w:tblPr>
        <w:tblW w:w="9317" w:type="dxa"/>
        <w:jc w:val="center"/>
        <w:tblLook w:val="0000" w:firstRow="0" w:lastRow="0" w:firstColumn="0" w:lastColumn="0" w:noHBand="0" w:noVBand="0"/>
      </w:tblPr>
      <w:tblGrid>
        <w:gridCol w:w="546"/>
        <w:gridCol w:w="3920"/>
        <w:gridCol w:w="1411"/>
        <w:gridCol w:w="1720"/>
        <w:gridCol w:w="1720"/>
      </w:tblGrid>
      <w:tr w:rsidR="00D31999" w:rsidRPr="00713820">
        <w:trPr>
          <w:trHeight w:val="1040"/>
          <w:jc w:val="center"/>
        </w:trPr>
        <w:tc>
          <w:tcPr>
            <w:tcW w:w="546" w:type="dxa"/>
            <w:tcBorders>
              <w:top w:val="single" w:sz="4" w:space="0" w:color="auto"/>
              <w:left w:val="single" w:sz="4" w:space="0" w:color="auto"/>
              <w:bottom w:val="single" w:sz="4" w:space="0" w:color="auto"/>
              <w:right w:val="single" w:sz="4" w:space="0" w:color="auto"/>
            </w:tcBorders>
            <w:noWrap/>
            <w:vAlign w:val="center"/>
          </w:tcPr>
          <w:p w:rsidR="00D31999" w:rsidRDefault="00D31999">
            <w:pPr>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411"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de cuotas 2019-2021</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Ghana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2367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Granada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Grecia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0,366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0,458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57 743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Guatemala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0,045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5680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Guinea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Guinea Ecuatorial</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Guinea-Bissau</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Guyana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Haití</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Honduras</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1420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Hungría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0,206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0,258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32 500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India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0,834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1,043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131 579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Indonesia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0,543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0,679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85 668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Irán (República Islámica de)</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0,398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0,498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62 792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Irak</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0,129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0,161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20 352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Irlanda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0,371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0,464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58 532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Islandia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0,035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4418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Islas Cook</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Islas Marshall</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Islas Salomón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Israel</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0,490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0,613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77 306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Italia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3,307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4,134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521 739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Jamaica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Japón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8,564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10,707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1 351 127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Jordania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0,026</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3313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96</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Kazajistán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0,178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0,223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28 083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97</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Kenia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0,024</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0,030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3786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98</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Kirguistán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99</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Kiribati</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100</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Kuwait</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0,252</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0,315</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39 758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101</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Lesoto</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102</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Letonia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0,059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7415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103</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Líbano</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0,047</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0,059</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7415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104</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Liberia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105</w:t>
            </w:r>
          </w:p>
        </w:tc>
        <w:tc>
          <w:tcPr>
            <w:tcW w:w="3920"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Libia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0,030</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0,038</w:t>
            </w:r>
          </w:p>
        </w:tc>
        <w:tc>
          <w:tcPr>
            <w:tcW w:w="1720"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4733</w:t>
            </w:r>
          </w:p>
        </w:tc>
      </w:tr>
    </w:tbl>
    <w:p w:rsidR="00D31999" w:rsidRDefault="00D31999">
      <w:pPr>
        <w:rPr>
          <w:rFonts w:cs="Times New Roman"/>
          <w:kern w:val="22"/>
          <w:lang w:val="es-ES"/>
        </w:rPr>
      </w:pPr>
    </w:p>
    <w:p w:rsidR="00D31999" w:rsidRDefault="00D31999">
      <w:pPr>
        <w:spacing w:after="160" w:line="259" w:lineRule="auto"/>
        <w:rPr>
          <w:rFonts w:cs="Times New Roman"/>
          <w:kern w:val="22"/>
          <w:lang w:val="es-ES"/>
        </w:rPr>
      </w:pPr>
      <w:r>
        <w:rPr>
          <w:rFonts w:cs="Times New Roman"/>
          <w:kern w:val="22"/>
          <w:lang w:val="es-ES"/>
        </w:rPr>
        <w:br w:type="page"/>
      </w:r>
    </w:p>
    <w:tbl>
      <w:tblPr>
        <w:tblW w:w="8740" w:type="dxa"/>
        <w:jc w:val="center"/>
        <w:tblLook w:val="0000" w:firstRow="0" w:lastRow="0" w:firstColumn="0" w:lastColumn="0" w:noHBand="0" w:noVBand="0"/>
      </w:tblPr>
      <w:tblGrid>
        <w:gridCol w:w="857"/>
        <w:gridCol w:w="3204"/>
        <w:gridCol w:w="1325"/>
        <w:gridCol w:w="1677"/>
        <w:gridCol w:w="1677"/>
      </w:tblGrid>
      <w:tr w:rsidR="00D31999" w:rsidRPr="00713820">
        <w:trPr>
          <w:trHeight w:val="104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rPr>
                <w:rFonts w:cs="Times New Roman"/>
                <w:kern w:val="22"/>
                <w:lang w:val="es-ES" w:eastAsia="en-CA"/>
              </w:rPr>
            </w:pPr>
          </w:p>
        </w:tc>
        <w:tc>
          <w:tcPr>
            <w:tcW w:w="3204"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325"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de cuotas 2019-2021</w:t>
            </w:r>
          </w:p>
        </w:tc>
        <w:tc>
          <w:tcPr>
            <w:tcW w:w="1677"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con tope del 22 %, ningún PMA paga más del 0,01 %</w:t>
            </w:r>
          </w:p>
        </w:tc>
        <w:tc>
          <w:tcPr>
            <w:tcW w:w="1677"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106</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Liechtenstein</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1420</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107</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Lituania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0,089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11 202</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108</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Luxemburgo</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0,067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0,084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10 570</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109</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Macedonia del Norte</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1104</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110</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Madagascar</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111</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Malasia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0,341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0,426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53 799</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112</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Malawi</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113</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Maldivas</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114</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Malí</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115</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Malta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2682</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116</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Marruecos</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0,069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8677</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117</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Mauricio</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1735</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118</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Mauritania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119</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México</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1,292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1,615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203 836</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120</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Micronesia (Estados Federados de)</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121</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Mónaco</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1735</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122</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Mongolia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789</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123</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Montenegro</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124</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Mozambique</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125</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Namibia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1420</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126</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Nauru</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127</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Nepal</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1104</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128</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Nicaragua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789</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129</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Níger</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130</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Nigeria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0,250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0,313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39 442</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131</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Niue</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132</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Noruega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0,754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0,943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118 957</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133</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Nueva Zelanda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0,291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0,364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45 911</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134</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Omán</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0,115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0,144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18 143</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135</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Países Bajos</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1,356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1,695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213 934</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136</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Pakistán</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0,115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0,144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18 143</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137</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Palaos</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138</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Panamá</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0,056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7100</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139</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Papúa Nueva Guinea</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1578</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140</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Paraguay</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2524</w:t>
            </w:r>
          </w:p>
        </w:tc>
      </w:tr>
      <w:tr w:rsidR="00D31999">
        <w:trPr>
          <w:trHeight w:val="260"/>
          <w:jc w:val="center"/>
        </w:trPr>
        <w:tc>
          <w:tcPr>
            <w:tcW w:w="857" w:type="dxa"/>
            <w:tcBorders>
              <w:top w:val="single" w:sz="4" w:space="0" w:color="auto"/>
              <w:left w:val="single" w:sz="4" w:space="0" w:color="auto"/>
              <w:bottom w:val="single" w:sz="4" w:space="0" w:color="auto"/>
              <w:right w:val="nil"/>
            </w:tcBorders>
            <w:noWrap/>
            <w:vAlign w:val="center"/>
          </w:tcPr>
          <w:p w:rsidR="00D31999" w:rsidRDefault="00D31999">
            <w:pPr>
              <w:jc w:val="right"/>
              <w:rPr>
                <w:rFonts w:cs="Times New Roman"/>
                <w:kern w:val="22"/>
                <w:lang w:val="es-ES" w:eastAsia="en-CA"/>
              </w:rPr>
            </w:pPr>
            <w:r>
              <w:rPr>
                <w:rFonts w:cs="Times New Roman"/>
                <w:kern w:val="22"/>
                <w:lang w:val="es-ES" w:eastAsia="en-CA"/>
              </w:rPr>
              <w:t>141</w:t>
            </w:r>
          </w:p>
        </w:tc>
        <w:tc>
          <w:tcPr>
            <w:tcW w:w="3204" w:type="dxa"/>
            <w:tcBorders>
              <w:top w:val="nil"/>
              <w:left w:val="single" w:sz="4" w:space="0" w:color="auto"/>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Perú</w:t>
            </w:r>
          </w:p>
        </w:tc>
        <w:tc>
          <w:tcPr>
            <w:tcW w:w="132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0,152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0,190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23 981</w:t>
            </w:r>
          </w:p>
        </w:tc>
      </w:tr>
    </w:tbl>
    <w:p w:rsidR="00D31999" w:rsidRDefault="00D31999">
      <w:pPr>
        <w:spacing w:after="160" w:line="259" w:lineRule="auto"/>
        <w:rPr>
          <w:rFonts w:cs="Times New Roman"/>
          <w:kern w:val="22"/>
          <w:lang w:val="es-ES"/>
        </w:rPr>
      </w:pPr>
    </w:p>
    <w:p w:rsidR="00D31999" w:rsidRDefault="00D31999">
      <w:pPr>
        <w:spacing w:after="160" w:line="259" w:lineRule="auto"/>
        <w:rPr>
          <w:rFonts w:cs="Times New Roman"/>
          <w:kern w:val="22"/>
          <w:lang w:val="es-ES"/>
        </w:rPr>
      </w:pPr>
      <w:r>
        <w:rPr>
          <w:rFonts w:cs="Times New Roman"/>
          <w:kern w:val="22"/>
          <w:lang w:val="es-ES"/>
        </w:rPr>
        <w:br w:type="page"/>
      </w:r>
    </w:p>
    <w:tbl>
      <w:tblPr>
        <w:tblW w:w="9586" w:type="dxa"/>
        <w:jc w:val="center"/>
        <w:tblLook w:val="0000" w:firstRow="0" w:lastRow="0" w:firstColumn="0" w:lastColumn="0" w:noHBand="0" w:noVBand="0"/>
      </w:tblPr>
      <w:tblGrid>
        <w:gridCol w:w="873"/>
        <w:gridCol w:w="4042"/>
        <w:gridCol w:w="1323"/>
        <w:gridCol w:w="1674"/>
        <w:gridCol w:w="1674"/>
      </w:tblGrid>
      <w:tr w:rsidR="00D31999" w:rsidRPr="003B56D0">
        <w:trPr>
          <w:trHeight w:val="1040"/>
          <w:jc w:val="center"/>
        </w:trPr>
        <w:tc>
          <w:tcPr>
            <w:tcW w:w="873" w:type="dxa"/>
            <w:tcBorders>
              <w:top w:val="single" w:sz="4" w:space="0" w:color="auto"/>
              <w:left w:val="single" w:sz="4" w:space="0" w:color="auto"/>
              <w:bottom w:val="single" w:sz="4" w:space="0" w:color="auto"/>
              <w:right w:val="single" w:sz="4" w:space="0" w:color="auto"/>
            </w:tcBorders>
            <w:noWrap/>
            <w:vAlign w:val="center"/>
          </w:tcPr>
          <w:p w:rsidR="00D31999" w:rsidRDefault="00D31999">
            <w:pPr>
              <w:rPr>
                <w:rFonts w:cs="Times New Roman"/>
                <w:kern w:val="22"/>
                <w:lang w:val="es-ES" w:eastAsia="en-CA"/>
              </w:rPr>
            </w:pPr>
          </w:p>
        </w:tc>
        <w:tc>
          <w:tcPr>
            <w:tcW w:w="4042"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323"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674"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74"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142</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Polonia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0,802</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1,003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126 530</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143</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Portugal</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0,350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0,438</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55 219</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144</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Reino Unido de Gran Bretaña e Irlanda del Norte</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4,567</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5,710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720 527</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145</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Árabe Siria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0,014</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1735</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146</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Centroafricana</w:t>
            </w:r>
          </w:p>
        </w:tc>
        <w:tc>
          <w:tcPr>
            <w:tcW w:w="1323"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147</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de Corea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2,267</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2,834</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357 660</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148</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de Moldavia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149</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Democrática del Congo</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150</w:t>
            </w:r>
          </w:p>
        </w:tc>
        <w:tc>
          <w:tcPr>
            <w:tcW w:w="4042" w:type="dxa"/>
            <w:tcBorders>
              <w:top w:val="nil"/>
              <w:left w:val="nil"/>
              <w:bottom w:val="single" w:sz="4" w:space="0" w:color="auto"/>
              <w:right w:val="single" w:sz="4" w:space="0" w:color="auto"/>
            </w:tcBorders>
            <w:vAlign w:val="center"/>
          </w:tcPr>
          <w:p w:rsidR="00D31999" w:rsidRDefault="00D31999">
            <w:pPr>
              <w:pStyle w:val="NoSpacing"/>
              <w:rPr>
                <w:rFonts w:ascii="Times New Roman" w:hAnsi="Times New Roman" w:cs="Times New Roman"/>
                <w:kern w:val="22"/>
                <w:lang w:val="es-ES" w:eastAsia="en-CA"/>
              </w:rPr>
            </w:pPr>
            <w:r>
              <w:rPr>
                <w:rFonts w:ascii="Times New Roman" w:hAnsi="Times New Roman" w:cs="Times New Roman"/>
                <w:kern w:val="22"/>
                <w:lang w:val="es-ES" w:eastAsia="en-CA"/>
              </w:rPr>
              <w:t>República Democrática Popular Lao</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789</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151</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Dominicana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0,066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8362</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152</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 xml:space="preserve">República Popular Democrática de Corea </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947</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153</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República Unida de Tanzania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154</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Ruanda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155</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Rumanía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0,198</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0,248</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31 238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156</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Samoa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157</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San Cristóbal y Nieves</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158</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San Marino</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159</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 xml:space="preserve">San Vicente y las </w:t>
            </w:r>
            <w:proofErr w:type="gramStart"/>
            <w:r>
              <w:rPr>
                <w:rFonts w:cs="Times New Roman"/>
                <w:kern w:val="22"/>
                <w:lang w:val="es-ES" w:eastAsia="en-CA"/>
              </w:rPr>
              <w:t>Granadinas</w:t>
            </w:r>
            <w:proofErr w:type="gramEnd"/>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160</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Santa Lucía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161</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Santo Tomé y Príncipe</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162</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Senegal</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1104</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163</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Serbia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0,028</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0,035</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4418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164</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Seychelles</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165</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Sierra Leona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166</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Singapur</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0,485</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0,606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76 518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167</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Somalia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168</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Sri Lanka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0,044</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0,055</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6942</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169</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Sudáfrica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0,272</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0,340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42 913</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170</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Sudán</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171</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Sudán del Sur</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947</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172</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Suecia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0,906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1,133</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142 938</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173</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Suiza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1,151</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1,439</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181 591</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174</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Surinam</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789</w:t>
            </w:r>
          </w:p>
        </w:tc>
      </w:tr>
      <w:tr w:rsidR="00D31999">
        <w:trPr>
          <w:trHeight w:val="260"/>
          <w:jc w:val="center"/>
        </w:trPr>
        <w:tc>
          <w:tcPr>
            <w:tcW w:w="873"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175</w:t>
            </w:r>
          </w:p>
        </w:tc>
        <w:tc>
          <w:tcPr>
            <w:tcW w:w="4042"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Tailandia</w:t>
            </w:r>
          </w:p>
        </w:tc>
        <w:tc>
          <w:tcPr>
            <w:tcW w:w="13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0,307</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0,384</w:t>
            </w:r>
          </w:p>
        </w:tc>
        <w:tc>
          <w:tcPr>
            <w:tcW w:w="1674"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48 435</w:t>
            </w:r>
          </w:p>
        </w:tc>
      </w:tr>
    </w:tbl>
    <w:p w:rsidR="00D31999" w:rsidRDefault="00D31999">
      <w:pPr>
        <w:spacing w:after="160" w:line="259" w:lineRule="auto"/>
        <w:rPr>
          <w:rFonts w:cs="Times New Roman"/>
          <w:kern w:val="22"/>
          <w:lang w:val="es-ES"/>
        </w:rPr>
      </w:pPr>
    </w:p>
    <w:p w:rsidR="00D31999" w:rsidRDefault="00D31999">
      <w:pPr>
        <w:spacing w:after="160" w:line="259" w:lineRule="auto"/>
        <w:rPr>
          <w:rFonts w:cs="Times New Roman"/>
          <w:kern w:val="22"/>
          <w:lang w:val="es-ES"/>
        </w:rPr>
      </w:pPr>
      <w:r>
        <w:rPr>
          <w:rFonts w:cs="Times New Roman"/>
          <w:kern w:val="22"/>
          <w:lang w:val="es-ES"/>
        </w:rPr>
        <w:br w:type="page"/>
      </w:r>
    </w:p>
    <w:tbl>
      <w:tblPr>
        <w:tblW w:w="9460" w:type="dxa"/>
        <w:jc w:val="center"/>
        <w:tblLook w:val="0000" w:firstRow="0" w:lastRow="0" w:firstColumn="0" w:lastColumn="0" w:noHBand="0" w:noVBand="0"/>
      </w:tblPr>
      <w:tblGrid>
        <w:gridCol w:w="616"/>
        <w:gridCol w:w="3813"/>
        <w:gridCol w:w="1677"/>
        <w:gridCol w:w="1677"/>
        <w:gridCol w:w="1677"/>
      </w:tblGrid>
      <w:tr w:rsidR="00D31999" w:rsidRPr="003B56D0">
        <w:trPr>
          <w:trHeight w:val="104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D31999" w:rsidRDefault="00D31999">
            <w:pPr>
              <w:rPr>
                <w:rFonts w:cs="Times New Roman"/>
                <w:kern w:val="22"/>
                <w:lang w:val="es-ES" w:eastAsia="en-CA"/>
              </w:rPr>
            </w:pPr>
          </w:p>
        </w:tc>
        <w:tc>
          <w:tcPr>
            <w:tcW w:w="3813"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677"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677"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77"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176</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Tayikistán</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177</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Timor Oriental</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178</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Togo</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316</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179</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Tonga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180</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Trinidad y Tobago</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0,050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6311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181</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Túnez</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0,031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3944</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182</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Turkmenistán</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0,033</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0,041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5206</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183</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Turquía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1,371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1,714</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216 300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184</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Tuvalu</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185</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Ucrania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0,071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8993</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186</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Uganda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rsidTr="003B56D0">
        <w:trPr>
          <w:trHeight w:val="305"/>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187</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Unión Europea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2,500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315 480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188</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Uruguay</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0,109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13 726</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189</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Uzbekistán</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0,032</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0,040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5049</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190</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Vanuatu</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191</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Venezuela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0,728</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0,910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114 855</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192</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Vietnam</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0,077</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0,096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12 148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193</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Yemen</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1262</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194</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Yibuti</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158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195</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Zambia</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1420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196</w:t>
            </w:r>
          </w:p>
        </w:tc>
        <w:tc>
          <w:tcPr>
            <w:tcW w:w="3813" w:type="dxa"/>
            <w:tcBorders>
              <w:top w:val="nil"/>
              <w:left w:val="nil"/>
              <w:bottom w:val="single" w:sz="4" w:space="0" w:color="auto"/>
              <w:right w:val="single" w:sz="4" w:space="0" w:color="auto"/>
            </w:tcBorders>
            <w:vAlign w:val="center"/>
          </w:tcPr>
          <w:p w:rsidR="00D31999" w:rsidRDefault="00D31999">
            <w:pPr>
              <w:rPr>
                <w:rFonts w:cs="Times New Roman"/>
                <w:kern w:val="22"/>
                <w:lang w:val="es-ES" w:eastAsia="en-CA"/>
              </w:rPr>
            </w:pPr>
            <w:r>
              <w:rPr>
                <w:rFonts w:cs="Times New Roman"/>
                <w:kern w:val="22"/>
                <w:lang w:val="es-ES" w:eastAsia="en-CA"/>
              </w:rPr>
              <w:t>Zimbabue</w:t>
            </w:r>
          </w:p>
        </w:tc>
        <w:tc>
          <w:tcPr>
            <w:tcW w:w="1677"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789</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rPr>
                <w:rFonts w:cs="Times New Roman"/>
                <w:kern w:val="22"/>
                <w:lang w:val="es-ES" w:eastAsia="en-CA"/>
              </w:rPr>
            </w:pPr>
          </w:p>
        </w:tc>
        <w:tc>
          <w:tcPr>
            <w:tcW w:w="3813" w:type="dxa"/>
            <w:tcBorders>
              <w:top w:val="nil"/>
              <w:left w:val="nil"/>
              <w:bottom w:val="single" w:sz="4" w:space="0" w:color="auto"/>
              <w:right w:val="single" w:sz="4" w:space="0" w:color="auto"/>
            </w:tcBorders>
            <w:noWrap/>
            <w:vAlign w:val="center"/>
          </w:tcPr>
          <w:p w:rsidR="00D31999" w:rsidRDefault="00D31999">
            <w:pPr>
              <w:rPr>
                <w:rFonts w:cs="Times New Roman"/>
                <w:b/>
                <w:bCs/>
                <w:kern w:val="22"/>
                <w:lang w:val="es-ES" w:eastAsia="en-CA"/>
              </w:rPr>
            </w:pPr>
            <w:r>
              <w:rPr>
                <w:rFonts w:cs="Times New Roman"/>
                <w:b/>
                <w:bCs/>
                <w:kern w:val="22"/>
                <w:lang w:val="es-ES" w:eastAsia="en-CA"/>
              </w:rPr>
              <w:t>Total</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b/>
                <w:bCs/>
                <w:kern w:val="22"/>
                <w:lang w:val="es-ES" w:eastAsia="en-CA"/>
              </w:rPr>
            </w:pPr>
            <w:r>
              <w:rPr>
                <w:rFonts w:cs="Times New Roman"/>
                <w:b/>
                <w:bCs/>
                <w:kern w:val="22"/>
                <w:lang w:val="es-ES" w:eastAsia="en-CA"/>
              </w:rPr>
              <w:t>78,010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b/>
                <w:bCs/>
                <w:kern w:val="22"/>
                <w:lang w:val="es-ES" w:eastAsia="en-CA"/>
              </w:rPr>
            </w:pPr>
            <w:r>
              <w:rPr>
                <w:rFonts w:cs="Times New Roman"/>
                <w:b/>
                <w:bCs/>
                <w:kern w:val="22"/>
                <w:lang w:val="es-ES" w:eastAsia="en-CA"/>
              </w:rPr>
              <w:t>100,000</w:t>
            </w:r>
          </w:p>
        </w:tc>
        <w:tc>
          <w:tcPr>
            <w:tcW w:w="1677" w:type="dxa"/>
            <w:tcBorders>
              <w:top w:val="nil"/>
              <w:left w:val="nil"/>
              <w:bottom w:val="single" w:sz="4" w:space="0" w:color="auto"/>
              <w:right w:val="single" w:sz="4" w:space="0" w:color="auto"/>
            </w:tcBorders>
            <w:noWrap/>
            <w:vAlign w:val="center"/>
          </w:tcPr>
          <w:p w:rsidR="00D31999" w:rsidRDefault="00D31999">
            <w:pPr>
              <w:ind w:right="144"/>
              <w:jc w:val="right"/>
              <w:rPr>
                <w:rFonts w:cs="Times New Roman"/>
                <w:b/>
                <w:bCs/>
                <w:kern w:val="22"/>
                <w:lang w:val="es-ES" w:eastAsia="en-CA"/>
              </w:rPr>
            </w:pPr>
            <w:r>
              <w:rPr>
                <w:rFonts w:cs="Times New Roman"/>
                <w:b/>
                <w:bCs/>
                <w:kern w:val="22"/>
                <w:lang w:val="es-ES" w:eastAsia="en-CA"/>
              </w:rPr>
              <w:t>12 619 185</w:t>
            </w:r>
          </w:p>
        </w:tc>
      </w:tr>
    </w:tbl>
    <w:p w:rsidR="00D31999" w:rsidRDefault="00D31999">
      <w:pPr>
        <w:rPr>
          <w:rFonts w:cs="Times New Roman"/>
          <w:kern w:val="22"/>
          <w:lang w:val="es-ES"/>
        </w:rPr>
      </w:pPr>
    </w:p>
    <w:p w:rsidR="00D31999" w:rsidRDefault="00D31999">
      <w:pPr>
        <w:rPr>
          <w:rFonts w:cs="Times New Roman"/>
          <w:lang w:val="es-ES"/>
        </w:rPr>
      </w:pPr>
    </w:p>
    <w:p w:rsidR="00D31999" w:rsidRDefault="00D31999">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3B56D0" w:rsidRDefault="003B56D0">
      <w:pPr>
        <w:spacing w:after="160" w:line="259" w:lineRule="auto"/>
        <w:jc w:val="left"/>
        <w:rPr>
          <w:rFonts w:eastAsia="???" w:cs="Times New Roman"/>
          <w:kern w:val="22"/>
          <w:lang w:val="es-ES"/>
        </w:rPr>
      </w:pPr>
    </w:p>
    <w:p w:rsidR="00D31999" w:rsidRDefault="00D31999">
      <w:pPr>
        <w:spacing w:after="120"/>
        <w:jc w:val="left"/>
        <w:rPr>
          <w:rFonts w:eastAsia="???" w:cs="Times New Roman"/>
          <w:b/>
          <w:bCs/>
          <w:kern w:val="22"/>
          <w:lang w:val="es-ES"/>
        </w:rPr>
      </w:pPr>
      <w:r>
        <w:rPr>
          <w:rFonts w:eastAsia="???" w:cs="Times New Roman"/>
          <w:b/>
          <w:bCs/>
          <w:kern w:val="22"/>
          <w:lang w:val="es-ES"/>
        </w:rPr>
        <w:t>Cuadro 8</w:t>
      </w:r>
      <w:r>
        <w:rPr>
          <w:rFonts w:cs="Times New Roman"/>
          <w:b/>
          <w:bCs/>
          <w:kern w:val="22"/>
          <w:lang w:val="es-ES"/>
        </w:rPr>
        <w:br/>
      </w:r>
      <w:r>
        <w:rPr>
          <w:rFonts w:eastAsia="???" w:cs="Times New Roman"/>
          <w:b/>
          <w:bCs/>
          <w:kern w:val="22"/>
          <w:lang w:val="es-ES"/>
        </w:rPr>
        <w:t>Contribuciones al Fondo Fiduciario para el Protocolo de Cartagena sobre Seguridad de la Biotecnología para 2022</w:t>
      </w:r>
    </w:p>
    <w:tbl>
      <w:tblPr>
        <w:tblW w:w="9317" w:type="dxa"/>
        <w:jc w:val="center"/>
        <w:tblLook w:val="0000" w:firstRow="0" w:lastRow="0" w:firstColumn="0" w:lastColumn="0" w:noHBand="0" w:noVBand="0"/>
      </w:tblPr>
      <w:tblGrid>
        <w:gridCol w:w="546"/>
        <w:gridCol w:w="3920"/>
        <w:gridCol w:w="1618"/>
        <w:gridCol w:w="1550"/>
        <w:gridCol w:w="1683"/>
      </w:tblGrid>
      <w:tr w:rsidR="00D31999" w:rsidRPr="003B56D0">
        <w:trPr>
          <w:trHeight w:val="1040"/>
          <w:jc w:val="center"/>
        </w:trPr>
        <w:tc>
          <w:tcPr>
            <w:tcW w:w="54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618"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55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83"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Afganistán</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Albania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Alemania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6,090</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8,702</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222 580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Angola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Antigua y Barbuda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Arabia Saudita</w:t>
            </w:r>
          </w:p>
        </w:tc>
        <w:tc>
          <w:tcPr>
            <w:tcW w:w="1618"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1,172</w:t>
            </w:r>
          </w:p>
        </w:tc>
        <w:tc>
          <w:tcPr>
            <w:tcW w:w="1550"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1,675</w:t>
            </w:r>
          </w:p>
        </w:tc>
        <w:tc>
          <w:tcPr>
            <w:tcW w:w="1683"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42 835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Argelia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0,138</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0,197</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5044</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Armenia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Austria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0,677</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0,967</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24 743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Azerbaiyán</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0,049</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1791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Bahamas</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0,018</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0,026</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658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Bangladés</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Barbados</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Baréin</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0,050</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1827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Bélgica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0,821</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1,173</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30 006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Belice</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Benín</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Bielorrusia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0,049</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1791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Birmania</w:t>
            </w:r>
          </w:p>
        </w:tc>
        <w:tc>
          <w:tcPr>
            <w:tcW w:w="1618"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550"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83"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Bolivia (Estado Plurinacional de)</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0,016</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0,023</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585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Bosnia-Herzegovina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0,012</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0,017</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439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Botsuana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0,014</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0,020</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512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Brasil</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2,948</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4,212</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107 745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Bulgaria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0,046</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0,066</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1681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Burkina Faso</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Burundi</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Bután</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Cabo Verde</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Camboya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219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Camerún</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0,019</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475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Catar</w:t>
            </w:r>
          </w:p>
        </w:tc>
        <w:tc>
          <w:tcPr>
            <w:tcW w:w="1618"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0,282</w:t>
            </w:r>
          </w:p>
        </w:tc>
        <w:tc>
          <w:tcPr>
            <w:tcW w:w="1550"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0,403</w:t>
            </w:r>
          </w:p>
        </w:tc>
        <w:tc>
          <w:tcPr>
            <w:tcW w:w="1683"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10 307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Chad</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Chequia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0,311</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0,444</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11 367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China</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12,005</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17,153</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438 764</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Chipre</w:t>
            </w:r>
          </w:p>
        </w:tc>
        <w:tc>
          <w:tcPr>
            <w:tcW w:w="1618"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0,036</w:t>
            </w:r>
          </w:p>
        </w:tc>
        <w:tc>
          <w:tcPr>
            <w:tcW w:w="1550"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0,051</w:t>
            </w:r>
          </w:p>
        </w:tc>
        <w:tc>
          <w:tcPr>
            <w:tcW w:w="168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1316</w:t>
            </w:r>
          </w:p>
        </w:tc>
      </w:tr>
    </w:tbl>
    <w:p w:rsidR="00D31999" w:rsidRDefault="00D31999">
      <w:pPr>
        <w:spacing w:after="160" w:line="259" w:lineRule="auto"/>
        <w:jc w:val="left"/>
        <w:rPr>
          <w:rFonts w:eastAsia="???" w:cs="Times New Roman"/>
          <w:kern w:val="22"/>
          <w:lang w:val="es-ES"/>
        </w:rPr>
      </w:pPr>
      <w:r>
        <w:rPr>
          <w:rFonts w:eastAsia="???" w:cs="Times New Roman"/>
          <w:kern w:val="22"/>
          <w:lang w:val="es-ES"/>
        </w:rPr>
        <w:br w:type="page"/>
      </w:r>
    </w:p>
    <w:tbl>
      <w:tblPr>
        <w:tblW w:w="9317" w:type="dxa"/>
        <w:jc w:val="center"/>
        <w:tblLook w:val="0000" w:firstRow="0" w:lastRow="0" w:firstColumn="0" w:lastColumn="0" w:noHBand="0" w:noVBand="0"/>
      </w:tblPr>
      <w:tblGrid>
        <w:gridCol w:w="546"/>
        <w:gridCol w:w="3920"/>
        <w:gridCol w:w="1623"/>
        <w:gridCol w:w="1543"/>
        <w:gridCol w:w="1685"/>
      </w:tblGrid>
      <w:tr w:rsidR="00D31999" w:rsidRPr="003B56D0">
        <w:trPr>
          <w:trHeight w:val="1040"/>
          <w:jc w:val="center"/>
        </w:trPr>
        <w:tc>
          <w:tcPr>
            <w:tcW w:w="54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623"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543"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85"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Colombia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0,288</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0,412</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10 526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Comoras</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Congo</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219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Costa Rica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0,062</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0,089</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2266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Costa de Marfil</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0,019</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475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Croacia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0,077</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0,110</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2814</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Cuba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0,080</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0,114</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2924</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Dinamarca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0,554</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0,792</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20 248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Dominica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Ecuador</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0,080</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0,114</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2924</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Egipto</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0,186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0,266</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6798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El Salvador</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0,012</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0,017</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439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Emiratos Árabes Unidos</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0,616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0,880</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22 514</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Eritrea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Eslovaquia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0,153</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0,219</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5592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Eslovenia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0,109</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2778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España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2,146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3,066</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78 433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Estado de Palestina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Estonia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0,039</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0,056</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1425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proofErr w:type="spellStart"/>
            <w:r>
              <w:rPr>
                <w:rFonts w:cs="Times New Roman"/>
                <w:kern w:val="22"/>
                <w:lang w:val="es-ES" w:eastAsia="en-CA"/>
              </w:rPr>
              <w:t>Esuatini</w:t>
            </w:r>
            <w:proofErr w:type="spellEnd"/>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0,020</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0,029</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731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Etiopía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Filipinas</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0,205</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0,293</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7492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Finlandia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0,421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0,602</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15 387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Fiyi</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Francia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4,427</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6,325</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161 800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Gabón</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0,015</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548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Gambia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Georgia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Ghana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0,015</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0,021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548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Granada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Grecia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0,366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0,523</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13 377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Guatemala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0,036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0,051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1316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Guinea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Guinea-Bissau</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Guyana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Honduras</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0,009</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329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Hungría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0,206</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0,294</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7529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India</w:t>
            </w:r>
          </w:p>
        </w:tc>
        <w:tc>
          <w:tcPr>
            <w:tcW w:w="162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0,834</w:t>
            </w:r>
          </w:p>
        </w:tc>
        <w:tc>
          <w:tcPr>
            <w:tcW w:w="1543"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1,192</w:t>
            </w:r>
          </w:p>
        </w:tc>
        <w:tc>
          <w:tcPr>
            <w:tcW w:w="1685"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30 481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Indonesia</w:t>
            </w:r>
          </w:p>
        </w:tc>
        <w:tc>
          <w:tcPr>
            <w:tcW w:w="1623"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0,543</w:t>
            </w:r>
          </w:p>
        </w:tc>
        <w:tc>
          <w:tcPr>
            <w:tcW w:w="1543"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0,776</w:t>
            </w:r>
          </w:p>
        </w:tc>
        <w:tc>
          <w:tcPr>
            <w:tcW w:w="1685"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19 846</w:t>
            </w:r>
          </w:p>
        </w:tc>
      </w:tr>
    </w:tbl>
    <w:p w:rsidR="00D31999" w:rsidRDefault="00D31999">
      <w:pPr>
        <w:spacing w:after="160" w:line="259" w:lineRule="auto"/>
        <w:jc w:val="left"/>
        <w:rPr>
          <w:rFonts w:eastAsia="???" w:cs="Times New Roman"/>
          <w:kern w:val="22"/>
          <w:lang w:val="es-ES"/>
        </w:rPr>
      </w:pPr>
    </w:p>
    <w:tbl>
      <w:tblPr>
        <w:tblW w:w="9317" w:type="dxa"/>
        <w:jc w:val="center"/>
        <w:tblLook w:val="0000" w:firstRow="0" w:lastRow="0" w:firstColumn="0" w:lastColumn="0" w:noHBand="0" w:noVBand="0"/>
      </w:tblPr>
      <w:tblGrid>
        <w:gridCol w:w="546"/>
        <w:gridCol w:w="3920"/>
        <w:gridCol w:w="1618"/>
        <w:gridCol w:w="1561"/>
        <w:gridCol w:w="1672"/>
      </w:tblGrid>
      <w:tr w:rsidR="00D31999" w:rsidRPr="003B56D0">
        <w:trPr>
          <w:trHeight w:val="1040"/>
          <w:jc w:val="center"/>
        </w:trPr>
        <w:tc>
          <w:tcPr>
            <w:tcW w:w="54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618"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561"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72"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Irán (República Islámica de)</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0,398</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0,569</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14 546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Irak</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0,129</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0,184</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4715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Irlanda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0,371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0,530</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13 559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Islas Marshall</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Islas Salomón</w:t>
            </w:r>
          </w:p>
        </w:tc>
        <w:tc>
          <w:tcPr>
            <w:tcW w:w="1618"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56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2"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Italia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3,307</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4,725</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120 866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Jamaica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0,008</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0,011</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292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Japón</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8,564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12,236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313 001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Jordania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0,021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0,030</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768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Kazajistán</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0,178</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0,254</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6506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Kenia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0,024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0,034</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877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Kirguistán</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0,002</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0,003</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Kiribati</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Kuwait</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0,252</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0,360</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9210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Lesoto</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Letonia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0,047</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0,067</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1718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Líbano</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0,047</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0,067</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1718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Liberia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0,001</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Libia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0,030</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0,043</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1096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Lituania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0,071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0,101</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2595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Luxemburgo</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0,067</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0,096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2449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Macedonia del Norte</w:t>
            </w:r>
          </w:p>
        </w:tc>
        <w:tc>
          <w:tcPr>
            <w:tcW w:w="1618"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56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72"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Madagascar</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Malasia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0,341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0,487</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12,463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Malawi</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0,002</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0,003</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Maldivas</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Malí</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center"/>
              <w:rPr>
                <w:rFonts w:cs="Times New Roman"/>
                <w:kern w:val="22"/>
                <w:lang w:val="es-ES" w:eastAsia="en-CA"/>
              </w:rPr>
            </w:pPr>
            <w:r>
              <w:rPr>
                <w:rFonts w:cs="Times New Roman"/>
                <w:kern w:val="22"/>
                <w:lang w:val="es-ES" w:eastAsia="en-CA"/>
              </w:rPr>
              <w:t>102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Malta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0,017</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0,024</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621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Marruecos</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0,055</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0,079</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2010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Mauricio</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0,011</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0,016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402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Mauritania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0,002</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0,003</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México</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1,292</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1,846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47 221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Mongolia</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0,005</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0,007</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183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Montenegro</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Mozambique</w:t>
            </w:r>
          </w:p>
        </w:tc>
        <w:tc>
          <w:tcPr>
            <w:tcW w:w="1618"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0,004</w:t>
            </w:r>
          </w:p>
        </w:tc>
        <w:tc>
          <w:tcPr>
            <w:tcW w:w="1561"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0,006</w:t>
            </w:r>
          </w:p>
        </w:tc>
        <w:tc>
          <w:tcPr>
            <w:tcW w:w="1672"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Namibia</w:t>
            </w:r>
          </w:p>
        </w:tc>
        <w:tc>
          <w:tcPr>
            <w:tcW w:w="1618"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0,009</w:t>
            </w:r>
          </w:p>
        </w:tc>
        <w:tc>
          <w:tcPr>
            <w:tcW w:w="156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0,013</w:t>
            </w:r>
          </w:p>
        </w:tc>
        <w:tc>
          <w:tcPr>
            <w:tcW w:w="1672"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329</w:t>
            </w:r>
          </w:p>
        </w:tc>
      </w:tr>
    </w:tbl>
    <w:p w:rsidR="00D31999" w:rsidRDefault="00D31999">
      <w:pPr>
        <w:spacing w:after="160" w:line="259" w:lineRule="auto"/>
        <w:jc w:val="left"/>
        <w:rPr>
          <w:rFonts w:eastAsia="???" w:cs="Times New Roman"/>
          <w:kern w:val="22"/>
          <w:lang w:val="es-ES"/>
        </w:rPr>
      </w:pPr>
    </w:p>
    <w:p w:rsidR="00D31999" w:rsidRDefault="00D31999">
      <w:pPr>
        <w:spacing w:after="160" w:line="259" w:lineRule="auto"/>
        <w:jc w:val="left"/>
        <w:rPr>
          <w:rFonts w:eastAsia="???" w:cs="Times New Roman"/>
          <w:kern w:val="22"/>
          <w:lang w:val="es-ES"/>
        </w:rPr>
      </w:pPr>
      <w:r>
        <w:rPr>
          <w:rFonts w:eastAsia="???" w:cs="Times New Roman"/>
          <w:kern w:val="22"/>
          <w:lang w:val="es-ES"/>
        </w:rPr>
        <w:br w:type="page"/>
      </w:r>
    </w:p>
    <w:tbl>
      <w:tblPr>
        <w:tblW w:w="9317" w:type="dxa"/>
        <w:jc w:val="center"/>
        <w:tblLook w:val="0000" w:firstRow="0" w:lastRow="0" w:firstColumn="0" w:lastColumn="0" w:noHBand="0" w:noVBand="0"/>
      </w:tblPr>
      <w:tblGrid>
        <w:gridCol w:w="546"/>
        <w:gridCol w:w="3920"/>
        <w:gridCol w:w="1556"/>
        <w:gridCol w:w="1636"/>
        <w:gridCol w:w="1659"/>
      </w:tblGrid>
      <w:tr w:rsidR="00D31999" w:rsidRPr="003B56D0">
        <w:trPr>
          <w:trHeight w:val="1040"/>
          <w:jc w:val="center"/>
        </w:trPr>
        <w:tc>
          <w:tcPr>
            <w:tcW w:w="54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556"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636"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59"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Nauru</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Nicaragua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183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Níger</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Nigeria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0,250</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0,357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9137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Niue</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Noruega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0,754</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1,077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27 558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Nueva Zelanda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0,291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0,416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10 636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Omán</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0,115</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0,164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4203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Países Bajos</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1,356</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1,937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49 560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Pakistán</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0,115</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0,164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4203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Palaos</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Panamá</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0,045</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0,064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1645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Papúa Nueva Guinea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365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Paraguay</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0,016</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0,023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585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Perú</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0,152</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0,217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5555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Polonia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0,802</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1,146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29 312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Portugal</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0,350</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0,500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12 792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Reino Unido de Gran Bretaña e Irlanda del Norte</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4,567</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6,525</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166 917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Árabe Siria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402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Centroafricana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 Corea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2,267</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3,239</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82 855</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 Moldavia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Democrática del Congo</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Democrática Popular Lao</w:t>
            </w:r>
          </w:p>
        </w:tc>
        <w:tc>
          <w:tcPr>
            <w:tcW w:w="1556"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0,005</w:t>
            </w:r>
          </w:p>
        </w:tc>
        <w:tc>
          <w:tcPr>
            <w:tcW w:w="1636"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0,007</w:t>
            </w:r>
          </w:p>
        </w:tc>
        <w:tc>
          <w:tcPr>
            <w:tcW w:w="1659" w:type="dxa"/>
            <w:tcBorders>
              <w:top w:val="nil"/>
              <w:left w:val="nil"/>
              <w:bottom w:val="single" w:sz="4" w:space="0" w:color="auto"/>
              <w:right w:val="single" w:sz="4" w:space="0" w:color="auto"/>
            </w:tcBorders>
            <w:vAlign w:val="center"/>
          </w:tcPr>
          <w:p w:rsidR="00D31999" w:rsidRDefault="00D31999">
            <w:pPr>
              <w:adjustRightInd w:val="0"/>
              <w:snapToGrid w:val="0"/>
              <w:ind w:right="288"/>
              <w:jc w:val="right"/>
              <w:rPr>
                <w:rFonts w:cs="Times New Roman"/>
                <w:kern w:val="22"/>
                <w:lang w:val="es-ES" w:eastAsia="en-CA"/>
              </w:rPr>
            </w:pPr>
            <w:r>
              <w:rPr>
                <w:rFonts w:cs="Times New Roman"/>
                <w:kern w:val="22"/>
                <w:lang w:val="es-ES" w:eastAsia="en-CA"/>
              </w:rPr>
              <w:t>183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Dominicana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0,053</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0,076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1937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Popular Democrática de Corea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0,009</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219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Unida de Tanzania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Ruanda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Rumanía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0,198</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0,283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7237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Samoa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San Cristóbal y Nieves</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 xml:space="preserve">San Vicente y las </w:t>
            </w:r>
            <w:proofErr w:type="gramStart"/>
            <w:r>
              <w:rPr>
                <w:rFonts w:cs="Times New Roman"/>
                <w:kern w:val="22"/>
                <w:lang w:val="es-ES" w:eastAsia="en-CA"/>
              </w:rPr>
              <w:t>Granadinas</w:t>
            </w:r>
            <w:proofErr w:type="gramEnd"/>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Santa Lucía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Senegal</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Serbia</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0,028</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1023</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Seychelles</w:t>
            </w:r>
          </w:p>
        </w:tc>
        <w:tc>
          <w:tcPr>
            <w:tcW w:w="155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36"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73</w:t>
            </w:r>
          </w:p>
        </w:tc>
      </w:tr>
    </w:tbl>
    <w:p w:rsidR="00D31999" w:rsidRDefault="00D31999">
      <w:pPr>
        <w:spacing w:after="120"/>
        <w:jc w:val="left"/>
        <w:rPr>
          <w:rFonts w:eastAsia="???" w:cs="Times New Roman"/>
          <w:kern w:val="22"/>
          <w:lang w:val="es-ES"/>
        </w:rPr>
      </w:pPr>
    </w:p>
    <w:p w:rsidR="00D31999" w:rsidRDefault="00D31999">
      <w:pPr>
        <w:spacing w:after="160" w:line="259" w:lineRule="auto"/>
        <w:jc w:val="left"/>
        <w:rPr>
          <w:rFonts w:eastAsia="???" w:cs="Times New Roman"/>
          <w:kern w:val="22"/>
          <w:lang w:val="es-ES"/>
        </w:rPr>
      </w:pPr>
      <w:r>
        <w:rPr>
          <w:rFonts w:eastAsia="???" w:cs="Times New Roman"/>
          <w:kern w:val="22"/>
          <w:lang w:val="es-ES"/>
        </w:rPr>
        <w:br w:type="page"/>
      </w:r>
    </w:p>
    <w:tbl>
      <w:tblPr>
        <w:tblW w:w="9720" w:type="dxa"/>
        <w:jc w:val="center"/>
        <w:tblLook w:val="0000" w:firstRow="0" w:lastRow="0" w:firstColumn="0" w:lastColumn="0" w:noHBand="0" w:noVBand="0"/>
      </w:tblPr>
      <w:tblGrid>
        <w:gridCol w:w="876"/>
        <w:gridCol w:w="3927"/>
        <w:gridCol w:w="1629"/>
        <w:gridCol w:w="1629"/>
        <w:gridCol w:w="1659"/>
      </w:tblGrid>
      <w:tr w:rsidR="00D31999" w:rsidRPr="003B56D0">
        <w:trPr>
          <w:trHeight w:val="1040"/>
          <w:jc w:val="center"/>
        </w:trPr>
        <w:tc>
          <w:tcPr>
            <w:tcW w:w="87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7"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629"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629"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59"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147</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Sierra Leona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148</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Somalia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149</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Sri Lanka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0,044</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0,063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1608</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150</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Sudáfrica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0,272</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0,389</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9941</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151</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Sudán</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152</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Suecia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0,906</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1,295</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33 113</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153</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Suiza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1,151</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1,645</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42 067</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154</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Surinam</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183</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155</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Tailandia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0,307</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0,439</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11 220</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156</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Tayikistán</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146</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157</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Togo</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73</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158</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Tonga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159</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Trinidad y Tobago</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0,040</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0,057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1462</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160</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Túnez</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0,025</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0,036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914</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161</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Turkmenistán</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0,033</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1206</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162</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Turquía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1,371</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1,959</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50 108</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163</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Ucrania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0,057</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0,081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2083</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164</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Uganda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0,008</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165</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Unión Europea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0,000</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2,500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63 949</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166</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Uruguay</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0,087</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0,124</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3180</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167</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Uzbekistán</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0,032</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0,046</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1170</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168</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Venezuela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0,728</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1,040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26 607</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169</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Vietnam</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0,077</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2814</w:t>
            </w:r>
          </w:p>
        </w:tc>
      </w:tr>
      <w:tr w:rsidR="00D31999">
        <w:trPr>
          <w:trHeight w:val="52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170</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Yemen</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256</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171</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Yibuti</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37</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172</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Zambia</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0,009</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0,013</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329</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173</w:t>
            </w:r>
          </w:p>
        </w:tc>
        <w:tc>
          <w:tcPr>
            <w:tcW w:w="3927"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Zimbabue</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62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659"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183</w:t>
            </w:r>
          </w:p>
        </w:tc>
      </w:tr>
      <w:tr w:rsidR="00D31999">
        <w:trPr>
          <w:trHeight w:val="260"/>
          <w:jc w:val="center"/>
        </w:trPr>
        <w:tc>
          <w:tcPr>
            <w:tcW w:w="876" w:type="dxa"/>
            <w:tcBorders>
              <w:top w:val="nil"/>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7" w:type="dxa"/>
            <w:tcBorders>
              <w:top w:val="nil"/>
              <w:left w:val="nil"/>
              <w:bottom w:val="single" w:sz="4" w:space="0" w:color="auto"/>
              <w:right w:val="single" w:sz="4" w:space="0" w:color="auto"/>
            </w:tcBorders>
            <w:noWrap/>
            <w:vAlign w:val="center"/>
          </w:tcPr>
          <w:p w:rsidR="00D31999" w:rsidRDefault="00D31999">
            <w:pPr>
              <w:jc w:val="left"/>
              <w:rPr>
                <w:rFonts w:cs="Times New Roman"/>
                <w:b/>
                <w:bCs/>
                <w:kern w:val="22"/>
                <w:lang w:val="es-ES" w:eastAsia="en-CA"/>
              </w:rPr>
            </w:pPr>
            <w:r>
              <w:rPr>
                <w:rFonts w:cs="Times New Roman"/>
                <w:b/>
                <w:bCs/>
                <w:kern w:val="22"/>
                <w:lang w:val="es-ES" w:eastAsia="en-CA"/>
              </w:rPr>
              <w:t>Total</w:t>
            </w:r>
          </w:p>
        </w:tc>
        <w:tc>
          <w:tcPr>
            <w:tcW w:w="1629"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b/>
                <w:bCs/>
                <w:kern w:val="22"/>
                <w:lang w:val="es-ES" w:eastAsia="en-CA"/>
              </w:rPr>
            </w:pPr>
            <w:r>
              <w:rPr>
                <w:rFonts w:cs="Times New Roman"/>
                <w:b/>
                <w:bCs/>
                <w:kern w:val="22"/>
                <w:lang w:val="es-ES" w:eastAsia="en-CA"/>
              </w:rPr>
              <w:t>68,263</w:t>
            </w:r>
          </w:p>
        </w:tc>
        <w:tc>
          <w:tcPr>
            <w:tcW w:w="1629"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b/>
                <w:bCs/>
                <w:kern w:val="22"/>
                <w:lang w:val="es-ES" w:eastAsia="en-CA"/>
              </w:rPr>
            </w:pPr>
            <w:r>
              <w:rPr>
                <w:rFonts w:cs="Times New Roman"/>
                <w:b/>
                <w:bCs/>
                <w:kern w:val="22"/>
                <w:lang w:val="es-ES" w:eastAsia="en-CA"/>
              </w:rPr>
              <w:t>100,000</w:t>
            </w:r>
          </w:p>
        </w:tc>
        <w:tc>
          <w:tcPr>
            <w:tcW w:w="1659"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b/>
                <w:bCs/>
                <w:kern w:val="22"/>
                <w:lang w:val="es-ES" w:eastAsia="en-CA"/>
              </w:rPr>
            </w:pPr>
            <w:r>
              <w:rPr>
                <w:rFonts w:cs="Times New Roman"/>
                <w:b/>
                <w:bCs/>
                <w:kern w:val="22"/>
                <w:lang w:val="es-ES" w:eastAsia="en-CA"/>
              </w:rPr>
              <w:t>2 557 943</w:t>
            </w:r>
          </w:p>
        </w:tc>
      </w:tr>
    </w:tbl>
    <w:p w:rsidR="00D31999" w:rsidRDefault="00D31999">
      <w:pPr>
        <w:spacing w:after="120"/>
        <w:jc w:val="left"/>
        <w:rPr>
          <w:rFonts w:eastAsia="???" w:cs="Times New Roman"/>
          <w:kern w:val="22"/>
          <w:lang w:val="es-ES"/>
        </w:rPr>
      </w:pPr>
    </w:p>
    <w:p w:rsidR="00D31999" w:rsidRDefault="00D31999">
      <w:pPr>
        <w:spacing w:after="120"/>
        <w:jc w:val="left"/>
        <w:rPr>
          <w:rFonts w:eastAsia="???" w:cs="Times New Roman"/>
          <w:kern w:val="22"/>
          <w:lang w:val="es-ES"/>
        </w:rPr>
      </w:pPr>
    </w:p>
    <w:p w:rsidR="00D31999" w:rsidRDefault="00D31999">
      <w:pPr>
        <w:spacing w:after="160" w:line="259" w:lineRule="auto"/>
        <w:jc w:val="left"/>
        <w:rPr>
          <w:rFonts w:eastAsia="???" w:cs="Times New Roman"/>
          <w:kern w:val="22"/>
          <w:lang w:val="es-ES"/>
        </w:rPr>
      </w:pPr>
      <w:r>
        <w:rPr>
          <w:rFonts w:eastAsia="???" w:cs="Times New Roman"/>
          <w:kern w:val="22"/>
          <w:lang w:val="es-ES"/>
        </w:rPr>
        <w:br w:type="page"/>
      </w:r>
    </w:p>
    <w:p w:rsidR="00D31999" w:rsidRDefault="00D31999">
      <w:pPr>
        <w:rPr>
          <w:rFonts w:eastAsia="???" w:cs="Times New Roman"/>
          <w:b/>
          <w:bCs/>
          <w:kern w:val="22"/>
          <w:lang w:val="es-ES"/>
        </w:rPr>
      </w:pPr>
      <w:r>
        <w:rPr>
          <w:rFonts w:eastAsia="???" w:cs="Times New Roman"/>
          <w:b/>
          <w:bCs/>
          <w:kern w:val="22"/>
          <w:lang w:val="es-ES"/>
        </w:rPr>
        <w:t>Cuadro 9</w:t>
      </w:r>
    </w:p>
    <w:p w:rsidR="00D31999" w:rsidRDefault="00D31999">
      <w:pPr>
        <w:rPr>
          <w:rFonts w:cs="Times New Roman"/>
          <w:kern w:val="22"/>
          <w:lang w:val="es-ES"/>
        </w:rPr>
      </w:pPr>
      <w:r>
        <w:rPr>
          <w:rFonts w:eastAsia="???" w:cs="Times New Roman"/>
          <w:b/>
          <w:bCs/>
          <w:kern w:val="22"/>
          <w:lang w:val="es-ES"/>
        </w:rPr>
        <w:t>Contribuciones al Fondo Fiduciario para el Protocolo de Nagoya sobre Acceso y Participación en los Beneficios para 2022</w:t>
      </w:r>
    </w:p>
    <w:p w:rsidR="00D31999" w:rsidRDefault="00D31999">
      <w:pPr>
        <w:rPr>
          <w:rFonts w:cs="Times New Roman"/>
          <w:kern w:val="22"/>
          <w:lang w:val="es-ES"/>
        </w:rPr>
      </w:pPr>
    </w:p>
    <w:tbl>
      <w:tblPr>
        <w:tblW w:w="9618" w:type="dxa"/>
        <w:jc w:val="center"/>
        <w:tblLook w:val="0000" w:firstRow="0" w:lastRow="0" w:firstColumn="0" w:lastColumn="0" w:noHBand="0" w:noVBand="0"/>
      </w:tblPr>
      <w:tblGrid>
        <w:gridCol w:w="538"/>
        <w:gridCol w:w="66"/>
        <w:gridCol w:w="3854"/>
        <w:gridCol w:w="66"/>
        <w:gridCol w:w="1411"/>
        <w:gridCol w:w="243"/>
        <w:gridCol w:w="1477"/>
        <w:gridCol w:w="243"/>
        <w:gridCol w:w="1477"/>
        <w:gridCol w:w="243"/>
      </w:tblGrid>
      <w:tr w:rsidR="00D31999" w:rsidRPr="003B56D0">
        <w:trPr>
          <w:gridAfter w:val="1"/>
          <w:wAfter w:w="243" w:type="dxa"/>
          <w:trHeight w:val="1040"/>
          <w:jc w:val="center"/>
        </w:trPr>
        <w:tc>
          <w:tcPr>
            <w:tcW w:w="604" w:type="dxa"/>
            <w:gridSpan w:val="2"/>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gridSpan w:val="2"/>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411"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720" w:type="dxa"/>
            <w:gridSpan w:val="2"/>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720" w:type="dxa"/>
            <w:gridSpan w:val="2"/>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Afganistán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0,007</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188</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Albania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0,008</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241</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Alemania</w:t>
            </w:r>
          </w:p>
        </w:tc>
        <w:tc>
          <w:tcPr>
            <w:tcW w:w="1411" w:type="dxa"/>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6,090</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9,787</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183 583</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Angola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188</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Antigua y Barbuda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Arabia Saudita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1,172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1,883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35 330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Argentina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0,915</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1,470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27 583</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Austria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0,677</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1,088</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20 408</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Bélgica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0,821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1,319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24 749</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Benín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Bielorrusia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0,079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1477</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Birmania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188</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Bolivia (Estado Plurinacional de)</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482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Botsuana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0,014</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422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Brasil</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2,948</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4,738</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88 867</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Bulgaria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0,046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0,074</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1387</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Burkina Faso</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0,005</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Burundi</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Bután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Camboya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181</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Camerún</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392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Catar</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0,282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0,453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8501</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Chad</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0,004</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121</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Chequia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0,311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0,500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9375</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China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12,005</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19,292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361 890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Comoras</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Congo</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181</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Costa de Marfil</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0,013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0,021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392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29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Croacia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0,077</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0,124</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2321</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Cuba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0,129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2412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Dinamarca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0,554</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0,890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16 700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Ecuador</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0,080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0,129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2412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Egipto</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0,186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0,299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5607</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Emiratos Árabes Unidos</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0,616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0,990</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18 569</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Eritrea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30</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Eslovaquia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0,153</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0,246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4612</w:t>
            </w:r>
          </w:p>
        </w:tc>
      </w:tr>
      <w:tr w:rsidR="00D31999">
        <w:trPr>
          <w:gridAfter w:val="1"/>
          <w:wAfter w:w="243" w:type="dxa"/>
          <w:trHeight w:val="260"/>
          <w:jc w:val="center"/>
        </w:trPr>
        <w:tc>
          <w:tcPr>
            <w:tcW w:w="604" w:type="dxa"/>
            <w:gridSpan w:val="2"/>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España</w:t>
            </w:r>
          </w:p>
        </w:tc>
        <w:tc>
          <w:tcPr>
            <w:tcW w:w="1411" w:type="dxa"/>
            <w:tcBorders>
              <w:top w:val="nil"/>
              <w:left w:val="nil"/>
              <w:bottom w:val="single" w:sz="4" w:space="0" w:color="auto"/>
              <w:right w:val="single" w:sz="4" w:space="0" w:color="auto"/>
            </w:tcBorders>
            <w:vAlign w:val="center"/>
          </w:tcPr>
          <w:p w:rsidR="00D31999" w:rsidRDefault="00D31999">
            <w:pPr>
              <w:ind w:right="144"/>
              <w:jc w:val="right"/>
              <w:rPr>
                <w:rFonts w:cs="Times New Roman"/>
                <w:kern w:val="22"/>
                <w:lang w:val="es-ES" w:eastAsia="en-CA"/>
              </w:rPr>
            </w:pPr>
            <w:r>
              <w:rPr>
                <w:rFonts w:cs="Times New Roman"/>
                <w:kern w:val="22"/>
                <w:lang w:val="es-ES" w:eastAsia="en-CA"/>
              </w:rPr>
              <w:t>2,146</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3,449</w:t>
            </w:r>
          </w:p>
        </w:tc>
        <w:tc>
          <w:tcPr>
            <w:tcW w:w="1720" w:type="dxa"/>
            <w:gridSpan w:val="2"/>
            <w:tcBorders>
              <w:top w:val="nil"/>
              <w:left w:val="nil"/>
              <w:bottom w:val="single" w:sz="4" w:space="0" w:color="auto"/>
              <w:right w:val="single" w:sz="4" w:space="0" w:color="auto"/>
            </w:tcBorders>
            <w:noWrap/>
            <w:vAlign w:val="center"/>
          </w:tcPr>
          <w:p w:rsidR="00D31999" w:rsidRDefault="00D31999">
            <w:pPr>
              <w:ind w:right="144"/>
              <w:jc w:val="right"/>
              <w:rPr>
                <w:rFonts w:cs="Times New Roman"/>
                <w:kern w:val="22"/>
                <w:lang w:val="es-ES" w:eastAsia="en-CA"/>
              </w:rPr>
            </w:pPr>
            <w:r>
              <w:rPr>
                <w:rFonts w:cs="Times New Roman"/>
                <w:kern w:val="22"/>
                <w:lang w:val="es-ES" w:eastAsia="en-CA"/>
              </w:rPr>
              <w:t>64 691</w:t>
            </w:r>
          </w:p>
        </w:tc>
      </w:tr>
      <w:tr w:rsidR="00D31999" w:rsidRPr="003B56D0">
        <w:trPr>
          <w:trHeight w:val="1040"/>
          <w:jc w:val="center"/>
        </w:trPr>
        <w:tc>
          <w:tcPr>
            <w:tcW w:w="538"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gridSpan w:val="2"/>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720" w:type="dxa"/>
            <w:gridSpan w:val="3"/>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720" w:type="dxa"/>
            <w:gridSpan w:val="2"/>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720" w:type="dxa"/>
            <w:gridSpan w:val="2"/>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Estonia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0,039</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0,063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1176</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39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proofErr w:type="spellStart"/>
            <w:r>
              <w:rPr>
                <w:rFonts w:cs="Times New Roman"/>
                <w:kern w:val="22"/>
                <w:lang w:val="es-ES" w:eastAsia="en-CA"/>
              </w:rPr>
              <w:t>Esuatini</w:t>
            </w:r>
            <w:proofErr w:type="spellEnd"/>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Etiopía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0,010</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Filipinas</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0,205</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0,329</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6180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Finlandia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0,421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0,677</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12 691</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Fiyi</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0,005</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90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Francia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4,427</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7,114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133 452</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Gabón</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0,015</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452</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Gambia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Ghana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0,015</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452</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Grecia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0,366</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0,588</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11 033</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49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Guatemala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0,036</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0,058</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1085</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Guinea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0,005</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90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Guinea-Bissau</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Guyana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Honduras</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0,009</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0,014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271</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Hungría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0,206</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0,331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6210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India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0,834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1,340</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25 141</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Indonesia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0,543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0,873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16 369</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Islas Marshall</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Islas Salomón</w:t>
            </w:r>
          </w:p>
        </w:tc>
        <w:tc>
          <w:tcPr>
            <w:tcW w:w="1720" w:type="dxa"/>
            <w:gridSpan w:val="3"/>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59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Japón</w:t>
            </w:r>
          </w:p>
        </w:tc>
        <w:tc>
          <w:tcPr>
            <w:tcW w:w="1720" w:type="dxa"/>
            <w:gridSpan w:val="3"/>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8,564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13,763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258 161</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Jordania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0,034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633</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Kazajistán</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0,178</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0,286</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5366</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Kenia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0,024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0,039</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723</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63</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Kirguistán</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64</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Kiribati</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65</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Kuwait</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0,252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0,405</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7597</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66</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Lesoto</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67</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Líbano</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0,047</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0,076</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1417</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68</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Liberia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69</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Luxemburgo</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0,067</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0,108</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2020</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70</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Madagascar</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0,004</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0,006</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121</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71</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Malasia</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0,341</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0,548</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10 279</w:t>
            </w:r>
          </w:p>
        </w:tc>
      </w:tr>
      <w:tr w:rsidR="00D31999">
        <w:trPr>
          <w:trHeight w:val="260"/>
          <w:jc w:val="center"/>
        </w:trPr>
        <w:tc>
          <w:tcPr>
            <w:tcW w:w="538"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72</w:t>
            </w:r>
          </w:p>
        </w:tc>
        <w:tc>
          <w:tcPr>
            <w:tcW w:w="3920" w:type="dxa"/>
            <w:gridSpan w:val="2"/>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Malaui</w:t>
            </w:r>
          </w:p>
        </w:tc>
        <w:tc>
          <w:tcPr>
            <w:tcW w:w="1720" w:type="dxa"/>
            <w:gridSpan w:val="3"/>
            <w:tcBorders>
              <w:top w:val="nil"/>
              <w:left w:val="nil"/>
              <w:bottom w:val="single" w:sz="4" w:space="0" w:color="auto"/>
              <w:right w:val="single" w:sz="4" w:space="0" w:color="auto"/>
            </w:tcBorders>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0,002</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0,003</w:t>
            </w:r>
          </w:p>
        </w:tc>
        <w:tc>
          <w:tcPr>
            <w:tcW w:w="1720" w:type="dxa"/>
            <w:gridSpan w:val="2"/>
            <w:tcBorders>
              <w:top w:val="nil"/>
              <w:left w:val="nil"/>
              <w:bottom w:val="single" w:sz="4" w:space="0" w:color="auto"/>
              <w:right w:val="single" w:sz="4" w:space="0" w:color="auto"/>
            </w:tcBorders>
            <w:noWrap/>
            <w:vAlign w:val="center"/>
          </w:tcPr>
          <w:p w:rsidR="00D31999" w:rsidRDefault="00D31999">
            <w:pPr>
              <w:adjustRightInd w:val="0"/>
              <w:snapToGrid w:val="0"/>
              <w:ind w:right="144"/>
              <w:jc w:val="right"/>
              <w:rPr>
                <w:rFonts w:cs="Times New Roman"/>
                <w:kern w:val="22"/>
                <w:lang w:val="es-ES" w:eastAsia="en-CA"/>
              </w:rPr>
            </w:pPr>
            <w:r>
              <w:rPr>
                <w:rFonts w:cs="Times New Roman"/>
                <w:kern w:val="22"/>
                <w:lang w:val="es-ES" w:eastAsia="en-CA"/>
              </w:rPr>
              <w:t>60</w:t>
            </w:r>
          </w:p>
        </w:tc>
      </w:tr>
    </w:tbl>
    <w:p w:rsidR="00D31999" w:rsidRDefault="00D31999">
      <w:pPr>
        <w:rPr>
          <w:rFonts w:cs="Times New Roman"/>
          <w:kern w:val="22"/>
          <w:lang w:val="es-ES"/>
        </w:rPr>
      </w:pPr>
    </w:p>
    <w:p w:rsidR="00D31999" w:rsidRDefault="00D31999">
      <w:pPr>
        <w:spacing w:after="160" w:line="259" w:lineRule="auto"/>
        <w:jc w:val="left"/>
        <w:rPr>
          <w:rFonts w:cs="Times New Roman"/>
          <w:kern w:val="22"/>
          <w:lang w:val="es-ES"/>
        </w:rPr>
      </w:pPr>
      <w:r>
        <w:rPr>
          <w:rFonts w:cs="Times New Roman"/>
          <w:kern w:val="22"/>
          <w:lang w:val="es-ES"/>
        </w:rPr>
        <w:br w:type="page"/>
      </w:r>
      <w:bookmarkStart w:id="5" w:name="_GoBack"/>
      <w:bookmarkEnd w:id="5"/>
    </w:p>
    <w:tbl>
      <w:tblPr>
        <w:tblW w:w="9317" w:type="dxa"/>
        <w:jc w:val="center"/>
        <w:tblLook w:val="0000" w:firstRow="0" w:lastRow="0" w:firstColumn="0" w:lastColumn="0" w:noHBand="0" w:noVBand="0"/>
      </w:tblPr>
      <w:tblGrid>
        <w:gridCol w:w="546"/>
        <w:gridCol w:w="3920"/>
        <w:gridCol w:w="1411"/>
        <w:gridCol w:w="1720"/>
        <w:gridCol w:w="1720"/>
      </w:tblGrid>
      <w:tr w:rsidR="00D31999" w:rsidRPr="003B56D0">
        <w:trPr>
          <w:trHeight w:val="1040"/>
          <w:jc w:val="center"/>
        </w:trPr>
        <w:tc>
          <w:tcPr>
            <w:tcW w:w="54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920"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411"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720"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Maldivas</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121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Malí</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121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Malta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0,017</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0,027</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512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Mauricio</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0,011</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332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Mauritania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proofErr w:type="spellStart"/>
            <w:r>
              <w:rPr>
                <w:rFonts w:cs="Times New Roman"/>
                <w:kern w:val="22"/>
                <w:lang w:val="es-ES" w:eastAsia="en-CA"/>
              </w:rPr>
              <w:t>Mexico</w:t>
            </w:r>
            <w:proofErr w:type="spellEnd"/>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1,292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2,076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38 947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79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Micronesia (Estados Federados de)</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Mongolia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151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Montenegro</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121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Mozambique</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121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Namibia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0,009</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271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Nepal</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Nicaragua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151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Níger</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Noruega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0,754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1,212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22 729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Omán</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0,115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0,185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3467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89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Países Bajos</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1,356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2,179</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40 877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Pakistán</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0,115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0,185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3467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Palaos</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Panamá</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0,045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0,072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1357</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Perú</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0,152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0,244</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4582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Portugal</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0,350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0,562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10 551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Reino Unido de Gran Bretaña e Irlanda del Norte</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4,567</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7,339</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137 672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Árabe Siria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0,011</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332</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97</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Centroafricana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98</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 Corea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2,267</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3,643</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68 339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99</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 Moldavia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90</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100</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Democrática del Congo</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101</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Democrática Popular Lao</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151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102</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Dominicana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0,053</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0,085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1598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103</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Popular Democrática de Corea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181</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104</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República Unida de Tanzania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105</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Rumanía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0,198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0,318</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5969</w:t>
            </w:r>
          </w:p>
        </w:tc>
      </w:tr>
      <w:tr w:rsidR="00D31999">
        <w:trPr>
          <w:trHeight w:val="260"/>
          <w:jc w:val="center"/>
        </w:trPr>
        <w:tc>
          <w:tcPr>
            <w:tcW w:w="54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106</w:t>
            </w:r>
          </w:p>
        </w:tc>
        <w:tc>
          <w:tcPr>
            <w:tcW w:w="3920"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Ruanda</w:t>
            </w:r>
          </w:p>
        </w:tc>
        <w:tc>
          <w:tcPr>
            <w:tcW w:w="1411"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720"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90</w:t>
            </w:r>
          </w:p>
        </w:tc>
      </w:tr>
    </w:tbl>
    <w:p w:rsidR="00D31999" w:rsidRDefault="00D31999">
      <w:pPr>
        <w:rPr>
          <w:rFonts w:cs="Times New Roman"/>
          <w:kern w:val="22"/>
          <w:lang w:val="es-ES"/>
        </w:rPr>
      </w:pPr>
    </w:p>
    <w:p w:rsidR="00D31999" w:rsidRDefault="00D31999">
      <w:pPr>
        <w:spacing w:after="160" w:line="259" w:lineRule="auto"/>
        <w:jc w:val="left"/>
        <w:rPr>
          <w:rFonts w:cs="Times New Roman"/>
          <w:kern w:val="22"/>
          <w:lang w:val="es-ES"/>
        </w:rPr>
      </w:pPr>
      <w:r>
        <w:rPr>
          <w:rFonts w:cs="Times New Roman"/>
          <w:kern w:val="22"/>
          <w:lang w:val="es-ES"/>
        </w:rPr>
        <w:br w:type="page"/>
      </w:r>
    </w:p>
    <w:tbl>
      <w:tblPr>
        <w:tblW w:w="9460" w:type="dxa"/>
        <w:jc w:val="center"/>
        <w:tblLook w:val="0000" w:firstRow="0" w:lastRow="0" w:firstColumn="0" w:lastColumn="0" w:noHBand="0" w:noVBand="0"/>
      </w:tblPr>
      <w:tblGrid>
        <w:gridCol w:w="616"/>
        <w:gridCol w:w="3813"/>
        <w:gridCol w:w="1677"/>
        <w:gridCol w:w="1677"/>
        <w:gridCol w:w="1677"/>
      </w:tblGrid>
      <w:tr w:rsidR="00D31999" w:rsidRPr="003B56D0">
        <w:trPr>
          <w:trHeight w:val="1040"/>
          <w:jc w:val="center"/>
        </w:trPr>
        <w:tc>
          <w:tcPr>
            <w:tcW w:w="616" w:type="dxa"/>
            <w:tcBorders>
              <w:top w:val="single" w:sz="4" w:space="0" w:color="auto"/>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813" w:type="dxa"/>
            <w:tcBorders>
              <w:top w:val="single" w:sz="4" w:space="0" w:color="auto"/>
              <w:left w:val="nil"/>
              <w:bottom w:val="single" w:sz="4" w:space="0" w:color="auto"/>
              <w:right w:val="single" w:sz="4" w:space="0" w:color="auto"/>
            </w:tcBorders>
            <w:noWrap/>
            <w:vAlign w:val="center"/>
          </w:tcPr>
          <w:p w:rsidR="00D31999" w:rsidRDefault="00D31999">
            <w:pPr>
              <w:jc w:val="center"/>
              <w:rPr>
                <w:rFonts w:cs="Times New Roman"/>
                <w:b/>
                <w:bCs/>
                <w:kern w:val="22"/>
                <w:lang w:val="es-ES" w:eastAsia="en-CA"/>
              </w:rPr>
            </w:pPr>
            <w:r>
              <w:rPr>
                <w:rFonts w:cs="Times New Roman"/>
                <w:b/>
                <w:bCs/>
                <w:kern w:val="22"/>
                <w:lang w:val="es-ES" w:eastAsia="en-CA"/>
              </w:rPr>
              <w:t>Parte</w:t>
            </w:r>
          </w:p>
        </w:tc>
        <w:tc>
          <w:tcPr>
            <w:tcW w:w="1677" w:type="dxa"/>
            <w:tcBorders>
              <w:top w:val="single" w:sz="4" w:space="0" w:color="auto"/>
              <w:left w:val="nil"/>
              <w:bottom w:val="single" w:sz="4" w:space="0" w:color="auto"/>
              <w:right w:val="single" w:sz="4" w:space="0" w:color="auto"/>
            </w:tcBorders>
            <w:vAlign w:val="center"/>
          </w:tcPr>
          <w:p w:rsidR="00D31999" w:rsidRDefault="00D31999">
            <w:pPr>
              <w:pStyle w:val="recommendationheader"/>
              <w:keepNext w:val="0"/>
              <w:tabs>
                <w:tab w:val="clear" w:pos="720"/>
              </w:tabs>
              <w:spacing w:before="0" w:after="0"/>
              <w:rPr>
                <w:kern w:val="22"/>
                <w:lang w:val="es-ES" w:eastAsia="en-CA"/>
              </w:rPr>
            </w:pPr>
            <w:r>
              <w:rPr>
                <w:kern w:val="22"/>
                <w:lang w:val="es-ES" w:eastAsia="en-CA"/>
              </w:rPr>
              <w:t>Escala de cuotas 2019-2021</w:t>
            </w:r>
          </w:p>
        </w:tc>
        <w:tc>
          <w:tcPr>
            <w:tcW w:w="1677"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Escala con tope del 22 %, ningún PMA paga más del 0,01 %</w:t>
            </w:r>
          </w:p>
        </w:tc>
        <w:tc>
          <w:tcPr>
            <w:tcW w:w="1677" w:type="dxa"/>
            <w:tcBorders>
              <w:top w:val="single" w:sz="4" w:space="0" w:color="auto"/>
              <w:left w:val="nil"/>
              <w:bottom w:val="single" w:sz="4" w:space="0" w:color="auto"/>
              <w:right w:val="single" w:sz="4" w:space="0" w:color="auto"/>
            </w:tcBorders>
            <w:vAlign w:val="center"/>
          </w:tcPr>
          <w:p w:rsidR="00D31999" w:rsidRDefault="00D31999">
            <w:pPr>
              <w:jc w:val="center"/>
              <w:rPr>
                <w:rFonts w:cs="Times New Roman"/>
                <w:b/>
                <w:bCs/>
                <w:kern w:val="22"/>
                <w:lang w:val="es-ES" w:eastAsia="en-CA"/>
              </w:rPr>
            </w:pPr>
            <w:r>
              <w:rPr>
                <w:rFonts w:cs="Times New Roman"/>
                <w:b/>
                <w:bCs/>
                <w:kern w:val="22"/>
                <w:lang w:val="es-ES" w:eastAsia="en-CA"/>
              </w:rPr>
              <w:t>Contribuciones a 1 de enero de 2022</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107</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Samoa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108</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San Cristóbal y Nieves</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109</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Santo Tomé y Príncipe</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110</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Senegal</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0,007</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111</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Serbia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0,028</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0,045</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844</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112</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Seychelles</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113</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Sierra Leona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114</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Sudáfrica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0,272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0,437</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8199</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115</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Sudán</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116</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Suecia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0,906</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1,456</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27 311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117</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Suiza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1,151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1,850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34 697</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118</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Tayikistán</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0,004</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0,006</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121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119</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Togo</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0,003</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60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120</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Tonga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121</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Turkmenistán</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0,033</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0,053</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995</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122</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Tuvalu</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123</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Uganda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0,008</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188</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124</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Unión Europea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2,500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46 896</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125</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Uruguay</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0,087</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0,140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2623</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126</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Vanuatu</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127</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Venezuela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0,728</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1,170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21 946</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128</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Vietnam</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0,077</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0,124</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2321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129</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Yibuti</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0,001</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0,002</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30</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130</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Zambia</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0,009</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0,014</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271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right"/>
              <w:rPr>
                <w:rFonts w:cs="Times New Roman"/>
                <w:kern w:val="22"/>
                <w:lang w:val="es-ES" w:eastAsia="en-CA"/>
              </w:rPr>
            </w:pPr>
            <w:r>
              <w:rPr>
                <w:rFonts w:cs="Times New Roman"/>
                <w:kern w:val="22"/>
                <w:lang w:val="es-ES" w:eastAsia="en-CA"/>
              </w:rPr>
              <w:t>131</w:t>
            </w:r>
          </w:p>
        </w:tc>
        <w:tc>
          <w:tcPr>
            <w:tcW w:w="3813" w:type="dxa"/>
            <w:tcBorders>
              <w:top w:val="nil"/>
              <w:left w:val="nil"/>
              <w:bottom w:val="single" w:sz="4" w:space="0" w:color="auto"/>
              <w:right w:val="single" w:sz="4" w:space="0" w:color="auto"/>
            </w:tcBorders>
            <w:vAlign w:val="center"/>
          </w:tcPr>
          <w:p w:rsidR="00D31999" w:rsidRDefault="00D31999">
            <w:pPr>
              <w:jc w:val="left"/>
              <w:rPr>
                <w:rFonts w:cs="Times New Roman"/>
                <w:kern w:val="22"/>
                <w:lang w:val="es-ES" w:eastAsia="en-CA"/>
              </w:rPr>
            </w:pPr>
            <w:r>
              <w:rPr>
                <w:rFonts w:cs="Times New Roman"/>
                <w:kern w:val="22"/>
                <w:lang w:val="es-ES" w:eastAsia="en-CA"/>
              </w:rPr>
              <w:t>Zimbabue</w:t>
            </w:r>
          </w:p>
        </w:tc>
        <w:tc>
          <w:tcPr>
            <w:tcW w:w="1677" w:type="dxa"/>
            <w:tcBorders>
              <w:top w:val="nil"/>
              <w:left w:val="nil"/>
              <w:bottom w:val="single" w:sz="4" w:space="0" w:color="auto"/>
              <w:right w:val="single" w:sz="4" w:space="0" w:color="auto"/>
            </w:tcBorders>
            <w:vAlign w:val="center"/>
          </w:tcPr>
          <w:p w:rsidR="00D31999" w:rsidRDefault="00D31999">
            <w:pPr>
              <w:ind w:right="288"/>
              <w:jc w:val="right"/>
              <w:rPr>
                <w:rFonts w:cs="Times New Roman"/>
                <w:kern w:val="22"/>
                <w:lang w:val="es-ES" w:eastAsia="en-CA"/>
              </w:rPr>
            </w:pPr>
            <w:r>
              <w:rPr>
                <w:rFonts w:cs="Times New Roman"/>
                <w:kern w:val="22"/>
                <w:lang w:val="es-ES" w:eastAsia="en-CA"/>
              </w:rPr>
              <w:t>0,005</w:t>
            </w:r>
          </w:p>
        </w:tc>
        <w:tc>
          <w:tcPr>
            <w:tcW w:w="1677" w:type="dxa"/>
            <w:tcBorders>
              <w:top w:val="nil"/>
              <w:left w:val="nil"/>
              <w:bottom w:val="nil"/>
              <w:right w:val="nil"/>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0,008</w:t>
            </w:r>
          </w:p>
        </w:tc>
        <w:tc>
          <w:tcPr>
            <w:tcW w:w="1677" w:type="dxa"/>
            <w:tcBorders>
              <w:top w:val="nil"/>
              <w:left w:val="single" w:sz="4" w:space="0" w:color="auto"/>
              <w:bottom w:val="single" w:sz="4" w:space="0" w:color="auto"/>
              <w:right w:val="single" w:sz="4" w:space="0" w:color="auto"/>
            </w:tcBorders>
            <w:noWrap/>
            <w:vAlign w:val="center"/>
          </w:tcPr>
          <w:p w:rsidR="00D31999" w:rsidRDefault="00D31999">
            <w:pPr>
              <w:ind w:right="288"/>
              <w:jc w:val="right"/>
              <w:rPr>
                <w:rFonts w:cs="Times New Roman"/>
                <w:kern w:val="22"/>
                <w:lang w:val="es-ES" w:eastAsia="en-CA"/>
              </w:rPr>
            </w:pPr>
            <w:r>
              <w:rPr>
                <w:rFonts w:cs="Times New Roman"/>
                <w:kern w:val="22"/>
                <w:lang w:val="es-ES" w:eastAsia="en-CA"/>
              </w:rPr>
              <w:t>151</w:t>
            </w:r>
          </w:p>
        </w:tc>
      </w:tr>
      <w:tr w:rsidR="00D31999">
        <w:trPr>
          <w:trHeight w:val="260"/>
          <w:jc w:val="center"/>
        </w:trPr>
        <w:tc>
          <w:tcPr>
            <w:tcW w:w="616" w:type="dxa"/>
            <w:tcBorders>
              <w:top w:val="nil"/>
              <w:left w:val="single" w:sz="4" w:space="0" w:color="auto"/>
              <w:bottom w:val="single" w:sz="4" w:space="0" w:color="auto"/>
              <w:right w:val="single" w:sz="4" w:space="0" w:color="auto"/>
            </w:tcBorders>
            <w:noWrap/>
            <w:vAlign w:val="center"/>
          </w:tcPr>
          <w:p w:rsidR="00D31999" w:rsidRDefault="00D31999">
            <w:pPr>
              <w:jc w:val="left"/>
              <w:rPr>
                <w:rFonts w:cs="Times New Roman"/>
                <w:kern w:val="22"/>
                <w:lang w:val="es-ES" w:eastAsia="en-CA"/>
              </w:rPr>
            </w:pPr>
          </w:p>
        </w:tc>
        <w:tc>
          <w:tcPr>
            <w:tcW w:w="3813" w:type="dxa"/>
            <w:tcBorders>
              <w:top w:val="nil"/>
              <w:left w:val="nil"/>
              <w:bottom w:val="single" w:sz="4" w:space="0" w:color="auto"/>
              <w:right w:val="single" w:sz="4" w:space="0" w:color="auto"/>
            </w:tcBorders>
            <w:noWrap/>
            <w:vAlign w:val="center"/>
          </w:tcPr>
          <w:p w:rsidR="00D31999" w:rsidRDefault="00D31999">
            <w:pPr>
              <w:jc w:val="left"/>
              <w:rPr>
                <w:rFonts w:cs="Times New Roman"/>
                <w:b/>
                <w:bCs/>
                <w:kern w:val="22"/>
                <w:lang w:val="es-ES" w:eastAsia="en-CA"/>
              </w:rPr>
            </w:pPr>
            <w:r>
              <w:rPr>
                <w:rFonts w:cs="Times New Roman"/>
                <w:b/>
                <w:bCs/>
                <w:kern w:val="22"/>
                <w:lang w:val="es-ES" w:eastAsia="en-CA"/>
              </w:rPr>
              <w:t>Total</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b/>
                <w:bCs/>
                <w:kern w:val="22"/>
                <w:lang w:val="es-ES" w:eastAsia="en-CA"/>
              </w:rPr>
            </w:pPr>
            <w:r>
              <w:rPr>
                <w:rFonts w:cs="Times New Roman"/>
                <w:b/>
                <w:bCs/>
                <w:kern w:val="22"/>
                <w:lang w:val="es-ES" w:eastAsia="en-CA"/>
              </w:rPr>
              <w:t>60,698</w:t>
            </w:r>
          </w:p>
        </w:tc>
        <w:tc>
          <w:tcPr>
            <w:tcW w:w="1677" w:type="dxa"/>
            <w:tcBorders>
              <w:top w:val="single" w:sz="4" w:space="0" w:color="auto"/>
              <w:left w:val="nil"/>
              <w:bottom w:val="single" w:sz="4" w:space="0" w:color="auto"/>
              <w:right w:val="single" w:sz="4" w:space="0" w:color="auto"/>
            </w:tcBorders>
            <w:noWrap/>
            <w:vAlign w:val="center"/>
          </w:tcPr>
          <w:p w:rsidR="00D31999" w:rsidRDefault="00D31999">
            <w:pPr>
              <w:ind w:right="288"/>
              <w:jc w:val="right"/>
              <w:rPr>
                <w:rFonts w:cs="Times New Roman"/>
                <w:b/>
                <w:bCs/>
                <w:kern w:val="22"/>
                <w:lang w:val="es-ES" w:eastAsia="en-CA"/>
              </w:rPr>
            </w:pPr>
            <w:r>
              <w:rPr>
                <w:rFonts w:cs="Times New Roman"/>
                <w:b/>
                <w:bCs/>
                <w:kern w:val="22"/>
                <w:lang w:val="es-ES" w:eastAsia="en-CA"/>
              </w:rPr>
              <w:t>100,000</w:t>
            </w:r>
          </w:p>
        </w:tc>
        <w:tc>
          <w:tcPr>
            <w:tcW w:w="1677" w:type="dxa"/>
            <w:tcBorders>
              <w:top w:val="nil"/>
              <w:left w:val="nil"/>
              <w:bottom w:val="single" w:sz="4" w:space="0" w:color="auto"/>
              <w:right w:val="single" w:sz="4" w:space="0" w:color="auto"/>
            </w:tcBorders>
            <w:noWrap/>
            <w:vAlign w:val="center"/>
          </w:tcPr>
          <w:p w:rsidR="00D31999" w:rsidRDefault="00D31999">
            <w:pPr>
              <w:ind w:right="288"/>
              <w:jc w:val="right"/>
              <w:rPr>
                <w:rFonts w:cs="Times New Roman"/>
                <w:b/>
                <w:bCs/>
                <w:kern w:val="22"/>
                <w:lang w:val="es-ES" w:eastAsia="en-CA"/>
              </w:rPr>
            </w:pPr>
            <w:r>
              <w:rPr>
                <w:rFonts w:cs="Times New Roman"/>
                <w:b/>
                <w:bCs/>
                <w:kern w:val="22"/>
                <w:lang w:val="es-ES" w:eastAsia="en-CA"/>
              </w:rPr>
              <w:t>1 875 825</w:t>
            </w:r>
          </w:p>
        </w:tc>
      </w:tr>
    </w:tbl>
    <w:p w:rsidR="00D31999" w:rsidRDefault="00D31999">
      <w:pPr>
        <w:rPr>
          <w:rFonts w:cs="Times New Roman"/>
          <w:kern w:val="22"/>
          <w:lang w:val="es-ES"/>
        </w:rPr>
      </w:pPr>
    </w:p>
    <w:p w:rsidR="00D31999" w:rsidRDefault="00D31999">
      <w:pPr>
        <w:suppressLineNumbers/>
        <w:suppressAutoHyphens/>
        <w:rPr>
          <w:rFonts w:cs="Times New Roman"/>
          <w:snapToGrid w:val="0"/>
          <w:kern w:val="22"/>
          <w:lang w:val="es-ES"/>
        </w:rPr>
      </w:pPr>
    </w:p>
    <w:p w:rsidR="00D31999" w:rsidRDefault="00D31999">
      <w:pPr>
        <w:suppressLineNumbers/>
        <w:suppressAutoHyphens/>
        <w:jc w:val="center"/>
        <w:rPr>
          <w:rFonts w:cs="Times New Roman"/>
          <w:snapToGrid w:val="0"/>
          <w:kern w:val="22"/>
          <w:lang w:val="es-ES"/>
        </w:rPr>
      </w:pPr>
      <w:r>
        <w:rPr>
          <w:rFonts w:cs="Times New Roman"/>
          <w:snapToGrid w:val="0"/>
          <w:kern w:val="22"/>
          <w:lang w:val="es-ES"/>
        </w:rPr>
        <w:t>__________</w:t>
      </w:r>
    </w:p>
    <w:sectPr w:rsidR="00D31999" w:rsidSect="00D31999">
      <w:headerReference w:type="even" r:id="rId13"/>
      <w:headerReference w:type="default" r:id="rId14"/>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999" w:rsidRDefault="00D31999">
      <w:pPr>
        <w:rPr>
          <w:rFonts w:cs="Times New Roman"/>
        </w:rPr>
      </w:pPr>
      <w:r>
        <w:rPr>
          <w:rFonts w:cs="Times New Roman"/>
        </w:rPr>
        <w:separator/>
      </w:r>
    </w:p>
  </w:endnote>
  <w:endnote w:type="continuationSeparator" w:id="0">
    <w:p w:rsidR="00D31999" w:rsidRDefault="00D31999">
      <w:pPr>
        <w:rPr>
          <w:rFonts w:cs="Times New Roman"/>
        </w:rPr>
      </w:pPr>
      <w:r>
        <w:rPr>
          <w:rFonts w:cs="Times New Roman"/>
        </w:rPr>
        <w:continuationSeparator/>
      </w:r>
    </w:p>
  </w:endnote>
  <w:endnote w:type="continuationNotice" w:id="1">
    <w:p w:rsidR="00D31999" w:rsidRDefault="00D31999">
      <w:pPr>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
    <w:altName w:val="MS Mincho"/>
    <w:panose1 w:val="00000000000000000000"/>
    <w:charset w:val="80"/>
    <w:family w:val="roman"/>
    <w:notTrueType/>
    <w:pitch w:val="default"/>
    <w:sig w:usb0="00000001" w:usb1="08070000" w:usb2="00000010" w:usb3="00000000" w:csb0="00020000" w:csb1="00000000"/>
  </w:font>
  <w:font w:name="Lucida Grande">
    <w:altName w:val="Segoe UI"/>
    <w:panose1 w:val="00000000000000000000"/>
    <w:charset w:val="00"/>
    <w:family w:val="auto"/>
    <w:notTrueType/>
    <w:pitch w:val="variable"/>
    <w:sig w:usb0="00000003" w:usb1="00000000" w:usb2="00000000" w:usb3="00000000" w:csb0="00000001" w:csb1="00000000"/>
  </w:font>
  <w:font w:name="Malgun Gothic">
    <w:altName w:val="¡Ë¢çE¢®EcE¢®E¡ËcEcE¡Ë¢çE¢®EcE¢®"/>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 Light">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999" w:rsidRDefault="00D31999">
      <w:pPr>
        <w:rPr>
          <w:rFonts w:cs="Times New Roman"/>
        </w:rPr>
      </w:pPr>
      <w:r>
        <w:rPr>
          <w:rFonts w:cs="Times New Roman"/>
        </w:rPr>
        <w:separator/>
      </w:r>
    </w:p>
  </w:footnote>
  <w:footnote w:type="continuationSeparator" w:id="0">
    <w:p w:rsidR="00D31999" w:rsidRDefault="00D31999">
      <w:pPr>
        <w:rPr>
          <w:rFonts w:cs="Times New Roman"/>
        </w:rPr>
      </w:pPr>
      <w:r>
        <w:rPr>
          <w:rFonts w:cs="Times New Roman"/>
        </w:rPr>
        <w:continuationSeparator/>
      </w:r>
    </w:p>
  </w:footnote>
  <w:footnote w:type="continuationNotice" w:id="1">
    <w:p w:rsidR="00D31999" w:rsidRDefault="00D31999">
      <w:pPr>
        <w:rPr>
          <w:rFonts w:cs="Times New Roman"/>
        </w:rPr>
      </w:pPr>
    </w:p>
  </w:footnote>
  <w:footnote w:id="2">
    <w:p w:rsidR="00D31999" w:rsidRDefault="00D31999">
      <w:pPr>
        <w:pStyle w:val="FootnoteText"/>
        <w:suppressLineNumbers/>
        <w:suppressAutoHyphens/>
        <w:kinsoku w:val="0"/>
        <w:overflowPunct w:val="0"/>
        <w:autoSpaceDE w:val="0"/>
        <w:autoSpaceDN w:val="0"/>
        <w:ind w:firstLine="0"/>
        <w:jc w:val="left"/>
      </w:pPr>
      <w:r>
        <w:rPr>
          <w:rStyle w:val="FootnoteReference"/>
          <w:kern w:val="18"/>
          <w:sz w:val="18"/>
          <w:szCs w:val="18"/>
          <w:lang w:val="en-GB"/>
        </w:rPr>
        <w:t>*</w:t>
      </w:r>
      <w:r>
        <w:t>CBD/COP/15/1</w:t>
      </w:r>
      <w:hyperlink r:id="rId1" w:history="1">
        <w:r>
          <w:rPr>
            <w:rStyle w:val="Hyperlink"/>
            <w:kern w:val="18"/>
          </w:rPr>
          <w:t>/Rev.1</w:t>
        </w:r>
      </w:hyperlink>
      <w:r>
        <w:rPr>
          <w:kern w:val="18"/>
        </w:rPr>
        <w:t>.</w:t>
      </w:r>
    </w:p>
  </w:footnote>
  <w:footnote w:id="3">
    <w:p w:rsidR="00D31999" w:rsidRDefault="00D31999">
      <w:pPr>
        <w:pStyle w:val="FootnoteText"/>
        <w:suppressLineNumbers/>
        <w:suppressAutoHyphens/>
        <w:kinsoku w:val="0"/>
        <w:overflowPunct w:val="0"/>
        <w:autoSpaceDE w:val="0"/>
        <w:autoSpaceDN w:val="0"/>
        <w:ind w:firstLine="0"/>
        <w:jc w:val="left"/>
      </w:pPr>
      <w:r>
        <w:rPr>
          <w:rStyle w:val="FootnoteReference"/>
          <w:kern w:val="18"/>
          <w:sz w:val="18"/>
          <w:szCs w:val="18"/>
          <w:lang w:val="en-GB"/>
        </w:rPr>
        <w:t>**</w:t>
      </w:r>
      <w:r>
        <w:rPr>
          <w:kern w:val="18"/>
        </w:rPr>
        <w:t xml:space="preserve"> CBD/CP/MOP/10</w:t>
      </w:r>
      <w:hyperlink r:id="rId2" w:history="1">
        <w:r>
          <w:rPr>
            <w:rStyle w:val="Hyperlink"/>
            <w:kern w:val="18"/>
          </w:rPr>
          <w:t>/1/Rev.1</w:t>
        </w:r>
      </w:hyperlink>
      <w:r>
        <w:rPr>
          <w:kern w:val="18"/>
        </w:rPr>
        <w:t>.</w:t>
      </w:r>
    </w:p>
  </w:footnote>
  <w:footnote w:id="4">
    <w:p w:rsidR="00D31999" w:rsidRDefault="00D31999">
      <w:pPr>
        <w:pStyle w:val="FootnoteText"/>
        <w:suppressLineNumbers/>
        <w:suppressAutoHyphens/>
        <w:kinsoku w:val="0"/>
        <w:overflowPunct w:val="0"/>
        <w:autoSpaceDE w:val="0"/>
        <w:autoSpaceDN w:val="0"/>
        <w:ind w:firstLine="0"/>
        <w:jc w:val="left"/>
      </w:pPr>
      <w:r>
        <w:rPr>
          <w:rStyle w:val="FootnoteReference"/>
          <w:kern w:val="18"/>
          <w:sz w:val="18"/>
          <w:szCs w:val="18"/>
          <w:lang w:val="es-ES"/>
        </w:rPr>
        <w:t>***</w:t>
      </w:r>
      <w:r>
        <w:rPr>
          <w:kern w:val="18"/>
          <w:lang w:val="es-ES"/>
        </w:rPr>
        <w:t xml:space="preserve"> CBD/NP/MOP/4</w:t>
      </w:r>
      <w:hyperlink r:id="rId3" w:history="1">
        <w:r>
          <w:rPr>
            <w:rStyle w:val="Hyperlink"/>
            <w:kern w:val="18"/>
            <w:lang w:val="es-ES"/>
          </w:rPr>
          <w:t>/1/Rev.1</w:t>
        </w:r>
      </w:hyperlink>
      <w:r>
        <w:rPr>
          <w:kern w:val="18"/>
          <w:lang w:val="es-ES"/>
        </w:rPr>
        <w:t>.</w:t>
      </w:r>
    </w:p>
  </w:footnote>
  <w:footnote w:id="5">
    <w:p w:rsidR="00D31999" w:rsidRDefault="00D31999">
      <w:pPr>
        <w:pStyle w:val="FootnoteText"/>
        <w:suppressLineNumbers/>
        <w:suppressAutoHyphens/>
        <w:kinsoku w:val="0"/>
        <w:overflowPunct w:val="0"/>
        <w:autoSpaceDE w:val="0"/>
        <w:autoSpaceDN w:val="0"/>
        <w:ind w:firstLine="0"/>
        <w:jc w:val="left"/>
      </w:pPr>
      <w:r>
        <w:rPr>
          <w:rStyle w:val="FootnoteReference"/>
          <w:kern w:val="18"/>
          <w:sz w:val="18"/>
          <w:szCs w:val="18"/>
          <w:lang w:val="en-GB"/>
        </w:rPr>
        <w:footnoteRef/>
      </w:r>
      <w:r>
        <w:rPr>
          <w:kern w:val="18"/>
          <w:lang w:val="es-ES"/>
        </w:rPr>
        <w:t xml:space="preserve"> Reglamento financiero para la administración del Fondo Fiduciario para el Convenio sobre la Diversidad Biológica (decisión </w:t>
      </w:r>
      <w:hyperlink r:id="rId4" w:history="1">
        <w:r>
          <w:rPr>
            <w:rStyle w:val="Hyperlink"/>
            <w:kern w:val="18"/>
            <w:lang w:val="es-ES"/>
          </w:rPr>
          <w:t>I/6</w:t>
        </w:r>
      </w:hyperlink>
      <w:r>
        <w:rPr>
          <w:rStyle w:val="Hyperlink"/>
          <w:kern w:val="18"/>
          <w:lang w:val="es-ES"/>
        </w:rPr>
        <w:t>,</w:t>
      </w:r>
      <w:r>
        <w:rPr>
          <w:kern w:val="18"/>
          <w:lang w:val="es-ES"/>
        </w:rPr>
        <w:t xml:space="preserve"> anexo I).</w:t>
      </w:r>
    </w:p>
  </w:footnote>
  <w:footnote w:id="6">
    <w:p w:rsidR="00D31999" w:rsidRDefault="00D31999">
      <w:pPr>
        <w:pStyle w:val="FootnoteText"/>
        <w:suppressLineNumbers/>
        <w:suppressAutoHyphens/>
        <w:kinsoku w:val="0"/>
        <w:overflowPunct w:val="0"/>
        <w:autoSpaceDE w:val="0"/>
        <w:autoSpaceDN w:val="0"/>
        <w:ind w:firstLine="0"/>
        <w:jc w:val="left"/>
      </w:pPr>
      <w:r>
        <w:rPr>
          <w:rStyle w:val="FootnoteReference"/>
          <w:kern w:val="18"/>
          <w:sz w:val="18"/>
          <w:szCs w:val="18"/>
          <w:lang w:val="en-GB"/>
        </w:rPr>
        <w:footnoteRef/>
      </w:r>
      <w:r>
        <w:rPr>
          <w:kern w:val="18"/>
        </w:rPr>
        <w:t xml:space="preserve"> CBD/COP/15/3.</w:t>
      </w:r>
    </w:p>
  </w:footnote>
  <w:footnote w:id="7">
    <w:p w:rsidR="00D31999" w:rsidRDefault="00D31999">
      <w:pPr>
        <w:pStyle w:val="FootnoteText"/>
        <w:suppressLineNumbers/>
        <w:suppressAutoHyphens/>
        <w:kinsoku w:val="0"/>
        <w:overflowPunct w:val="0"/>
        <w:autoSpaceDE w:val="0"/>
        <w:autoSpaceDN w:val="0"/>
        <w:ind w:firstLine="0"/>
        <w:jc w:val="left"/>
      </w:pPr>
      <w:r>
        <w:rPr>
          <w:rStyle w:val="FootnoteReference"/>
          <w:kern w:val="18"/>
          <w:sz w:val="18"/>
          <w:szCs w:val="18"/>
          <w:lang w:val="en-GB"/>
        </w:rPr>
        <w:footnoteRef/>
      </w:r>
      <w:r>
        <w:rPr>
          <w:snapToGrid w:val="0"/>
          <w:kern w:val="18"/>
        </w:rPr>
        <w:t>CBD/CP/MOP/10/3</w:t>
      </w:r>
      <w:r>
        <w:rPr>
          <w:kern w:val="18"/>
        </w:rPr>
        <w:t>.</w:t>
      </w:r>
    </w:p>
  </w:footnote>
  <w:footnote w:id="8">
    <w:p w:rsidR="00D31999" w:rsidRPr="003B56D0" w:rsidRDefault="00D31999">
      <w:pPr>
        <w:pStyle w:val="FootnoteText"/>
        <w:suppressLineNumbers/>
        <w:suppressAutoHyphens/>
        <w:kinsoku w:val="0"/>
        <w:overflowPunct w:val="0"/>
        <w:autoSpaceDE w:val="0"/>
        <w:autoSpaceDN w:val="0"/>
        <w:ind w:firstLine="0"/>
        <w:jc w:val="left"/>
        <w:rPr>
          <w:lang w:val="fr-CA"/>
        </w:rPr>
      </w:pPr>
      <w:r>
        <w:rPr>
          <w:rStyle w:val="FootnoteReference"/>
          <w:sz w:val="18"/>
          <w:szCs w:val="18"/>
          <w:lang w:val="en-GB"/>
        </w:rPr>
        <w:footnoteRef/>
      </w:r>
      <w:r>
        <w:rPr>
          <w:lang w:val="es-ES"/>
        </w:rPr>
        <w:t xml:space="preserve"> Se incluirá el número de la decisión.</w:t>
      </w:r>
    </w:p>
  </w:footnote>
  <w:footnote w:id="9">
    <w:p w:rsidR="00D31999" w:rsidRPr="003B56D0" w:rsidRDefault="00D31999">
      <w:pPr>
        <w:pStyle w:val="FootnoteText"/>
        <w:suppressLineNumbers/>
        <w:suppressAutoHyphens/>
        <w:kinsoku w:val="0"/>
        <w:overflowPunct w:val="0"/>
        <w:autoSpaceDE w:val="0"/>
        <w:autoSpaceDN w:val="0"/>
        <w:ind w:firstLine="0"/>
        <w:jc w:val="left"/>
        <w:rPr>
          <w:lang w:val="fr-CA"/>
        </w:rPr>
      </w:pPr>
      <w:r>
        <w:rPr>
          <w:rStyle w:val="FootnoteReference"/>
          <w:kern w:val="18"/>
          <w:sz w:val="18"/>
          <w:szCs w:val="18"/>
          <w:lang w:val="en-GB"/>
        </w:rPr>
        <w:footnoteRef/>
      </w:r>
      <w:r>
        <w:rPr>
          <w:snapToGrid w:val="0"/>
          <w:kern w:val="18"/>
          <w:lang w:val="es-ES"/>
        </w:rPr>
        <w:t>CBD/NP/MOP/4/3</w:t>
      </w:r>
      <w:r>
        <w:rPr>
          <w:kern w:val="18"/>
          <w:lang w:val="es-ES"/>
        </w:rPr>
        <w:t>.</w:t>
      </w:r>
    </w:p>
  </w:footnote>
  <w:footnote w:id="10">
    <w:p w:rsidR="00D31999" w:rsidRPr="003B56D0" w:rsidRDefault="00D31999">
      <w:pPr>
        <w:pStyle w:val="FootnoteText"/>
        <w:suppressLineNumbers/>
        <w:suppressAutoHyphens/>
        <w:kinsoku w:val="0"/>
        <w:overflowPunct w:val="0"/>
        <w:autoSpaceDE w:val="0"/>
        <w:autoSpaceDN w:val="0"/>
        <w:ind w:firstLine="0"/>
        <w:jc w:val="left"/>
        <w:rPr>
          <w:lang w:val="fr-CA"/>
        </w:rPr>
      </w:pPr>
      <w:r>
        <w:rPr>
          <w:rStyle w:val="FootnoteReference"/>
          <w:sz w:val="18"/>
          <w:szCs w:val="18"/>
          <w:lang w:val="en-GB"/>
        </w:rPr>
        <w:footnoteRef/>
      </w:r>
      <w:r>
        <w:rPr>
          <w:lang w:val="es-ES"/>
        </w:rPr>
        <w:t xml:space="preserve"> Se incluirá el número de la decisión.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9" w:rsidRDefault="00D31999">
    <w:pPr>
      <w:pStyle w:val="Header"/>
      <w:ind w:right="7233"/>
      <w:jc w:val="left"/>
    </w:pPr>
    <w:r>
      <w:t>CBD/COP/15/3 CBD/CP/MOP/10/3 CBD/NP/MOP/4/3</w:t>
    </w:r>
  </w:p>
  <w:p w:rsidR="00D31999" w:rsidRDefault="00D31999">
    <w:pPr>
      <w:pStyle w:val="Header"/>
      <w:spacing w:after="240"/>
      <w:ind w:right="6241"/>
      <w:jc w:val="left"/>
    </w:pPr>
    <w:proofErr w:type="spellStart"/>
    <w:r>
      <w:t>Página</w:t>
    </w:r>
    <w:proofErr w:type="spellEnd"/>
    <w:r>
      <w:t xml:space="preserve"> </w:t>
    </w:r>
    <w:r w:rsidR="003B56D0">
      <w:fldChar w:fldCharType="begin"/>
    </w:r>
    <w:r w:rsidR="003B56D0">
      <w:instrText xml:space="preserve"> PAGE   \* MERGEFORMAT </w:instrText>
    </w:r>
    <w:r w:rsidR="003B56D0">
      <w:fldChar w:fldCharType="separate"/>
    </w:r>
    <w:r>
      <w:rPr>
        <w:noProof/>
      </w:rPr>
      <w:t>2</w:t>
    </w:r>
    <w:r w:rsidR="003B56D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999" w:rsidRDefault="00D31999">
    <w:pPr>
      <w:pStyle w:val="Header"/>
      <w:ind w:left="7230" w:right="4"/>
      <w:jc w:val="right"/>
    </w:pPr>
    <w:r>
      <w:t>CBD/COP/15/3 CBD/CP/MOP/10/3 CBD/NP/MOP/4/3</w:t>
    </w:r>
  </w:p>
  <w:p w:rsidR="00D31999" w:rsidRDefault="00D31999">
    <w:pPr>
      <w:pStyle w:val="Header"/>
      <w:spacing w:after="240"/>
      <w:ind w:left="7230" w:right="4"/>
      <w:jc w:val="right"/>
    </w:pPr>
    <w:proofErr w:type="spellStart"/>
    <w:r>
      <w:t>Página</w:t>
    </w:r>
    <w:proofErr w:type="spellEnd"/>
    <w:r>
      <w:t xml:space="preserve"> </w:t>
    </w:r>
    <w:r w:rsidR="003B56D0">
      <w:fldChar w:fldCharType="begin"/>
    </w:r>
    <w:r w:rsidR="003B56D0">
      <w:instrText xml:space="preserve"> PAGE   \* MERGEFORMAT </w:instrText>
    </w:r>
    <w:r w:rsidR="003B56D0">
      <w:fldChar w:fldCharType="separate"/>
    </w:r>
    <w:r>
      <w:rPr>
        <w:noProof/>
      </w:rPr>
      <w:t>29</w:t>
    </w:r>
    <w:r w:rsidR="003B56D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 w15:restartNumberingAfterBreak="0">
    <w:nsid w:val="1A61237B"/>
    <w:multiLevelType w:val="hybridMultilevel"/>
    <w:tmpl w:val="54EC393A"/>
    <w:lvl w:ilvl="0" w:tplc="C0E6BAF4">
      <w:start w:val="1"/>
      <w:numFmt w:val="upperLetter"/>
      <w:lvlText w:val="%1."/>
      <w:lvlJc w:val="left"/>
      <w:pPr>
        <w:ind w:left="1800" w:hanging="360"/>
      </w:pPr>
      <w:rPr>
        <w:rFonts w:ascii="Times New Roman" w:hAnsi="Times New Roman" w:cs="Times New Roman"/>
        <w:i w:val="0"/>
        <w:iCs w:val="0"/>
      </w:rPr>
    </w:lvl>
    <w:lvl w:ilvl="1" w:tplc="040C0019">
      <w:start w:val="1"/>
      <w:numFmt w:val="lowerLetter"/>
      <w:lvlText w:val="%2."/>
      <w:lvlJc w:val="left"/>
      <w:pPr>
        <w:ind w:left="2520" w:hanging="360"/>
      </w:pPr>
      <w:rPr>
        <w:rFonts w:ascii="Times New Roman" w:hAnsi="Times New Roman" w:cs="Times New Roman"/>
      </w:rPr>
    </w:lvl>
    <w:lvl w:ilvl="2" w:tplc="040C001B">
      <w:start w:val="1"/>
      <w:numFmt w:val="lowerRoman"/>
      <w:lvlText w:val="%3."/>
      <w:lvlJc w:val="right"/>
      <w:pPr>
        <w:ind w:left="3240" w:hanging="180"/>
      </w:pPr>
      <w:rPr>
        <w:rFonts w:ascii="Times New Roman" w:hAnsi="Times New Roman" w:cs="Times New Roman"/>
      </w:rPr>
    </w:lvl>
    <w:lvl w:ilvl="3" w:tplc="040C000F">
      <w:start w:val="1"/>
      <w:numFmt w:val="decimal"/>
      <w:lvlText w:val="%4."/>
      <w:lvlJc w:val="left"/>
      <w:pPr>
        <w:ind w:left="3960" w:hanging="360"/>
      </w:pPr>
      <w:rPr>
        <w:rFonts w:ascii="Times New Roman" w:hAnsi="Times New Roman" w:cs="Times New Roman"/>
      </w:rPr>
    </w:lvl>
    <w:lvl w:ilvl="4" w:tplc="040C0019">
      <w:start w:val="1"/>
      <w:numFmt w:val="lowerLetter"/>
      <w:lvlText w:val="%5."/>
      <w:lvlJc w:val="left"/>
      <w:pPr>
        <w:ind w:left="4680" w:hanging="360"/>
      </w:pPr>
      <w:rPr>
        <w:rFonts w:ascii="Times New Roman" w:hAnsi="Times New Roman" w:cs="Times New Roman"/>
      </w:rPr>
    </w:lvl>
    <w:lvl w:ilvl="5" w:tplc="040C001B">
      <w:start w:val="1"/>
      <w:numFmt w:val="lowerRoman"/>
      <w:lvlText w:val="%6."/>
      <w:lvlJc w:val="right"/>
      <w:pPr>
        <w:ind w:left="5400" w:hanging="180"/>
      </w:pPr>
      <w:rPr>
        <w:rFonts w:ascii="Times New Roman" w:hAnsi="Times New Roman" w:cs="Times New Roman"/>
      </w:rPr>
    </w:lvl>
    <w:lvl w:ilvl="6" w:tplc="040C000F">
      <w:start w:val="1"/>
      <w:numFmt w:val="decimal"/>
      <w:lvlText w:val="%7."/>
      <w:lvlJc w:val="left"/>
      <w:pPr>
        <w:ind w:left="6120" w:hanging="360"/>
      </w:pPr>
      <w:rPr>
        <w:rFonts w:ascii="Times New Roman" w:hAnsi="Times New Roman" w:cs="Times New Roman"/>
      </w:rPr>
    </w:lvl>
    <w:lvl w:ilvl="7" w:tplc="040C0019">
      <w:start w:val="1"/>
      <w:numFmt w:val="lowerLetter"/>
      <w:lvlText w:val="%8."/>
      <w:lvlJc w:val="left"/>
      <w:pPr>
        <w:ind w:left="6840" w:hanging="360"/>
      </w:pPr>
      <w:rPr>
        <w:rFonts w:ascii="Times New Roman" w:hAnsi="Times New Roman" w:cs="Times New Roman"/>
      </w:rPr>
    </w:lvl>
    <w:lvl w:ilvl="8" w:tplc="040C001B">
      <w:start w:val="1"/>
      <w:numFmt w:val="lowerRoman"/>
      <w:lvlText w:val="%9."/>
      <w:lvlJc w:val="right"/>
      <w:pPr>
        <w:ind w:left="7560" w:hanging="180"/>
      </w:pPr>
      <w:rPr>
        <w:rFonts w:ascii="Times New Roman" w:hAnsi="Times New Roman" w:cs="Times New Roman"/>
      </w:rPr>
    </w:lvl>
  </w:abstractNum>
  <w:abstractNum w:abstractNumId="2" w15:restartNumberingAfterBreak="0">
    <w:nsid w:val="29585FB2"/>
    <w:multiLevelType w:val="hybridMultilevel"/>
    <w:tmpl w:val="496AC934"/>
    <w:lvl w:ilvl="0" w:tplc="68A861F0">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4" w15:restartNumberingAfterBreak="0">
    <w:nsid w:val="361042E5"/>
    <w:multiLevelType w:val="hybridMultilevel"/>
    <w:tmpl w:val="6AB8811E"/>
    <w:lvl w:ilvl="0" w:tplc="BAA856B0">
      <w:start w:val="1"/>
      <w:numFmt w:val="decimal"/>
      <w:lvlText w:val="%1."/>
      <w:lvlJc w:val="left"/>
      <w:pPr>
        <w:ind w:left="720" w:hanging="360"/>
      </w:pPr>
      <w:rPr>
        <w:rFonts w:ascii="Times New Roman" w:hAnsi="Times New Roman" w:cs="Times New Roman" w:hint="default"/>
        <w:i w:val="0"/>
        <w:iCs w:val="0"/>
        <w:color w:val="auto"/>
        <w:sz w:val="18"/>
        <w:szCs w:val="18"/>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3CA410CD"/>
    <w:multiLevelType w:val="hybridMultilevel"/>
    <w:tmpl w:val="FA427772"/>
    <w:lvl w:ilvl="0" w:tplc="6E482212">
      <w:start w:val="1"/>
      <w:numFmt w:val="decimal"/>
      <w:pStyle w:val="CBD-Para"/>
      <w:lvlText w:val="%1."/>
      <w:lvlJc w:val="left"/>
      <w:pPr>
        <w:tabs>
          <w:tab w:val="num" w:pos="720"/>
        </w:tabs>
      </w:pPr>
      <w:rPr>
        <w:rFonts w:ascii="Times New Roman" w:hAnsi="Times New Roman" w:cs="Times New Roman"/>
        <w:b w:val="0"/>
        <w:bCs w:val="0"/>
      </w:rPr>
    </w:lvl>
    <w:lvl w:ilvl="1" w:tplc="DF42636C">
      <w:start w:val="1"/>
      <w:numFmt w:val="lowerLetter"/>
      <w:lvlText w:val="(%2)"/>
      <w:lvlJc w:val="left"/>
      <w:pPr>
        <w:ind w:left="1080" w:hanging="360"/>
      </w:pPr>
      <w:rPr>
        <w:rFonts w:ascii="Times New Roman" w:hAnsi="Times New Roman" w:cs="Times New Roman"/>
      </w:r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48B162D1"/>
    <w:multiLevelType w:val="hybridMultilevel"/>
    <w:tmpl w:val="F218282A"/>
    <w:lvl w:ilvl="0" w:tplc="68A861F0">
      <w:start w:val="1"/>
      <w:numFmt w:val="decimal"/>
      <w:lvlText w:val="%1."/>
      <w:lvlJc w:val="left"/>
      <w:pPr>
        <w:ind w:left="630" w:hanging="360"/>
      </w:pPr>
      <w:rPr>
        <w:rFonts w:ascii="Times New Roman" w:hAnsi="Times New Roman" w:cs="Times New Roman" w:hint="default"/>
        <w:color w:val="auto"/>
      </w:rPr>
    </w:lvl>
    <w:lvl w:ilvl="1" w:tplc="0C0A0017">
      <w:start w:val="1"/>
      <w:numFmt w:val="lowerLetter"/>
      <w:lvlText w:val="%2)"/>
      <w:lvlJc w:val="left"/>
      <w:pPr>
        <w:ind w:left="1440" w:hanging="360"/>
      </w:pPr>
      <w:rPr>
        <w:rFonts w:ascii="Times New Roman" w:hAnsi="Times New Roman" w:cs="Times New Roman" w:hint="default"/>
      </w:rPr>
    </w:lvl>
    <w:lvl w:ilvl="2" w:tplc="5384658E">
      <w:start w:val="2"/>
      <w:numFmt w:val="bullet"/>
      <w:lvlText w:val=""/>
      <w:lvlJc w:val="left"/>
      <w:pPr>
        <w:ind w:left="2340" w:hanging="360"/>
      </w:pPr>
      <w:rPr>
        <w:rFonts w:ascii="Symbol" w:eastAsia="Times New Roman" w:hAnsi="Symbol"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15:restartNumberingAfterBreak="0">
    <w:nsid w:val="550A17DD"/>
    <w:multiLevelType w:val="hybridMultilevel"/>
    <w:tmpl w:val="5DC26996"/>
    <w:lvl w:ilvl="0" w:tplc="F78EA30E">
      <w:start w:val="1"/>
      <w:numFmt w:val="upperRoman"/>
      <w:lvlText w:val="%1."/>
      <w:lvlJc w:val="left"/>
      <w:pPr>
        <w:ind w:left="1800" w:hanging="360"/>
      </w:pPr>
      <w:rPr>
        <w:rFonts w:ascii="Times New Roman" w:hAnsi="Times New Roman" w:cs="Times New Roman" w:hint="default"/>
        <w:b/>
        <w:bCs/>
        <w:sz w:val="22"/>
        <w:szCs w:val="22"/>
      </w:rPr>
    </w:lvl>
    <w:lvl w:ilvl="1" w:tplc="040C0019">
      <w:start w:val="1"/>
      <w:numFmt w:val="lowerLetter"/>
      <w:lvlText w:val="%2."/>
      <w:lvlJc w:val="left"/>
      <w:pPr>
        <w:ind w:left="2520" w:hanging="360"/>
      </w:pPr>
      <w:rPr>
        <w:rFonts w:ascii="Times New Roman" w:hAnsi="Times New Roman" w:cs="Times New Roman"/>
      </w:rPr>
    </w:lvl>
    <w:lvl w:ilvl="2" w:tplc="040C001B">
      <w:start w:val="1"/>
      <w:numFmt w:val="lowerRoman"/>
      <w:lvlText w:val="%3."/>
      <w:lvlJc w:val="right"/>
      <w:pPr>
        <w:ind w:left="3240" w:hanging="180"/>
      </w:pPr>
      <w:rPr>
        <w:rFonts w:ascii="Times New Roman" w:hAnsi="Times New Roman" w:cs="Times New Roman"/>
      </w:rPr>
    </w:lvl>
    <w:lvl w:ilvl="3" w:tplc="040C000F">
      <w:start w:val="1"/>
      <w:numFmt w:val="decimal"/>
      <w:lvlText w:val="%4."/>
      <w:lvlJc w:val="left"/>
      <w:pPr>
        <w:ind w:left="3960" w:hanging="360"/>
      </w:pPr>
      <w:rPr>
        <w:rFonts w:ascii="Times New Roman" w:hAnsi="Times New Roman" w:cs="Times New Roman"/>
      </w:rPr>
    </w:lvl>
    <w:lvl w:ilvl="4" w:tplc="040C0019">
      <w:start w:val="1"/>
      <w:numFmt w:val="lowerLetter"/>
      <w:lvlText w:val="%5."/>
      <w:lvlJc w:val="left"/>
      <w:pPr>
        <w:ind w:left="4680" w:hanging="360"/>
      </w:pPr>
      <w:rPr>
        <w:rFonts w:ascii="Times New Roman" w:hAnsi="Times New Roman" w:cs="Times New Roman"/>
      </w:rPr>
    </w:lvl>
    <w:lvl w:ilvl="5" w:tplc="040C001B">
      <w:start w:val="1"/>
      <w:numFmt w:val="lowerRoman"/>
      <w:lvlText w:val="%6."/>
      <w:lvlJc w:val="right"/>
      <w:pPr>
        <w:ind w:left="5400" w:hanging="180"/>
      </w:pPr>
      <w:rPr>
        <w:rFonts w:ascii="Times New Roman" w:hAnsi="Times New Roman" w:cs="Times New Roman"/>
      </w:rPr>
    </w:lvl>
    <w:lvl w:ilvl="6" w:tplc="040C000F">
      <w:start w:val="1"/>
      <w:numFmt w:val="decimal"/>
      <w:lvlText w:val="%7."/>
      <w:lvlJc w:val="left"/>
      <w:pPr>
        <w:ind w:left="6120" w:hanging="360"/>
      </w:pPr>
      <w:rPr>
        <w:rFonts w:ascii="Times New Roman" w:hAnsi="Times New Roman" w:cs="Times New Roman"/>
      </w:rPr>
    </w:lvl>
    <w:lvl w:ilvl="7" w:tplc="040C0019">
      <w:start w:val="1"/>
      <w:numFmt w:val="lowerLetter"/>
      <w:lvlText w:val="%8."/>
      <w:lvlJc w:val="left"/>
      <w:pPr>
        <w:ind w:left="6840" w:hanging="360"/>
      </w:pPr>
      <w:rPr>
        <w:rFonts w:ascii="Times New Roman" w:hAnsi="Times New Roman" w:cs="Times New Roman"/>
      </w:rPr>
    </w:lvl>
    <w:lvl w:ilvl="8" w:tplc="040C001B">
      <w:start w:val="1"/>
      <w:numFmt w:val="lowerRoman"/>
      <w:lvlText w:val="%9."/>
      <w:lvlJc w:val="right"/>
      <w:pPr>
        <w:ind w:left="7560" w:hanging="180"/>
      </w:pPr>
      <w:rPr>
        <w:rFonts w:ascii="Times New Roman" w:hAnsi="Times New Roman" w:cs="Times New Roman"/>
      </w:rPr>
    </w:lvl>
  </w:abstractNum>
  <w:abstractNum w:abstractNumId="10" w15:restartNumberingAfterBreak="0">
    <w:nsid w:val="673809CC"/>
    <w:multiLevelType w:val="hybridMultilevel"/>
    <w:tmpl w:val="496AC934"/>
    <w:lvl w:ilvl="0" w:tplc="68A861F0">
      <w:start w:val="1"/>
      <w:numFmt w:val="decimal"/>
      <w:lvlText w:val="%1."/>
      <w:lvlJc w:val="left"/>
      <w:pPr>
        <w:ind w:left="63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68380B85"/>
    <w:multiLevelType w:val="hybridMultilevel"/>
    <w:tmpl w:val="496AC934"/>
    <w:lvl w:ilvl="0" w:tplc="68A861F0">
      <w:start w:val="1"/>
      <w:numFmt w:val="decimal"/>
      <w:lvlText w:val="%1."/>
      <w:lvlJc w:val="left"/>
      <w:pPr>
        <w:ind w:left="900" w:hanging="360"/>
      </w:pPr>
      <w:rPr>
        <w:rFonts w:ascii="Times New Roman" w:hAnsi="Times New Roman" w:cs="Times New Roman" w:hint="default"/>
        <w:color w:val="auto"/>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rPr>
        <w:rFonts w:ascii="Times New Roman" w:hAnsi="Times New Roman" w:cs="Times New Roman"/>
      </w:rPr>
    </w:lvl>
    <w:lvl w:ilvl="2" w:tplc="1BE0B32C">
      <w:start w:val="1"/>
      <w:numFmt w:val="lowerRoman"/>
      <w:lvlText w:val="%3."/>
      <w:lvlJc w:val="right"/>
      <w:pPr>
        <w:ind w:left="2160" w:hanging="180"/>
      </w:pPr>
      <w:rPr>
        <w:rFonts w:ascii="Times New Roman" w:hAnsi="Times New Roman" w:cs="Times New Roman"/>
      </w:rPr>
    </w:lvl>
    <w:lvl w:ilvl="3" w:tplc="24C611FE">
      <w:start w:val="1"/>
      <w:numFmt w:val="decimal"/>
      <w:lvlText w:val="%4."/>
      <w:lvlJc w:val="left"/>
      <w:pPr>
        <w:ind w:left="2880" w:hanging="360"/>
      </w:pPr>
      <w:rPr>
        <w:rFonts w:ascii="Times New Roman" w:hAnsi="Times New Roman" w:cs="Times New Roman"/>
      </w:rPr>
    </w:lvl>
    <w:lvl w:ilvl="4" w:tplc="79A2BF6A">
      <w:start w:val="1"/>
      <w:numFmt w:val="lowerLetter"/>
      <w:lvlText w:val="%5."/>
      <w:lvlJc w:val="left"/>
      <w:pPr>
        <w:ind w:left="3600" w:hanging="360"/>
      </w:pPr>
      <w:rPr>
        <w:rFonts w:ascii="Times New Roman" w:hAnsi="Times New Roman" w:cs="Times New Roman"/>
      </w:rPr>
    </w:lvl>
    <w:lvl w:ilvl="5" w:tplc="E304C684">
      <w:start w:val="1"/>
      <w:numFmt w:val="lowerRoman"/>
      <w:lvlText w:val="%6."/>
      <w:lvlJc w:val="right"/>
      <w:pPr>
        <w:ind w:left="4320" w:hanging="180"/>
      </w:pPr>
      <w:rPr>
        <w:rFonts w:ascii="Times New Roman" w:hAnsi="Times New Roman" w:cs="Times New Roman"/>
      </w:rPr>
    </w:lvl>
    <w:lvl w:ilvl="6" w:tplc="48E614B6">
      <w:start w:val="1"/>
      <w:numFmt w:val="decimal"/>
      <w:lvlText w:val="%7."/>
      <w:lvlJc w:val="left"/>
      <w:pPr>
        <w:ind w:left="5040" w:hanging="360"/>
      </w:pPr>
      <w:rPr>
        <w:rFonts w:ascii="Times New Roman" w:hAnsi="Times New Roman" w:cs="Times New Roman"/>
      </w:rPr>
    </w:lvl>
    <w:lvl w:ilvl="7" w:tplc="0A5499C4">
      <w:start w:val="1"/>
      <w:numFmt w:val="lowerLetter"/>
      <w:lvlText w:val="%8."/>
      <w:lvlJc w:val="left"/>
      <w:pPr>
        <w:ind w:left="5760" w:hanging="360"/>
      </w:pPr>
      <w:rPr>
        <w:rFonts w:ascii="Times New Roman" w:hAnsi="Times New Roman" w:cs="Times New Roman"/>
      </w:rPr>
    </w:lvl>
    <w:lvl w:ilvl="8" w:tplc="7EBC6EB2">
      <w:start w:val="1"/>
      <w:numFmt w:val="lowerRoman"/>
      <w:lvlText w:val="%9."/>
      <w:lvlJc w:val="right"/>
      <w:pPr>
        <w:ind w:left="6480" w:hanging="180"/>
      </w:pPr>
      <w:rPr>
        <w:rFonts w:ascii="Times New Roman" w:hAnsi="Times New Roman" w:cs="Times New Roman"/>
      </w:rPr>
    </w:lvl>
  </w:abstractNum>
  <w:num w:numId="1">
    <w:abstractNumId w:val="10"/>
  </w:num>
  <w:num w:numId="2">
    <w:abstractNumId w:val="0"/>
  </w:num>
  <w:num w:numId="3">
    <w:abstractNumId w:val="9"/>
  </w:num>
  <w:num w:numId="4">
    <w:abstractNumId w:val="1"/>
  </w:num>
  <w:num w:numId="5">
    <w:abstractNumId w:val="2"/>
  </w:num>
  <w:num w:numId="6">
    <w:abstractNumId w:val="11"/>
  </w:num>
  <w:num w:numId="7">
    <w:abstractNumId w:val="6"/>
  </w:num>
  <w:num w:numId="8">
    <w:abstractNumId w:val="12"/>
  </w:num>
  <w:num w:numId="9">
    <w:abstractNumId w:val="5"/>
  </w:num>
  <w:num w:numId="10">
    <w:abstractNumId w:val="3"/>
  </w:num>
  <w:num w:numId="11">
    <w:abstractNumId w:val="8"/>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evenAndOddHeaders/>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1999"/>
    <w:rsid w:val="003B56D0"/>
    <w:rsid w:val="00713820"/>
    <w:rsid w:val="00D3199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38D0F04"/>
  <w15:docId w15:val="{ABD3CFCB-9CB9-4636-90DE-43177E0D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uiPriority="59"/>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10"/>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4"/>
      <w:szCs w:val="24"/>
      <w:lang w:val="en-GB"/>
    </w:rPr>
  </w:style>
  <w:style w:type="character" w:customStyle="1" w:styleId="Heading2Char">
    <w:name w:val="Heading 2 Char"/>
    <w:basedOn w:val="DefaultParagraphFont"/>
    <w:link w:val="Heading2"/>
    <w:uiPriority w:val="99"/>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rPr>
      <w:rFonts w:ascii="Times New Roman" w:hAnsi="Times New Roman" w:cs="Times New Roman"/>
      <w:i/>
      <w:iCs/>
      <w:sz w:val="24"/>
      <w:szCs w:val="24"/>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4"/>
      <w:szCs w:val="24"/>
      <w:lang w:val="en-GB"/>
    </w:rPr>
  </w:style>
  <w:style w:type="character" w:customStyle="1" w:styleId="Heading5Char">
    <w:name w:val="Heading 5 Char"/>
    <w:basedOn w:val="DefaultParagraphFont"/>
    <w:link w:val="Heading5"/>
    <w:uiPriority w:val="99"/>
    <w:rPr>
      <w:rFonts w:ascii="Times New Roman" w:hAnsi="Times New Roman" w:cs="Times New Roman"/>
      <w:i/>
      <w:iCs/>
      <w:lang w:val="en-CA" w:eastAsia="en-US"/>
    </w:rPr>
  </w:style>
  <w:style w:type="character" w:customStyle="1" w:styleId="Heading6Char">
    <w:name w:val="Heading 6 Char"/>
    <w:basedOn w:val="DefaultParagraphFont"/>
    <w:link w:val="Heading6"/>
    <w:uiPriority w:val="99"/>
    <w:rPr>
      <w:rFonts w:ascii="Times New Roman" w:hAnsi="Times New Roman" w:cs="Times New Roman"/>
      <w:sz w:val="24"/>
      <w:szCs w:val="24"/>
      <w:u w:val="single"/>
      <w:lang w:val="en-GB"/>
    </w:rPr>
  </w:style>
  <w:style w:type="character" w:customStyle="1" w:styleId="Heading7Char">
    <w:name w:val="Heading 7 Char"/>
    <w:basedOn w:val="DefaultParagraphFont"/>
    <w:link w:val="Heading7"/>
    <w:uiPriority w:val="99"/>
    <w:rPr>
      <w:rFonts w:ascii="Univers" w:hAnsi="Univers" w:cs="Univers"/>
      <w:b/>
      <w:bCs/>
      <w:sz w:val="24"/>
      <w:szCs w:val="24"/>
      <w:lang w:val="en-GB"/>
    </w:rPr>
  </w:style>
  <w:style w:type="character" w:customStyle="1" w:styleId="Heading8Char">
    <w:name w:val="Heading 8 Char"/>
    <w:basedOn w:val="DefaultParagraphFont"/>
    <w:link w:val="Heading8"/>
    <w:uiPriority w:val="99"/>
    <w:rPr>
      <w:rFonts w:ascii="Univers" w:hAnsi="Univers" w:cs="Univers"/>
      <w:b/>
      <w:bCs/>
      <w:sz w:val="24"/>
      <w:szCs w:val="24"/>
      <w:lang w:val="en-GB"/>
    </w:rPr>
  </w:style>
  <w:style w:type="character" w:customStyle="1" w:styleId="Heading9Char">
    <w:name w:val="Heading 9 Char"/>
    <w:basedOn w:val="DefaultParagraphFont"/>
    <w:link w:val="Heading9"/>
    <w:uiPriority w:val="99"/>
    <w:rPr>
      <w:rFonts w:ascii="Times New Roman" w:hAnsi="Times New Roman" w:cs="Times New Roman"/>
      <w:i/>
      <w:iCs/>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24"/>
      <w:szCs w:val="24"/>
      <w:vertAlign w:val="superscript"/>
      <w:lang w:val="fr-CA"/>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D31999"/>
    <w:rPr>
      <w:rFonts w:ascii="Times New Roman" w:hAnsi="Times New Roman"/>
      <w:sz w:val="20"/>
      <w:szCs w:val="20"/>
      <w:lang w:val="en-GB" w:eastAsia="en-US"/>
    </w:rPr>
  </w:style>
  <w:style w:type="character" w:customStyle="1" w:styleId="FootnoteTextChar9">
    <w:name w:val="Footnote Text Char9"/>
    <w:aliases w:val="Geneva 9 Char9,Font: Geneva 9 Char9,Boston 10 Char9,f Char9,ft Char19,Fotnotstext Char Char9,ft Char Char9,single space Char9,FOOTNOTES Char9,ADB Char9,single space1 Char9,footnote text1 Char9,FOOTNOTES1 Char9,fn1 Char8,ADB1 Char8"/>
    <w:basedOn w:val="DefaultParagraphFont"/>
    <w:uiPriority w:val="99"/>
    <w:rPr>
      <w:rFonts w:ascii="Times New Roman" w:hAnsi="Times New Roman" w:cs="Times New Roman"/>
      <w:sz w:val="20"/>
      <w:szCs w:val="20"/>
      <w:lang w:val="en-GB" w:eastAsia="en-US"/>
    </w:rPr>
  </w:style>
  <w:style w:type="character" w:customStyle="1" w:styleId="FootnoteTextChar8">
    <w:name w:val="Footnote Text Char8"/>
    <w:aliases w:val="Geneva 9 Char8,Font: Geneva 9 Char8,Boston 10 Char8,f Char8,ft Char18,Fotnotstext Char Char8,ft Char Char8,single space Char8,FOOTNOTES Char8,ADB Char8,single space1 Char8,footnote text1 Char8,FOOTNOTES1 Char8,fn1 Char7,ADB1 Char7"/>
    <w:basedOn w:val="DefaultParagraphFont"/>
    <w:uiPriority w:val="99"/>
    <w:rPr>
      <w:rFonts w:ascii="Times New Roman" w:hAnsi="Times New Roman" w:cs="Times New Roman"/>
      <w:sz w:val="20"/>
      <w:szCs w:val="20"/>
      <w:lang w:val="en-GB" w:eastAsia="en-US"/>
    </w:rPr>
  </w:style>
  <w:style w:type="character" w:customStyle="1" w:styleId="FootnoteTextChar7">
    <w:name w:val="Footnote Text Char7"/>
    <w:aliases w:val="Geneva 9 Char7,Font: Geneva 9 Char7,Boston 10 Char7,f Char7,ft Char17,Fotnotstext Char Char7,ft Char Char7,single space Char7,FOOTNOTES Char7,ADB Char7,single space1 Char7,footnote text1 Char7,FOOTNOTES1 Char7,fn1 Char6,ADB1 Char6"/>
    <w:basedOn w:val="DefaultParagraphFont"/>
    <w:uiPriority w:val="99"/>
    <w:rPr>
      <w:rFonts w:ascii="Times New Roman" w:hAnsi="Times New Roman" w:cs="Times New Roman"/>
      <w:sz w:val="20"/>
      <w:szCs w:val="20"/>
      <w:lang w:val="en-GB" w:eastAsia="en-US"/>
    </w:rPr>
  </w:style>
  <w:style w:type="character" w:customStyle="1" w:styleId="FootnoteTextChar6">
    <w:name w:val="Footnote Text Char6"/>
    <w:aliases w:val="Geneva 9 Char6,Font: Geneva 9 Char6,Boston 10 Char6,f Char6,ft Char16,Fotnotstext Char Char6,ft Char Char6,single space Char6,FOOTNOTES Char6,ADB Char6,single space1 Char6,footnote text1 Char6,FOOTNOTES1 Char6,fn1 Char5,ADB1 Char5"/>
    <w:basedOn w:val="DefaultParagraphFont"/>
    <w:uiPriority w:val="99"/>
    <w:rPr>
      <w:rFonts w:ascii="Times New Roman" w:hAnsi="Times New Roman" w:cs="Times New Roman"/>
      <w:sz w:val="20"/>
      <w:szCs w:val="20"/>
      <w:lang w:val="en-GB" w:eastAsia="en-US"/>
    </w:rPr>
  </w:style>
  <w:style w:type="character" w:customStyle="1" w:styleId="FootnoteTextChar5">
    <w:name w:val="Footnote Text Char5"/>
    <w:aliases w:val="Geneva 9 Char5,Font: Geneva 9 Char5,Boston 10 Char5,f Char5,ft Char15,Fotnotstext Char Char5,ft Char Char5,single space Char5,FOOTNOTES Char5,ADB Char5,single space1 Char5,footnote text1 Char5,FOOTNOTES1 Char5,fn1 Char4,ADB1 Char4"/>
    <w:basedOn w:val="DefaultParagraphFont"/>
    <w:uiPriority w:val="99"/>
    <w:rPr>
      <w:rFonts w:ascii="Times New Roman" w:hAnsi="Times New Roman" w:cs="Times New Roman"/>
      <w:sz w:val="20"/>
      <w:szCs w:val="20"/>
      <w:lang w:val="en-GB" w:eastAsia="en-US"/>
    </w:rPr>
  </w:style>
  <w:style w:type="character" w:customStyle="1" w:styleId="FootnoteTextChar4">
    <w:name w:val="Footnote Text Char4"/>
    <w:aliases w:val="Geneva 9 Char4,Font: Geneva 9 Char4,Boston 10 Char4,f Char4,ft Char14,Fotnotstext Char Char4,ft Char Char4,single space Char4,FOOTNOTES Char4,ADB Char4,single space1 Char4,footnote text1 Char4,FOOTNOTES1 Char4,fn1 Char3,ADB1 Char3"/>
    <w:basedOn w:val="DefaultParagraphFont"/>
    <w:uiPriority w:val="99"/>
    <w:rPr>
      <w:rFonts w:ascii="Times New Roman" w:hAnsi="Times New Roman" w:cs="Times New Roman"/>
      <w:sz w:val="20"/>
      <w:szCs w:val="20"/>
      <w:lang w:val="en-GB"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DefaultParagraphFont"/>
    <w:uiPriority w:val="99"/>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Pr>
      <w:rFonts w:ascii="Times New Roman" w:hAnsi="Times New Roman" w:cs="Times New Roman"/>
      <w:sz w:val="24"/>
      <w:szCs w:val="24"/>
      <w:lang w:val="en-GB"/>
    </w:rPr>
  </w:style>
  <w:style w:type="paragraph" w:customStyle="1" w:styleId="Para1">
    <w:name w:val="Para1"/>
    <w:basedOn w:val="Normal"/>
    <w:uiPriority w:val="99"/>
    <w:pPr>
      <w:numPr>
        <w:numId w:val="11"/>
      </w:numPr>
      <w:tabs>
        <w:tab w:val="clear" w:pos="360"/>
      </w:tabs>
      <w:spacing w:before="120" w:after="120"/>
    </w:pPr>
    <w:rPr>
      <w:rFonts w:cs="Times New Roman"/>
      <w:sz w:val="20"/>
      <w:szCs w:val="20"/>
      <w:lang w:eastAsia="es-ES"/>
    </w:rPr>
  </w:style>
  <w:style w:type="paragraph" w:customStyle="1" w:styleId="recommendationheader">
    <w:name w:val="recommendation header"/>
    <w:basedOn w:val="Heading2"/>
    <w:uiPriority w:val="99"/>
    <w:rPr>
      <w:rFonts w:cs="Times New Roman"/>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Item">
    <w:name w:val="Item"/>
    <w:basedOn w:val="Normal"/>
    <w:uiPriority w:val="99"/>
    <w:pPr>
      <w:keepNext/>
      <w:spacing w:before="240" w:after="120"/>
      <w:ind w:left="720" w:hanging="720"/>
      <w:jc w:val="center"/>
    </w:pPr>
    <w:rPr>
      <w:rFonts w:cs="Times New Roman"/>
      <w:b/>
      <w:bCs/>
      <w:kern w:val="22"/>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jc w:val="left"/>
    </w:pPr>
    <w:rPr>
      <w:rFonts w:ascii="Calibri" w:eastAsia="???" w:hAnsi="Calibri" w:cs="Calibri"/>
      <w:sz w:val="20"/>
      <w:szCs w:val="20"/>
      <w:vertAlign w:val="superscript"/>
      <w:lang w:val="fr-CA" w:eastAsia="es-ES"/>
    </w:rPr>
  </w:style>
  <w:style w:type="paragraph" w:customStyle="1" w:styleId="Default">
    <w:name w:val="Default"/>
    <w:uiPriority w:val="99"/>
    <w:pPr>
      <w:autoSpaceDE w:val="0"/>
      <w:autoSpaceDN w:val="0"/>
      <w:adjustRightInd w:val="0"/>
    </w:pPr>
    <w:rPr>
      <w:rFonts w:ascii="Times New Roman" w:hAnsi="Times New Roman" w:cs="Times New Roman"/>
      <w:color w:val="000000"/>
      <w:sz w:val="24"/>
      <w:szCs w:val="24"/>
      <w:lang w:val="de-CH" w:eastAsia="de-CH"/>
    </w:rPr>
  </w:style>
  <w:style w:type="paragraph" w:styleId="ListParagraph">
    <w:name w:val="List Paragraph"/>
    <w:basedOn w:val="Normal"/>
    <w:uiPriority w:val="99"/>
    <w:qFormat/>
    <w:pPr>
      <w:ind w:left="720"/>
    </w:pPr>
    <w:rPr>
      <w:rFonts w:cs="Times New Roman"/>
    </w:rPr>
  </w:style>
  <w:style w:type="paragraph" w:styleId="NormalWeb">
    <w:name w:val="Normal (Web)"/>
    <w:basedOn w:val="Normal"/>
    <w:uiPriority w:val="99"/>
    <w:rPr>
      <w:rFonts w:ascii="Calibri" w:hAnsi="Calibri" w:cs="Calibri"/>
      <w:lang w:val="fr-FR" w:eastAsia="fr-FR"/>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paragraph" w:styleId="NoSpacing">
    <w:name w:val="No Spacing"/>
    <w:uiPriority w:val="99"/>
    <w:qFormat/>
    <w:rPr>
      <w:rFonts w:ascii="Calibri" w:hAnsi="Calibri" w:cs="Calibri"/>
      <w:lang w:val="en-US" w:eastAsia="en-US"/>
    </w:rPr>
  </w:style>
  <w:style w:type="character" w:customStyle="1" w:styleId="NoSpacingChar">
    <w:name w:val="No Spacing Char"/>
    <w:basedOn w:val="DefaultParagraphFont"/>
    <w:uiPriority w:val="99"/>
    <w:rPr>
      <w:rFonts w:ascii="Calibri" w:hAnsi="Calibri" w:cs="Calibri"/>
      <w:sz w:val="22"/>
      <w:szCs w:val="22"/>
      <w:lang w:val="en-US" w:eastAsia="en-US"/>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customStyle="1" w:styleId="decision">
    <w:name w:val="decision"/>
    <w:basedOn w:val="Normal"/>
    <w:uiPriority w:val="99"/>
    <w:pPr>
      <w:keepNext/>
      <w:jc w:val="center"/>
    </w:pPr>
    <w:rPr>
      <w:rFonts w:ascii="Times New Roman Bold" w:eastAsia="Malgun Gothic" w:hAnsi="Times New Roman Bold" w:cs="Times New Roman Bold"/>
      <w:b/>
      <w:bCs/>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lang w:val="en-GB" w:eastAsia="en-CA"/>
    </w:rPr>
  </w:style>
  <w:style w:type="paragraph" w:styleId="Revision">
    <w:name w:val="Revision"/>
    <w:hidden/>
    <w:uiPriority w:val="99"/>
    <w:rPr>
      <w:rFonts w:ascii="Times New Roman" w:hAnsi="Times New Roman" w:cs="Times New Roman"/>
      <w:lang w:val="en-CA" w:eastAsia="en-CA"/>
    </w:r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xl66">
    <w:name w:val="xl6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20"/>
      <w:szCs w:val="20"/>
    </w:rPr>
  </w:style>
  <w:style w:type="paragraph" w:customStyle="1" w:styleId="xl67">
    <w:name w:val="xl67"/>
    <w:basedOn w:val="Normal"/>
    <w:uiPriority w:val="99"/>
    <w:pPr>
      <w:spacing w:before="100" w:beforeAutospacing="1" w:after="100" w:afterAutospacing="1"/>
      <w:textAlignment w:val="center"/>
    </w:pPr>
    <w:rPr>
      <w:rFonts w:cs="Times New Roman"/>
      <w:sz w:val="20"/>
      <w:szCs w:val="20"/>
    </w:rPr>
  </w:style>
  <w:style w:type="paragraph" w:customStyle="1" w:styleId="xl68">
    <w:name w:val="xl68"/>
    <w:basedOn w:val="Normal"/>
    <w:uiPriority w:val="99"/>
    <w:pPr>
      <w:spacing w:before="100" w:beforeAutospacing="1" w:after="100" w:afterAutospacing="1"/>
      <w:jc w:val="center"/>
      <w:textAlignment w:val="center"/>
    </w:pPr>
    <w:rPr>
      <w:rFonts w:cs="Times New Roman"/>
      <w:b/>
      <w:bCs/>
      <w:sz w:val="20"/>
      <w:szCs w:val="20"/>
    </w:rPr>
  </w:style>
  <w:style w:type="paragraph" w:customStyle="1" w:styleId="xl69">
    <w:name w:val="xl6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sz w:val="20"/>
      <w:szCs w:val="20"/>
    </w:rPr>
  </w:style>
  <w:style w:type="paragraph" w:customStyle="1" w:styleId="xl71">
    <w:name w:val="xl7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0"/>
      <w:szCs w:val="20"/>
    </w:rPr>
  </w:style>
  <w:style w:type="paragraph" w:customStyle="1" w:styleId="xl73">
    <w:name w:val="xl73"/>
    <w:basedOn w:val="Normal"/>
    <w:uiPriority w:val="99"/>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0"/>
      <w:szCs w:val="20"/>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20"/>
      <w:szCs w:val="20"/>
    </w:rPr>
  </w:style>
  <w:style w:type="paragraph" w:customStyle="1" w:styleId="xl79">
    <w:name w:val="xl79"/>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b/>
      <w:bCs/>
      <w:sz w:val="20"/>
      <w:szCs w:val="20"/>
    </w:rPr>
  </w:style>
  <w:style w:type="paragraph" w:customStyle="1" w:styleId="xl80">
    <w:name w:val="xl80"/>
    <w:basedOn w:val="Normal"/>
    <w:uiPriority w:val="99"/>
    <w:pPr>
      <w:spacing w:before="100" w:beforeAutospacing="1" w:after="100" w:afterAutospacing="1"/>
      <w:textAlignment w:val="center"/>
    </w:pPr>
    <w:rPr>
      <w:rFonts w:cs="Times New Roman"/>
      <w:b/>
      <w:bCs/>
    </w:rPr>
  </w:style>
  <w:style w:type="character" w:customStyle="1" w:styleId="UnresolvedMention1">
    <w:name w:val="Unresolved Mention1"/>
    <w:basedOn w:val="DefaultParagraphFont"/>
    <w:uiPriority w:val="99"/>
    <w:rPr>
      <w:rFonts w:ascii="Times New Roman" w:hAnsi="Times New Roman" w:cs="Times New Roman"/>
      <w:color w:val="auto"/>
      <w:shd w:val="clear" w:color="auto" w:fill="auto"/>
    </w:rPr>
  </w:style>
  <w:style w:type="paragraph" w:customStyle="1" w:styleId="Style1">
    <w:name w:val="Style1"/>
    <w:basedOn w:val="Heading2"/>
    <w:uiPriority w:val="99"/>
    <w:rPr>
      <w:rFonts w:cs="Times New Roman"/>
      <w:i/>
      <w:iCs/>
    </w:rPr>
  </w:style>
  <w:style w:type="paragraph" w:styleId="PlainText">
    <w:name w:val="Plain Text"/>
    <w:basedOn w:val="Normal"/>
    <w:link w:val="PlainTextChar"/>
    <w:uiPriority w:val="99"/>
    <w:rPr>
      <w:rFonts w:ascii="Calibri" w:hAnsi="Calibri" w:cs="Calibri"/>
      <w:lang w:val="fr-FR"/>
    </w:rPr>
  </w:style>
  <w:style w:type="character" w:customStyle="1" w:styleId="PlainTextChar">
    <w:name w:val="Plain Text Char"/>
    <w:basedOn w:val="DefaultParagraphFont"/>
    <w:link w:val="PlainText"/>
    <w:uiPriority w:val="99"/>
    <w:rPr>
      <w:rFonts w:ascii="Calibri" w:hAnsi="Calibri" w:cs="Calibri"/>
      <w:sz w:val="24"/>
      <w:szCs w:val="24"/>
      <w:lang w:val="fr-FR"/>
    </w:rPr>
  </w:style>
  <w:style w:type="paragraph" w:customStyle="1" w:styleId="reference">
    <w:name w:val="reference"/>
    <w:basedOn w:val="Heading9"/>
    <w:uiPriority w:val="99"/>
    <w:rPr>
      <w:i w:val="0"/>
      <w:iCs w:val="0"/>
      <w:sz w:val="18"/>
      <w:szCs w:val="18"/>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val="en-GB"/>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CBD-Doc">
    <w:name w:val="CBD-Doc"/>
    <w:basedOn w:val="Normal"/>
    <w:uiPriority w:val="99"/>
    <w:pPr>
      <w:keepLines/>
      <w:numPr>
        <w:numId w:val="8"/>
      </w:numPr>
      <w:spacing w:after="120"/>
    </w:pPr>
    <w:rPr>
      <w:rFonts w:ascii="Angsana New" w:hAnsi="Angsana New" w:cs="Angsana New"/>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Para">
    <w:name w:val="CBD-Para"/>
    <w:basedOn w:val="Normal"/>
    <w:uiPriority w:val="99"/>
    <w:pPr>
      <w:keepLines/>
      <w:numPr>
        <w:numId w:val="9"/>
      </w:numPr>
      <w:spacing w:before="120" w:after="120"/>
    </w:pPr>
    <w:rPr>
      <w:rFonts w:cs="Times New Roman"/>
      <w:sz w:val="20"/>
      <w:szCs w:val="20"/>
      <w:lang w:val="en-US" w:eastAsia="es-ES"/>
    </w:rPr>
  </w:style>
  <w:style w:type="character" w:customStyle="1" w:styleId="CBD-ParaCharChar">
    <w:name w:val="CBD-Para Char Char"/>
    <w:uiPriority w:val="99"/>
    <w:rPr>
      <w:rFonts w:ascii="Times New Roman" w:hAnsi="Times New Roman" w:cs="Times New Roman"/>
      <w:lang w:val="en-US"/>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4"/>
      <w:szCs w:val="24"/>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paragraph" w:customStyle="1" w:styleId="meetingname">
    <w:name w:val="meeting name"/>
    <w:basedOn w:val="Normal"/>
    <w:uiPriority w:val="99"/>
    <w:pPr>
      <w:ind w:left="142" w:right="4218" w:hanging="142"/>
    </w:pPr>
    <w:rPr>
      <w:rFonts w:cs="Times New Roman"/>
      <w:caps/>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12"/>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long">
    <w:name w:val="recommendation header long"/>
    <w:basedOn w:val="Heading2longmultiline"/>
    <w:uiPriority w:val="99"/>
  </w:style>
  <w:style w:type="character" w:customStyle="1" w:styleId="StyleFootnoteReferenceNounderline">
    <w:name w:val="Style Footnote Reference + No underline"/>
    <w:uiPriority w:val="99"/>
    <w:rPr>
      <w:sz w:val="18"/>
      <w:szCs w:val="18"/>
      <w:u w:val="none"/>
      <w:vertAlign w:val="baseline"/>
    </w:rPr>
  </w:style>
  <w:style w:type="paragraph" w:styleId="Subtitle">
    <w:name w:val="Subtitle"/>
    <w:basedOn w:val="Normal"/>
    <w:next w:val="Normal"/>
    <w:link w:val="SubtitleChar"/>
    <w:uiPriority w:val="99"/>
    <w:qFormat/>
    <w:pPr>
      <w:numPr>
        <w:ilvl w:val="1"/>
      </w:numPr>
    </w:pPr>
    <w:rPr>
      <w:rFonts w:ascii="Calibri Light" w:eastAsia="????? Light" w:hAnsi="Calibri Light" w:cs="Calibri Light"/>
      <w:i/>
      <w:iCs/>
      <w:spacing w:val="15"/>
      <w:sz w:val="24"/>
      <w:szCs w:val="24"/>
    </w:rPr>
  </w:style>
  <w:style w:type="character" w:customStyle="1" w:styleId="SubtitleChar">
    <w:name w:val="Subtitle Char"/>
    <w:basedOn w:val="DefaultParagraphFont"/>
    <w:link w:val="Subtitle"/>
    <w:uiPriority w:val="99"/>
    <w:rPr>
      <w:rFonts w:ascii="Calibri Light" w:eastAsia="????? Light" w:hAnsi="Calibri Light" w:cs="Calibri Light"/>
      <w:i/>
      <w:iCs/>
      <w:color w:val="auto"/>
      <w:spacing w:val="15"/>
      <w:sz w:val="24"/>
      <w:szCs w:val="24"/>
      <w:lang w:val="en-GB"/>
    </w:rPr>
  </w:style>
  <w:style w:type="paragraph" w:customStyle="1" w:styleId="tabletitle">
    <w:name w:val="table title"/>
    <w:basedOn w:val="Heading2"/>
    <w:uiPriority w:val="99"/>
    <w:pPr>
      <w:jc w:val="left"/>
      <w:outlineLvl w:val="9"/>
    </w:pPr>
    <w:rPr>
      <w:rFonts w:cs="Times New Roman"/>
      <w:i/>
      <w:iCs/>
    </w:rPr>
  </w:style>
  <w:style w:type="paragraph" w:styleId="Title">
    <w:name w:val="Title"/>
    <w:basedOn w:val="Normal"/>
    <w:next w:val="Normal"/>
    <w:link w:val="TitleChar"/>
    <w:uiPriority w:val="99"/>
    <w:qFormat/>
    <w:pPr>
      <w:pBdr>
        <w:bottom w:val="single" w:sz="8" w:space="4" w:color="auto"/>
      </w:pBdr>
      <w:spacing w:after="300"/>
    </w:pPr>
    <w:rPr>
      <w:rFonts w:ascii="Calibri Light" w:eastAsia="????? Light" w:hAnsi="Calibri Light" w:cs="Calibri Light"/>
      <w:spacing w:val="5"/>
      <w:kern w:val="28"/>
      <w:sz w:val="52"/>
      <w:szCs w:val="52"/>
    </w:rPr>
  </w:style>
  <w:style w:type="character" w:customStyle="1" w:styleId="TitleChar">
    <w:name w:val="Title Char"/>
    <w:basedOn w:val="DefaultParagraphFont"/>
    <w:link w:val="Title"/>
    <w:uiPriority w:val="99"/>
    <w:rPr>
      <w:rFonts w:ascii="Calibri Light" w:eastAsia="????? Light" w:hAnsi="Calibri Light" w:cs="Calibri Light"/>
      <w:color w:val="auto"/>
      <w:spacing w:val="5"/>
      <w:kern w:val="28"/>
      <w:sz w:val="52"/>
      <w:szCs w:val="52"/>
      <w:lang w:val="en-GB"/>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customStyle="1" w:styleId="UnresolvedMention2">
    <w:name w:val="Unresolved Mention2"/>
    <w:basedOn w:val="DefaultParagraphFont"/>
    <w:uiPriority w:val="99"/>
    <w:rPr>
      <w:rFonts w:ascii="Times New Roman" w:hAnsi="Times New Roman" w:cs="Times New Roman"/>
      <w:color w:val="auto"/>
      <w:shd w:val="clear" w:color="auto" w:fill="auto"/>
    </w:rPr>
  </w:style>
  <w:style w:type="character" w:customStyle="1" w:styleId="markedcontent">
    <w:name w:val="markedcontent"/>
    <w:basedOn w:val="DefaultParagraphFont"/>
    <w:uiPriority w:val="99"/>
    <w:rPr>
      <w:rFonts w:ascii="Times New Roman" w:hAnsi="Times New Roman" w:cs="Times New Roman"/>
    </w:rPr>
  </w:style>
  <w:style w:type="paragraph" w:customStyle="1" w:styleId="paragraph">
    <w:name w:val="paragraph"/>
    <w:basedOn w:val="Normal"/>
    <w:uiPriority w:val="99"/>
    <w:pPr>
      <w:spacing w:before="100" w:beforeAutospacing="1" w:after="100" w:afterAutospacing="1"/>
      <w:jc w:val="left"/>
    </w:pPr>
    <w:rPr>
      <w:rFonts w:cs="Times New Roman"/>
      <w:sz w:val="24"/>
      <w:szCs w:val="24"/>
      <w:lang w:val="en-US" w:eastAsia="zh-CN"/>
    </w:rPr>
  </w:style>
  <w:style w:type="character" w:customStyle="1" w:styleId="normaltextrun">
    <w:name w:val="normaltextrun"/>
    <w:basedOn w:val="DefaultParagraphFont"/>
    <w:uiPriority w:val="99"/>
    <w:rPr>
      <w:rFonts w:ascii="Times New Roman" w:hAnsi="Times New Roman" w:cs="Times New Roman"/>
    </w:rPr>
  </w:style>
  <w:style w:type="character" w:customStyle="1" w:styleId="eop">
    <w:name w:val="eop"/>
    <w:basedOn w:val="DefaultParagraphFont"/>
    <w:uiPriority w:val="99"/>
    <w:rPr>
      <w:rFonts w:ascii="Times New Roman" w:hAnsi="Times New Roman" w:cs="Times New Roman"/>
    </w:rPr>
  </w:style>
  <w:style w:type="character" w:customStyle="1" w:styleId="tabchar">
    <w:name w:val="tabchar"/>
    <w:basedOn w:val="DefaultParagraphFont"/>
    <w:uiPriority w:val="99"/>
    <w:rPr>
      <w:rFonts w:ascii="Times New Roman" w:hAnsi="Times New Roman" w:cs="Times New Roman"/>
    </w:rPr>
  </w:style>
  <w:style w:type="character" w:customStyle="1" w:styleId="scxw217952631">
    <w:name w:val="scxw217952631"/>
    <w:basedOn w:val="DefaultParagraphFont"/>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cbd.int/doc/decisions/np-mop-03/np-mop-03-dec-16-e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p-mop-09/cp-mop-09-dec-16-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bd.int/doc/c/38ae/f199/abb1c22f298ebbcc6571d9bd/excop-02-01-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341a/d61e/e6dbdedadb6f1bd8b928cf50/np-mop-04-01-rev1-es.pdf" TargetMode="External"/><Relationship Id="rId2" Type="http://schemas.openxmlformats.org/officeDocument/2006/relationships/hyperlink" Target="https://www.cbd.int/doc/c/d838/ab5c/9dd4e63b175c9dc867cacb28/cp-mop-10-01-rev1-es.pdf" TargetMode="External"/><Relationship Id="rId1" Type="http://schemas.openxmlformats.org/officeDocument/2006/relationships/hyperlink" Target="https://www.cbd.int/doc/c/558c/8d57/546dfecbabca61d1f53caf9d/cop-15-01-rev1-es.pdf" TargetMode="External"/><Relationship Id="rId4" Type="http://schemas.openxmlformats.org/officeDocument/2006/relationships/hyperlink" Target="https://www.cbd.int/doc/decisions/cop-01/cop-01-dec-0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29</Pages>
  <Words>8114</Words>
  <Characters>46254</Characters>
  <Application>Microsoft Office Word</Application>
  <DocSecurity>0</DocSecurity>
  <Lines>385</Lines>
  <Paragraphs>108</Paragraphs>
  <ScaleCrop>false</ScaleCrop>
  <Company>United Nations</Company>
  <LinksUpToDate>false</LinksUpToDate>
  <CharactersWithSpaces>54260</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interim budget for the programme of work of the Convention on Biological Diversity, the Cartagena Protocol on Biosafety and the Nagoya Protocol on Access and Benefit-sharing for the year 2022</dc:title>
  <dc:subject>CBD/COP/15/3 CBD/CP/MOP/10/3 CBD/NP/MOP/4/3</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
  <cp:lastModifiedBy>Angela Xuehe Yan</cp:lastModifiedBy>
  <cp:revision>5</cp:revision>
  <cp:lastPrinted>2021-08-26T02:04:00Z</cp:lastPrinted>
  <dcterms:created xsi:type="dcterms:W3CDTF">2021-09-03T15:43:00Z</dcterms:created>
  <dcterms:modified xsi:type="dcterms:W3CDTF">2021-09-03T16:23:00Z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