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6B4506" w:rsidRPr="007A1F82" w14:paraId="4C7CE81D" w14:textId="77777777" w:rsidTr="00343B55">
        <w:trPr>
          <w:trHeight w:hRule="exact" w:val="720"/>
        </w:trPr>
        <w:tc>
          <w:tcPr>
            <w:tcW w:w="909" w:type="dxa"/>
            <w:tcBorders>
              <w:top w:val="nil"/>
              <w:bottom w:val="single" w:sz="12" w:space="0" w:color="000000"/>
              <w:right w:val="nil"/>
            </w:tcBorders>
          </w:tcPr>
          <w:p w14:paraId="6C5BB007" w14:textId="34CAF8E2" w:rsidR="006B4506" w:rsidRPr="007A1F82" w:rsidRDefault="00867FCA" w:rsidP="00343B55">
            <w:pPr>
              <w:spacing w:after="120" w:line="480" w:lineRule="auto"/>
              <w:rPr>
                <w:rFonts w:eastAsia="Times New Roman"/>
                <w:snapToGrid w:val="0"/>
                <w:kern w:val="22"/>
                <w:sz w:val="20"/>
                <w:szCs w:val="20"/>
                <w:lang w:val="en-US"/>
              </w:rPr>
            </w:pPr>
            <w:bookmarkStart w:id="0" w:name="_Hlk33348613"/>
            <w:r>
              <w:rPr>
                <w:noProof/>
                <w:lang w:val="en-US"/>
              </w:rPr>
              <w:pict w14:anchorId="237FDE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3.7pt;width:35.55pt;height:30.85pt;z-index:251657216;visibility:visible;mso-position-vertical-relative:page" wrapcoords="7353 527 2757 1580 -460 4741 -460 10010 1379 17385 5515 20546 7353 20546 14247 20546 15166 20546 19762 17385 21600 8956 21600 5268 17464 527 13328 527 7353 527">
                  <v:imagedata r:id="rId7" o:title="" cropleft="1f" cropright="1f"/>
                  <w10:wrap type="through" anchory="page"/>
                </v:shape>
              </w:pict>
            </w:r>
            <w:r w:rsidR="00484F09">
              <w:rPr>
                <w:rFonts w:eastAsia="Times New Roman"/>
                <w:snapToGrid w:val="0"/>
                <w:kern w:val="22"/>
                <w:sz w:val="20"/>
                <w:szCs w:val="20"/>
                <w:lang w:val="en-US"/>
              </w:rPr>
              <w:t xml:space="preserve"> </w:t>
            </w:r>
          </w:p>
        </w:tc>
        <w:tc>
          <w:tcPr>
            <w:tcW w:w="4320" w:type="dxa"/>
            <w:tcBorders>
              <w:top w:val="nil"/>
              <w:left w:val="nil"/>
              <w:bottom w:val="single" w:sz="12" w:space="0" w:color="000000"/>
              <w:right w:val="nil"/>
            </w:tcBorders>
          </w:tcPr>
          <w:p w14:paraId="147CEAB1" w14:textId="77777777" w:rsidR="006B4506" w:rsidRPr="009B1582" w:rsidRDefault="00867FCA" w:rsidP="00343B55">
            <w:pPr>
              <w:spacing w:before="60"/>
              <w:rPr>
                <w:rFonts w:eastAsia="Times New Roman"/>
                <w:sz w:val="20"/>
                <w:szCs w:val="20"/>
              </w:rPr>
            </w:pPr>
            <w:r>
              <w:rPr>
                <w:noProof/>
                <w:lang w:val="en-US"/>
              </w:rPr>
              <w:pict w14:anchorId="7B947F38">
                <v:shape id="_x0000_s1027" type="#_x0000_t75" style="position:absolute;left:0;text-align:left;margin-left:32.05pt;margin-top:1.75pt;width:14.25pt;height:15.1pt;z-index:251658240;visibility:visible;mso-position-horizontal-relative:text;mso-position-vertical-relative:text">
                  <v:imagedata r:id="rId8" o:title=""/>
                </v:shape>
              </w:pict>
            </w:r>
            <w:r w:rsidR="006B4506" w:rsidRPr="009B1582">
              <w:rPr>
                <w:rFonts w:ascii="SimSun" w:hAnsi="SimSun" w:cs="SimSun" w:hint="eastAsia"/>
                <w:sz w:val="20"/>
                <w:szCs w:val="20"/>
              </w:rPr>
              <w:t>联合国</w:t>
            </w:r>
          </w:p>
          <w:p w14:paraId="17443C61" w14:textId="77777777" w:rsidR="006B4506" w:rsidRPr="009B1582" w:rsidRDefault="006B4506" w:rsidP="00343B55">
            <w:pPr>
              <w:rPr>
                <w:rFonts w:eastAsia="Times New Roman"/>
                <w:sz w:val="20"/>
                <w:szCs w:val="20"/>
              </w:rPr>
            </w:pPr>
            <w:r w:rsidRPr="009B1582">
              <w:rPr>
                <w:rFonts w:ascii="SimSun" w:hAnsi="SimSun" w:cs="SimSun" w:hint="eastAsia"/>
                <w:sz w:val="20"/>
                <w:szCs w:val="20"/>
              </w:rPr>
              <w:t>环境规划署</w:t>
            </w:r>
          </w:p>
          <w:p w14:paraId="2FCD11EE" w14:textId="77777777" w:rsidR="006B4506" w:rsidRPr="007A1F82" w:rsidRDefault="006B4506" w:rsidP="00343B55">
            <w:pPr>
              <w:rPr>
                <w:rFonts w:eastAsia="Times New Roman"/>
              </w:rPr>
            </w:pPr>
          </w:p>
        </w:tc>
        <w:tc>
          <w:tcPr>
            <w:tcW w:w="5130" w:type="dxa"/>
            <w:tcBorders>
              <w:top w:val="nil"/>
              <w:left w:val="nil"/>
              <w:bottom w:val="single" w:sz="12" w:space="0" w:color="000000"/>
            </w:tcBorders>
          </w:tcPr>
          <w:p w14:paraId="6935B63E" w14:textId="77777777" w:rsidR="006B4506" w:rsidRPr="009B1582" w:rsidRDefault="006B4506" w:rsidP="00343B55">
            <w:pPr>
              <w:tabs>
                <w:tab w:val="right" w:pos="7611"/>
              </w:tabs>
              <w:spacing w:before="240"/>
              <w:ind w:left="360" w:right="216"/>
              <w:jc w:val="right"/>
              <w:rPr>
                <w:rFonts w:eastAsia="Times New Roman"/>
                <w:bCs/>
                <w:snapToGrid w:val="0"/>
                <w:kern w:val="22"/>
                <w:sz w:val="40"/>
                <w:szCs w:val="40"/>
              </w:rPr>
            </w:pPr>
            <w:r w:rsidRPr="009B1582">
              <w:rPr>
                <w:rFonts w:eastAsia="Times New Roman"/>
                <w:bCs/>
                <w:snapToGrid w:val="0"/>
                <w:kern w:val="22"/>
                <w:sz w:val="40"/>
                <w:szCs w:val="40"/>
              </w:rPr>
              <w:t>CBD</w:t>
            </w:r>
            <w:r w:rsidRPr="009B1582">
              <w:rPr>
                <w:rFonts w:eastAsia="Times New Roman"/>
                <w:bCs/>
                <w:snapToGrid w:val="0"/>
                <w:kern w:val="22"/>
              </w:rPr>
              <w:t>/</w:t>
            </w:r>
            <w:r>
              <w:rPr>
                <w:rFonts w:eastAsia="Times New Roman"/>
                <w:bCs/>
                <w:snapToGrid w:val="0"/>
                <w:kern w:val="22"/>
              </w:rPr>
              <w:t>SBSTTA</w:t>
            </w:r>
            <w:r w:rsidRPr="009B1582">
              <w:rPr>
                <w:rFonts w:eastAsia="Times New Roman"/>
                <w:bCs/>
                <w:snapToGrid w:val="0"/>
                <w:kern w:val="22"/>
              </w:rPr>
              <w:t>/</w:t>
            </w:r>
            <w:r>
              <w:rPr>
                <w:rFonts w:eastAsia="Times New Roman"/>
                <w:bCs/>
                <w:snapToGrid w:val="0"/>
                <w:kern w:val="22"/>
              </w:rPr>
              <w:t>27</w:t>
            </w:r>
            <w:r w:rsidRPr="009B1582">
              <w:rPr>
                <w:rFonts w:eastAsia="Times New Roman"/>
                <w:bCs/>
                <w:snapToGrid w:val="0"/>
                <w:kern w:val="22"/>
              </w:rPr>
              <w:t>/</w:t>
            </w:r>
            <w:r>
              <w:rPr>
                <w:noProof/>
                <w:szCs w:val="24"/>
              </w:rPr>
              <w:t>5/Add.1</w:t>
            </w:r>
          </w:p>
          <w:p w14:paraId="4C9D601C" w14:textId="77777777" w:rsidR="006B4506" w:rsidRPr="007A1F82" w:rsidRDefault="006B4506" w:rsidP="00343B55">
            <w:pPr>
              <w:rPr>
                <w:rFonts w:eastAsia="Times New Roman"/>
                <w:b/>
                <w:snapToGrid w:val="0"/>
                <w:kern w:val="22"/>
                <w:sz w:val="20"/>
              </w:rPr>
            </w:pPr>
          </w:p>
        </w:tc>
      </w:tr>
      <w:tr w:rsidR="006B4506" w:rsidRPr="007A1F82" w14:paraId="70F62E04" w14:textId="77777777" w:rsidTr="00343B55">
        <w:trPr>
          <w:trHeight w:val="2040"/>
        </w:trPr>
        <w:tc>
          <w:tcPr>
            <w:tcW w:w="5229" w:type="dxa"/>
            <w:gridSpan w:val="2"/>
            <w:tcBorders>
              <w:top w:val="nil"/>
              <w:bottom w:val="single" w:sz="18" w:space="0" w:color="000000"/>
            </w:tcBorders>
          </w:tcPr>
          <w:p w14:paraId="6EE1877C" w14:textId="77777777" w:rsidR="006B4506" w:rsidRPr="007A1F82" w:rsidRDefault="006B4506" w:rsidP="00343B55">
            <w:pPr>
              <w:rPr>
                <w:rFonts w:eastAsia="Times New Roman"/>
                <w:b/>
                <w:noProof/>
                <w:lang w:val="en-US"/>
              </w:rPr>
            </w:pPr>
          </w:p>
          <w:p w14:paraId="5D178FEA" w14:textId="77777777" w:rsidR="006B4506" w:rsidRPr="007A1F82" w:rsidRDefault="00867FCA" w:rsidP="00343B55">
            <w:pPr>
              <w:rPr>
                <w:rFonts w:ascii="Univers" w:eastAsia="Times New Roman" w:hAnsi="Univers"/>
                <w:snapToGrid w:val="0"/>
                <w:kern w:val="22"/>
                <w:sz w:val="32"/>
              </w:rPr>
            </w:pPr>
            <w:r>
              <w:rPr>
                <w:rFonts w:eastAsia="Times New Roman"/>
                <w:b/>
                <w:noProof/>
                <w:lang w:val="en-US"/>
              </w:rPr>
              <w:pict w14:anchorId="0AE1927D">
                <v:shape id="Picture 3" o:spid="_x0000_i1025" type="#_x0000_t75" alt="CBD_logo_ch-CMYK-black [Converted]" style="width:226.65pt;height:80.75pt;visibility:visible">
                  <v:imagedata r:id="rId9" o:title=""/>
                </v:shape>
              </w:pict>
            </w:r>
          </w:p>
        </w:tc>
        <w:tc>
          <w:tcPr>
            <w:tcW w:w="5130" w:type="dxa"/>
            <w:tcBorders>
              <w:top w:val="nil"/>
              <w:bottom w:val="single" w:sz="18" w:space="0" w:color="000000"/>
            </w:tcBorders>
          </w:tcPr>
          <w:p w14:paraId="6BF8E530" w14:textId="77777777" w:rsidR="006B4506" w:rsidRPr="00A148DC" w:rsidRDefault="006B4506" w:rsidP="00343B55">
            <w:pPr>
              <w:ind w:left="2016"/>
              <w:rPr>
                <w:rFonts w:eastAsia="Times New Roman"/>
                <w:bCs/>
                <w:snapToGrid w:val="0"/>
                <w:kern w:val="22"/>
              </w:rPr>
            </w:pPr>
            <w:r w:rsidRPr="00A148DC">
              <w:rPr>
                <w:rFonts w:eastAsia="Times New Roman"/>
                <w:bCs/>
                <w:snapToGrid w:val="0"/>
                <w:kern w:val="22"/>
              </w:rPr>
              <w:t>Distr.: General</w:t>
            </w:r>
          </w:p>
          <w:p w14:paraId="467D52D4" w14:textId="77777777" w:rsidR="006B4506" w:rsidRDefault="006B4506" w:rsidP="00343B55">
            <w:pPr>
              <w:snapToGrid w:val="0"/>
              <w:ind w:left="2016"/>
              <w:rPr>
                <w:rFonts w:eastAsia="Times New Roman"/>
                <w:snapToGrid w:val="0"/>
                <w:kern w:val="22"/>
              </w:rPr>
            </w:pPr>
            <w:r>
              <w:rPr>
                <w:noProof/>
                <w:szCs w:val="24"/>
              </w:rPr>
              <w:t>31 July 2025</w:t>
            </w:r>
          </w:p>
          <w:p w14:paraId="50DF7A89" w14:textId="77777777" w:rsidR="006B4506" w:rsidRPr="00A148DC" w:rsidRDefault="006B4506" w:rsidP="00343B55">
            <w:pPr>
              <w:snapToGrid w:val="0"/>
              <w:ind w:left="2016"/>
              <w:rPr>
                <w:rFonts w:eastAsia="Times New Roman"/>
                <w:bCs/>
                <w:snapToGrid w:val="0"/>
                <w:kern w:val="22"/>
              </w:rPr>
            </w:pPr>
            <w:r w:rsidRPr="00A148DC">
              <w:rPr>
                <w:rFonts w:eastAsia="Times New Roman"/>
                <w:bCs/>
                <w:snapToGrid w:val="0"/>
                <w:kern w:val="22"/>
              </w:rPr>
              <w:t>C</w:t>
            </w:r>
            <w:r>
              <w:rPr>
                <w:rFonts w:eastAsia="Times New Roman"/>
                <w:bCs/>
                <w:snapToGrid w:val="0"/>
                <w:kern w:val="22"/>
              </w:rPr>
              <w:t>hinese</w:t>
            </w:r>
          </w:p>
          <w:p w14:paraId="286CCCB6" w14:textId="77777777" w:rsidR="006B4506" w:rsidRPr="007A1F82" w:rsidRDefault="006B4506" w:rsidP="00343B55">
            <w:pPr>
              <w:ind w:left="2016"/>
              <w:rPr>
                <w:rFonts w:eastAsia="Times New Roman"/>
                <w:b/>
                <w:snapToGrid w:val="0"/>
                <w:kern w:val="22"/>
                <w:u w:val="single"/>
              </w:rPr>
            </w:pPr>
            <w:r w:rsidRPr="00A148DC">
              <w:rPr>
                <w:rFonts w:eastAsia="Times New Roman"/>
                <w:bCs/>
                <w:snapToGrid w:val="0"/>
                <w:kern w:val="22"/>
              </w:rPr>
              <w:t>O</w:t>
            </w:r>
            <w:r>
              <w:rPr>
                <w:rFonts w:eastAsia="Times New Roman"/>
                <w:bCs/>
                <w:snapToGrid w:val="0"/>
                <w:kern w:val="22"/>
              </w:rPr>
              <w:t xml:space="preserve">riginal: </w:t>
            </w:r>
            <w:r w:rsidRPr="00A148DC">
              <w:rPr>
                <w:rFonts w:eastAsia="Times New Roman"/>
                <w:bCs/>
                <w:snapToGrid w:val="0"/>
                <w:kern w:val="22"/>
              </w:rPr>
              <w:t>E</w:t>
            </w:r>
            <w:r>
              <w:rPr>
                <w:rFonts w:eastAsia="Times New Roman"/>
                <w:bCs/>
                <w:snapToGrid w:val="0"/>
                <w:kern w:val="22"/>
              </w:rPr>
              <w:t>nglish</w:t>
            </w:r>
          </w:p>
        </w:tc>
      </w:tr>
      <w:bookmarkEnd w:id="0"/>
    </w:tbl>
    <w:p w14:paraId="2F504FBB" w14:textId="77777777" w:rsidR="006B4506" w:rsidRDefault="006B4506">
      <w:pPr>
        <w:pStyle w:val="AISpacer"/>
        <w:rPr>
          <w:rFonts w:ascii="SimSun"/>
          <w:szCs w:val="24"/>
        </w:rPr>
      </w:pPr>
    </w:p>
    <w:p w14:paraId="370F9193" w14:textId="77777777" w:rsidR="006B4506" w:rsidRDefault="006B4506">
      <w:pPr>
        <w:pStyle w:val="AISpacer"/>
        <w:rPr>
          <w:rFonts w:ascii="SimSun"/>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B4506" w:rsidRPr="001D0A0E" w14:paraId="1B285A40" w14:textId="77777777">
        <w:trPr>
          <w:trHeight w:val="57"/>
        </w:trPr>
        <w:tc>
          <w:tcPr>
            <w:tcW w:w="6094" w:type="dxa"/>
          </w:tcPr>
          <w:p w14:paraId="6B5089AB" w14:textId="77777777" w:rsidR="006B4506" w:rsidRPr="001D0A0E" w:rsidRDefault="006B4506">
            <w:pPr>
              <w:pStyle w:val="AFCorN12Bold"/>
              <w:rPr>
                <w:szCs w:val="24"/>
              </w:rPr>
            </w:pPr>
            <w:r w:rsidRPr="001D0A0E">
              <w:rPr>
                <w:rFonts w:hint="eastAsia"/>
                <w:noProof/>
                <w:szCs w:val="24"/>
              </w:rPr>
              <w:t>科学、技术和工艺咨询附属机构</w:t>
            </w:r>
          </w:p>
          <w:p w14:paraId="0BBE5A16" w14:textId="77777777" w:rsidR="006B4506" w:rsidRPr="001D0A0E" w:rsidRDefault="006B4506">
            <w:pPr>
              <w:pStyle w:val="AFCorNBold"/>
              <w:rPr>
                <w:sz w:val="24"/>
                <w:szCs w:val="24"/>
              </w:rPr>
            </w:pPr>
            <w:r w:rsidRPr="001D0A0E">
              <w:rPr>
                <w:rFonts w:hint="eastAsia"/>
                <w:noProof/>
                <w:sz w:val="24"/>
                <w:szCs w:val="24"/>
              </w:rPr>
              <w:t>第二十七次会议</w:t>
            </w:r>
          </w:p>
          <w:p w14:paraId="2092C64D" w14:textId="77777777" w:rsidR="006B4506" w:rsidRPr="001D0A0E" w:rsidRDefault="006B4506">
            <w:pPr>
              <w:pStyle w:val="AFCorNNormal"/>
              <w:rPr>
                <w:sz w:val="24"/>
                <w:szCs w:val="24"/>
              </w:rPr>
            </w:pPr>
            <w:smartTag w:uri="urn:schemas-microsoft-com:office:smarttags" w:element="chsdate">
              <w:smartTagPr>
                <w:attr w:name="IsROCDate" w:val="False"/>
                <w:attr w:name="IsLunarDate" w:val="False"/>
                <w:attr w:name="Day" w:val="20"/>
                <w:attr w:name="Month" w:val="10"/>
                <w:attr w:name="Year" w:val="2025"/>
              </w:smartTagPr>
              <w:r w:rsidRPr="001D0A0E">
                <w:rPr>
                  <w:noProof/>
                  <w:kern w:val="22"/>
                  <w:sz w:val="24"/>
                  <w:szCs w:val="24"/>
                </w:rPr>
                <w:t>2025</w:t>
              </w:r>
              <w:r w:rsidRPr="001D0A0E">
                <w:rPr>
                  <w:rFonts w:hint="eastAsia"/>
                  <w:kern w:val="22"/>
                  <w:sz w:val="24"/>
                  <w:szCs w:val="24"/>
                  <w:lang w:val="zh-CN"/>
                </w:rPr>
                <w:t>年</w:t>
              </w:r>
              <w:r w:rsidRPr="001D0A0E">
                <w:rPr>
                  <w:noProof/>
                  <w:kern w:val="22"/>
                  <w:sz w:val="24"/>
                  <w:szCs w:val="24"/>
                </w:rPr>
                <w:t>10</w:t>
              </w:r>
              <w:r w:rsidRPr="001D0A0E">
                <w:rPr>
                  <w:rFonts w:hint="eastAsia"/>
                  <w:kern w:val="22"/>
                  <w:sz w:val="24"/>
                  <w:szCs w:val="24"/>
                  <w:lang w:val="zh-CN"/>
                </w:rPr>
                <w:t>月</w:t>
              </w:r>
              <w:r w:rsidRPr="001D0A0E">
                <w:rPr>
                  <w:noProof/>
                  <w:kern w:val="22"/>
                  <w:sz w:val="24"/>
                  <w:szCs w:val="24"/>
                </w:rPr>
                <w:t>20</w:t>
              </w:r>
              <w:r w:rsidRPr="001D0A0E">
                <w:rPr>
                  <w:rFonts w:hint="eastAsia"/>
                  <w:kern w:val="22"/>
                  <w:sz w:val="24"/>
                  <w:szCs w:val="24"/>
                  <w:lang w:val="zh-CN"/>
                </w:rPr>
                <w:t>日</w:t>
              </w:r>
            </w:smartTag>
            <w:r w:rsidRPr="001D0A0E">
              <w:rPr>
                <w:rFonts w:hint="eastAsia"/>
                <w:kern w:val="22"/>
                <w:sz w:val="24"/>
                <w:szCs w:val="24"/>
                <w:lang w:val="zh-CN"/>
              </w:rPr>
              <w:t>至</w:t>
            </w:r>
            <w:r w:rsidRPr="001D0A0E">
              <w:rPr>
                <w:noProof/>
                <w:kern w:val="22"/>
                <w:sz w:val="24"/>
                <w:szCs w:val="24"/>
              </w:rPr>
              <w:t>24</w:t>
            </w:r>
            <w:r w:rsidRPr="001D0A0E">
              <w:rPr>
                <w:rFonts w:hint="eastAsia"/>
                <w:kern w:val="22"/>
                <w:sz w:val="24"/>
                <w:szCs w:val="24"/>
                <w:lang w:val="zh-CN"/>
              </w:rPr>
              <w:t>日</w:t>
            </w:r>
            <w:r w:rsidRPr="001D0A0E">
              <w:rPr>
                <w:rFonts w:hint="eastAsia"/>
                <w:noProof/>
                <w:kern w:val="22"/>
                <w:sz w:val="24"/>
                <w:szCs w:val="24"/>
              </w:rPr>
              <w:t>，</w:t>
            </w:r>
            <w:r w:rsidRPr="001D0A0E">
              <w:rPr>
                <w:rFonts w:hint="eastAsia"/>
                <w:caps/>
                <w:sz w:val="24"/>
                <w:szCs w:val="24"/>
                <w:lang w:val="zh-CN"/>
              </w:rPr>
              <w:t>巴拿马城</w:t>
            </w:r>
          </w:p>
          <w:p w14:paraId="39CE3650" w14:textId="77777777" w:rsidR="006B4506" w:rsidRPr="001D0A0E" w:rsidRDefault="006B4506">
            <w:pPr>
              <w:pStyle w:val="AFCorNNormal"/>
              <w:rPr>
                <w:sz w:val="24"/>
                <w:szCs w:val="24"/>
              </w:rPr>
            </w:pPr>
            <w:r w:rsidRPr="001D0A0E">
              <w:rPr>
                <w:rFonts w:hint="eastAsia"/>
                <w:caps/>
                <w:sz w:val="24"/>
                <w:szCs w:val="24"/>
                <w:lang w:val="zh-CN"/>
              </w:rPr>
              <w:t>临时议程</w:t>
            </w:r>
            <w:r w:rsidRPr="001D0A0E">
              <w:rPr>
                <w:rStyle w:val="FootnoteReference"/>
                <w:noProof/>
                <w:sz w:val="24"/>
                <w:szCs w:val="24"/>
              </w:rPr>
              <w:footnoteReference w:customMarkFollows="1" w:id="1"/>
              <w:t>*</w:t>
            </w:r>
            <w:r w:rsidRPr="001D0A0E">
              <w:rPr>
                <w:rFonts w:hint="eastAsia"/>
                <w:caps/>
                <w:sz w:val="24"/>
                <w:szCs w:val="24"/>
                <w:lang w:val="zh-CN"/>
              </w:rPr>
              <w:t>项目</w:t>
            </w:r>
            <w:r w:rsidRPr="001D0A0E">
              <w:rPr>
                <w:caps/>
                <w:noProof/>
                <w:sz w:val="24"/>
                <w:szCs w:val="24"/>
              </w:rPr>
              <w:t>6(</w:t>
            </w:r>
            <w:r w:rsidRPr="001D0A0E">
              <w:rPr>
                <w:noProof/>
                <w:sz w:val="24"/>
                <w:szCs w:val="24"/>
              </w:rPr>
              <w:t>a)</w:t>
            </w:r>
          </w:p>
          <w:p w14:paraId="370679B3" w14:textId="4C478AF9" w:rsidR="006B4506" w:rsidRPr="005660E7" w:rsidRDefault="006B4506">
            <w:pPr>
              <w:pStyle w:val="AFCorNBold"/>
              <w:spacing w:after="120"/>
              <w:rPr>
                <w:sz w:val="24"/>
                <w:szCs w:val="24"/>
                <w:lang w:val="en-US"/>
              </w:rPr>
            </w:pPr>
            <w:r w:rsidRPr="001D0A0E">
              <w:rPr>
                <w:rFonts w:hint="eastAsia"/>
                <w:sz w:val="24"/>
                <w:szCs w:val="24"/>
                <w:lang w:val="zh-CN"/>
              </w:rPr>
              <w:t>促进执行《昆明</w:t>
            </w:r>
            <w:r w:rsidRPr="001D0A0E">
              <w:rPr>
                <w:noProof/>
                <w:sz w:val="24"/>
                <w:szCs w:val="24"/>
              </w:rPr>
              <w:t>-</w:t>
            </w:r>
            <w:r w:rsidRPr="001D0A0E">
              <w:rPr>
                <w:rFonts w:hint="eastAsia"/>
                <w:sz w:val="24"/>
                <w:szCs w:val="24"/>
                <w:lang w:val="zh-CN"/>
              </w:rPr>
              <w:t>蒙特利尔全球生物多样性框架》的科技需求</w:t>
            </w:r>
            <w:r w:rsidRPr="001D0A0E">
              <w:rPr>
                <w:rFonts w:hint="eastAsia"/>
                <w:noProof/>
                <w:sz w:val="24"/>
                <w:szCs w:val="24"/>
              </w:rPr>
              <w:t>：</w:t>
            </w:r>
            <w:r w:rsidRPr="001D0A0E">
              <w:rPr>
                <w:rFonts w:hint="eastAsia"/>
                <w:sz w:val="24"/>
                <w:szCs w:val="24"/>
                <w:lang w:val="zh-CN"/>
              </w:rPr>
              <w:t>在《昆蒙框架》背景下对《公约》的工作方案进行战略审查和分析</w:t>
            </w:r>
            <w:r w:rsidR="005660E7">
              <w:rPr>
                <w:sz w:val="24"/>
                <w:szCs w:val="24"/>
                <w:lang w:val="en-US"/>
              </w:rPr>
              <w:t xml:space="preserve"> </w:t>
            </w:r>
            <w:r w:rsidR="00015CEE">
              <w:rPr>
                <w:sz w:val="24"/>
                <w:szCs w:val="24"/>
                <w:lang w:val="en-US"/>
              </w:rPr>
              <w:t xml:space="preserve"> </w:t>
            </w:r>
          </w:p>
        </w:tc>
        <w:tc>
          <w:tcPr>
            <w:tcW w:w="4388" w:type="dxa"/>
          </w:tcPr>
          <w:p w14:paraId="0E778B51" w14:textId="77777777" w:rsidR="006B4506" w:rsidRPr="001D0A0E" w:rsidRDefault="006B4506">
            <w:pPr>
              <w:pStyle w:val="CBDNormal"/>
              <w:jc w:val="left"/>
              <w:rPr>
                <w:sz w:val="24"/>
                <w:szCs w:val="24"/>
              </w:rPr>
            </w:pPr>
          </w:p>
        </w:tc>
      </w:tr>
    </w:tbl>
    <w:p w14:paraId="3E7D9E63" w14:textId="77777777" w:rsidR="0099747A" w:rsidRDefault="006B4506" w:rsidP="0099747A">
      <w:pPr>
        <w:pStyle w:val="CBDTitle"/>
        <w:tabs>
          <w:tab w:val="clear" w:pos="567"/>
          <w:tab w:val="clear" w:pos="1134"/>
          <w:tab w:val="clear" w:pos="1701"/>
          <w:tab w:val="clear" w:pos="2268"/>
          <w:tab w:val="clear" w:pos="2835"/>
          <w:tab w:val="clear" w:pos="3402"/>
        </w:tabs>
        <w:ind w:left="490"/>
        <w:rPr>
          <w:rFonts w:ascii="SimHei" w:eastAsia="SimHei"/>
          <w:b w:val="0"/>
          <w:noProof/>
          <w:szCs w:val="28"/>
        </w:rPr>
      </w:pPr>
      <w:r w:rsidRPr="000833F3">
        <w:rPr>
          <w:rFonts w:ascii="SimHei" w:eastAsia="SimHei" w:hint="eastAsia"/>
          <w:b w:val="0"/>
          <w:noProof/>
          <w:szCs w:val="28"/>
        </w:rPr>
        <w:t>在《昆蒙框架》背景下对《公约》的工作方案进行战略审查和分析</w:t>
      </w:r>
    </w:p>
    <w:p w14:paraId="063887E8" w14:textId="5F258C20" w:rsidR="006B4506" w:rsidRPr="0099747A" w:rsidRDefault="006B4506" w:rsidP="0099747A">
      <w:pPr>
        <w:pStyle w:val="CBDTitle"/>
        <w:tabs>
          <w:tab w:val="clear" w:pos="567"/>
          <w:tab w:val="clear" w:pos="1134"/>
          <w:tab w:val="clear" w:pos="1701"/>
          <w:tab w:val="clear" w:pos="2268"/>
          <w:tab w:val="clear" w:pos="2835"/>
          <w:tab w:val="clear" w:pos="3402"/>
        </w:tabs>
        <w:ind w:left="0"/>
        <w:rPr>
          <w:rFonts w:ascii="SimHei" w:eastAsia="SimHei"/>
          <w:b w:val="0"/>
          <w:szCs w:val="28"/>
        </w:rPr>
      </w:pPr>
      <w:r w:rsidRPr="0099747A">
        <w:rPr>
          <w:rFonts w:hint="eastAsia"/>
          <w:noProof/>
          <w:szCs w:val="28"/>
        </w:rPr>
        <w:t>一</w:t>
      </w:r>
      <w:r w:rsidRPr="0099747A">
        <w:rPr>
          <w:noProof/>
          <w:szCs w:val="28"/>
        </w:rPr>
        <w:t>.</w:t>
      </w:r>
      <w:r w:rsidRPr="0099747A">
        <w:rPr>
          <w:szCs w:val="28"/>
        </w:rPr>
        <w:tab/>
      </w:r>
      <w:r w:rsidRPr="0099747A">
        <w:rPr>
          <w:rFonts w:hint="eastAsia"/>
          <w:noProof/>
          <w:szCs w:val="28"/>
        </w:rPr>
        <w:t>导言</w:t>
      </w:r>
    </w:p>
    <w:p w14:paraId="41C28CF3"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生物多样性公约缔约方大会在其关于《昆明</w:t>
      </w:r>
      <w:r w:rsidRPr="001D0A0E">
        <w:rPr>
          <w:sz w:val="24"/>
          <w:szCs w:val="24"/>
        </w:rPr>
        <w:t>-</w:t>
      </w:r>
      <w:r w:rsidRPr="001D0A0E">
        <w:rPr>
          <w:rFonts w:hint="eastAsia"/>
          <w:sz w:val="24"/>
          <w:szCs w:val="24"/>
          <w:lang w:val="zh-CN"/>
        </w:rPr>
        <w:t>蒙特利尔全球生物多样性框架》的第</w:t>
      </w:r>
      <w:hyperlink r:id="rId10" w:history="1">
        <w:r w:rsidRPr="001D0A0E">
          <w:rPr>
            <w:rStyle w:val="Hyperlink"/>
            <w:sz w:val="24"/>
            <w:szCs w:val="24"/>
          </w:rPr>
          <w:t>15/4</w:t>
        </w:r>
      </w:hyperlink>
      <w:r w:rsidRPr="001D0A0E">
        <w:rPr>
          <w:rFonts w:hint="eastAsia"/>
          <w:sz w:val="24"/>
          <w:szCs w:val="24"/>
          <w:lang w:val="zh-CN"/>
        </w:rPr>
        <w:t>号决定第</w:t>
      </w:r>
      <w:r w:rsidRPr="001D0A0E">
        <w:rPr>
          <w:sz w:val="24"/>
          <w:szCs w:val="24"/>
        </w:rPr>
        <w:t>8</w:t>
      </w:r>
      <w:r w:rsidRPr="001D0A0E">
        <w:rPr>
          <w:rFonts w:hint="eastAsia"/>
          <w:sz w:val="24"/>
          <w:szCs w:val="24"/>
          <w:lang w:val="zh-CN"/>
        </w:rPr>
        <w:t>段中决定</w:t>
      </w:r>
      <w:r w:rsidRPr="001D0A0E">
        <w:rPr>
          <w:rFonts w:hint="eastAsia"/>
          <w:sz w:val="24"/>
          <w:szCs w:val="24"/>
        </w:rPr>
        <w:t>，</w:t>
      </w:r>
      <w:r w:rsidRPr="001D0A0E">
        <w:rPr>
          <w:rFonts w:hint="eastAsia"/>
          <w:sz w:val="24"/>
          <w:szCs w:val="24"/>
          <w:lang w:val="zh-CN"/>
        </w:rPr>
        <w:t>《昆明</w:t>
      </w:r>
      <w:r w:rsidRPr="001D0A0E">
        <w:rPr>
          <w:sz w:val="24"/>
          <w:szCs w:val="24"/>
        </w:rPr>
        <w:t>-</w:t>
      </w:r>
      <w:r w:rsidRPr="001D0A0E">
        <w:rPr>
          <w:rFonts w:hint="eastAsia"/>
          <w:sz w:val="24"/>
          <w:szCs w:val="24"/>
          <w:lang w:val="zh-CN"/>
        </w:rPr>
        <w:t>蒙特利尔全球生物多样性框架》应作为</w:t>
      </w:r>
      <w:r w:rsidRPr="001D0A0E">
        <w:rPr>
          <w:sz w:val="24"/>
          <w:szCs w:val="24"/>
        </w:rPr>
        <w:t>2022-2030</w:t>
      </w:r>
      <w:r w:rsidRPr="001D0A0E">
        <w:rPr>
          <w:rFonts w:hint="eastAsia"/>
          <w:sz w:val="24"/>
          <w:szCs w:val="24"/>
          <w:lang w:val="zh-CN"/>
        </w:rPr>
        <w:t>年期间《公约》及其议定书执行工作以及各机构和秘书处的一个战略计划</w:t>
      </w:r>
      <w:r w:rsidRPr="001D0A0E">
        <w:rPr>
          <w:rFonts w:hint="eastAsia"/>
          <w:sz w:val="24"/>
          <w:szCs w:val="24"/>
        </w:rPr>
        <w:t>，</w:t>
      </w:r>
      <w:r w:rsidRPr="001D0A0E">
        <w:rPr>
          <w:rFonts w:hint="eastAsia"/>
          <w:sz w:val="24"/>
          <w:szCs w:val="24"/>
          <w:lang w:val="zh-CN"/>
        </w:rPr>
        <w:t>在这方面应利用《框架》</w:t>
      </w:r>
      <w:r w:rsidRPr="001D0A0E">
        <w:rPr>
          <w:rFonts w:hint="eastAsia"/>
          <w:sz w:val="24"/>
          <w:szCs w:val="24"/>
        </w:rPr>
        <w:t>，</w:t>
      </w:r>
      <w:r w:rsidRPr="001D0A0E">
        <w:rPr>
          <w:rFonts w:hint="eastAsia"/>
          <w:sz w:val="24"/>
          <w:szCs w:val="24"/>
          <w:lang w:val="zh-CN"/>
        </w:rPr>
        <w:t>根据其长期目标和行动目标</w:t>
      </w:r>
      <w:r w:rsidRPr="001D0A0E">
        <w:rPr>
          <w:rFonts w:hint="eastAsia"/>
          <w:sz w:val="24"/>
          <w:szCs w:val="24"/>
        </w:rPr>
        <w:t>，</w:t>
      </w:r>
      <w:r w:rsidRPr="001D0A0E">
        <w:rPr>
          <w:rFonts w:hint="eastAsia"/>
          <w:sz w:val="24"/>
          <w:szCs w:val="24"/>
          <w:lang w:val="zh-CN"/>
        </w:rPr>
        <w:t>更好地调整和指导《公约》及其议定书各机构的工作以及秘书处和秘书处的预算。</w:t>
      </w:r>
    </w:p>
    <w:p w14:paraId="5FA60C8F"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缔约方大会在其关于多年期工作方案的第</w:t>
      </w:r>
      <w:hyperlink r:id="rId11" w:history="1">
        <w:r w:rsidRPr="001D0A0E">
          <w:rPr>
            <w:rStyle w:val="Hyperlink"/>
            <w:sz w:val="24"/>
            <w:szCs w:val="24"/>
          </w:rPr>
          <w:t>15/33</w:t>
        </w:r>
      </w:hyperlink>
      <w:r w:rsidRPr="001D0A0E">
        <w:rPr>
          <w:rFonts w:hint="eastAsia"/>
          <w:sz w:val="24"/>
          <w:szCs w:val="24"/>
          <w:lang w:val="zh-CN"/>
        </w:rPr>
        <w:t>号决定第</w:t>
      </w:r>
      <w:r w:rsidRPr="001D0A0E">
        <w:rPr>
          <w:sz w:val="24"/>
          <w:szCs w:val="24"/>
        </w:rPr>
        <w:t>2</w:t>
      </w:r>
      <w:r w:rsidRPr="001D0A0E">
        <w:rPr>
          <w:rFonts w:hint="eastAsia"/>
          <w:sz w:val="24"/>
          <w:szCs w:val="24"/>
          <w:lang w:val="zh-CN"/>
        </w:rPr>
        <w:t>段中决定</w:t>
      </w:r>
      <w:r w:rsidRPr="001D0A0E">
        <w:rPr>
          <w:rFonts w:hint="eastAsia"/>
          <w:sz w:val="24"/>
          <w:szCs w:val="24"/>
        </w:rPr>
        <w:t>，</w:t>
      </w:r>
      <w:r w:rsidRPr="001D0A0E">
        <w:rPr>
          <w:rFonts w:hint="eastAsia"/>
          <w:sz w:val="24"/>
          <w:szCs w:val="24"/>
          <w:lang w:val="zh-CN"/>
        </w:rPr>
        <w:t>为政策拟定和执行而制定的新指导意见应有助于实现《昆明</w:t>
      </w:r>
      <w:r w:rsidRPr="001D0A0E">
        <w:rPr>
          <w:sz w:val="24"/>
          <w:szCs w:val="24"/>
        </w:rPr>
        <w:t>-</w:t>
      </w:r>
      <w:r w:rsidRPr="001D0A0E">
        <w:rPr>
          <w:rFonts w:hint="eastAsia"/>
          <w:sz w:val="24"/>
          <w:szCs w:val="24"/>
          <w:lang w:val="zh-CN"/>
        </w:rPr>
        <w:t>蒙特利尔全球生物多样性框架》所列长期目标和行动目标。</w:t>
      </w:r>
    </w:p>
    <w:p w14:paraId="003CB254" w14:textId="4F49D2AC"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缔约方大会在第</w:t>
      </w:r>
      <w:hyperlink r:id="rId12" w:history="1">
        <w:r w:rsidRPr="001D0A0E">
          <w:rPr>
            <w:rStyle w:val="Hyperlink"/>
            <w:sz w:val="24"/>
            <w:szCs w:val="24"/>
          </w:rPr>
          <w:t>15/4</w:t>
        </w:r>
      </w:hyperlink>
      <w:r w:rsidRPr="001D0A0E">
        <w:rPr>
          <w:rFonts w:hint="eastAsia"/>
          <w:sz w:val="24"/>
          <w:szCs w:val="24"/>
          <w:lang w:val="zh-CN"/>
        </w:rPr>
        <w:t>号决定第</w:t>
      </w:r>
      <w:r w:rsidRPr="001D0A0E">
        <w:rPr>
          <w:sz w:val="24"/>
          <w:szCs w:val="24"/>
        </w:rPr>
        <w:t>9</w:t>
      </w:r>
      <w:r w:rsidRPr="001D0A0E">
        <w:rPr>
          <w:rFonts w:hint="eastAsia"/>
          <w:sz w:val="24"/>
          <w:szCs w:val="24"/>
          <w:lang w:val="zh-CN"/>
        </w:rPr>
        <w:t>段中请执行秘书在</w:t>
      </w:r>
      <w:r w:rsidR="00575276">
        <w:rPr>
          <w:rFonts w:hint="eastAsia"/>
          <w:sz w:val="24"/>
          <w:szCs w:val="24"/>
          <w:lang w:val="zh-CN"/>
        </w:rPr>
        <w:t>《昆蒙框架》</w:t>
      </w:r>
      <w:r w:rsidRPr="001D0A0E">
        <w:rPr>
          <w:rFonts w:hint="eastAsia"/>
          <w:sz w:val="24"/>
          <w:szCs w:val="24"/>
          <w:lang w:val="zh-CN"/>
        </w:rPr>
        <w:t>背景下对《公约》的工作方案进行战略审查和分析</w:t>
      </w:r>
      <w:r w:rsidRPr="001D0A0E">
        <w:rPr>
          <w:rFonts w:hint="eastAsia"/>
          <w:sz w:val="24"/>
          <w:szCs w:val="24"/>
        </w:rPr>
        <w:t>，</w:t>
      </w:r>
      <w:r w:rsidRPr="001D0A0E">
        <w:rPr>
          <w:rFonts w:hint="eastAsia"/>
          <w:sz w:val="24"/>
          <w:szCs w:val="24"/>
          <w:lang w:val="zh-CN"/>
        </w:rPr>
        <w:t>以促进其执行</w:t>
      </w:r>
      <w:r w:rsidRPr="001D0A0E">
        <w:rPr>
          <w:rFonts w:hint="eastAsia"/>
          <w:sz w:val="24"/>
          <w:szCs w:val="24"/>
        </w:rPr>
        <w:t>，</w:t>
      </w:r>
      <w:r w:rsidRPr="001D0A0E">
        <w:rPr>
          <w:rFonts w:hint="eastAsia"/>
          <w:sz w:val="24"/>
          <w:szCs w:val="24"/>
          <w:lang w:val="zh-CN"/>
        </w:rPr>
        <w:t>并在此分析的基础上</w:t>
      </w:r>
      <w:r w:rsidRPr="001D0A0E">
        <w:rPr>
          <w:rFonts w:hint="eastAsia"/>
          <w:sz w:val="24"/>
          <w:szCs w:val="24"/>
        </w:rPr>
        <w:t>，</w:t>
      </w:r>
      <w:r w:rsidRPr="001D0A0E">
        <w:rPr>
          <w:rFonts w:hint="eastAsia"/>
          <w:sz w:val="24"/>
          <w:szCs w:val="24"/>
          <w:lang w:val="zh-CN"/>
        </w:rPr>
        <w:t>拟定这些工作方案的更新草案</w:t>
      </w:r>
      <w:r w:rsidRPr="001D0A0E">
        <w:rPr>
          <w:rFonts w:hint="eastAsia"/>
          <w:sz w:val="24"/>
          <w:szCs w:val="24"/>
        </w:rPr>
        <w:t>，</w:t>
      </w:r>
      <w:r w:rsidRPr="001D0A0E">
        <w:rPr>
          <w:rFonts w:hint="eastAsia"/>
          <w:sz w:val="24"/>
          <w:szCs w:val="24"/>
          <w:lang w:val="zh-CN"/>
        </w:rPr>
        <w:t>酌情供科学、技术和工艺咨询附属机构和执行问题附属机构审议。</w:t>
      </w:r>
      <w:r w:rsidRPr="001D0A0E">
        <w:rPr>
          <w:rStyle w:val="FootnoteReference"/>
          <w:sz w:val="24"/>
          <w:szCs w:val="24"/>
          <w:lang w:val="zh-CN"/>
        </w:rPr>
        <w:footnoteReference w:id="2"/>
      </w:r>
    </w:p>
    <w:p w14:paraId="3391F4F7" w14:textId="0B4EC473"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总而言之</w:t>
      </w:r>
      <w:r w:rsidRPr="001D0A0E">
        <w:rPr>
          <w:rFonts w:hint="eastAsia"/>
          <w:sz w:val="24"/>
          <w:szCs w:val="24"/>
        </w:rPr>
        <w:t>，</w:t>
      </w:r>
      <w:r w:rsidRPr="001D0A0E">
        <w:rPr>
          <w:rFonts w:hint="eastAsia"/>
          <w:sz w:val="24"/>
          <w:szCs w:val="24"/>
          <w:lang w:val="zh-CN"/>
        </w:rPr>
        <w:t>缔约方大会已决定</w:t>
      </w:r>
      <w:r w:rsidR="00575276">
        <w:rPr>
          <w:rFonts w:hint="eastAsia"/>
          <w:sz w:val="24"/>
          <w:szCs w:val="24"/>
          <w:lang w:val="zh-CN"/>
        </w:rPr>
        <w:t>《昆蒙框架》</w:t>
      </w:r>
      <w:r w:rsidRPr="001D0A0E">
        <w:rPr>
          <w:rFonts w:hint="eastAsia"/>
          <w:sz w:val="24"/>
          <w:szCs w:val="24"/>
          <w:lang w:val="zh-CN"/>
        </w:rPr>
        <w:t>是推动《公约》及其各项议定书、其各机构和秘书处工作的战略计划。缔约方大会还决定，所有未来的政策指导都应以支持</w:t>
      </w:r>
      <w:r w:rsidR="00575276">
        <w:rPr>
          <w:rFonts w:hint="eastAsia"/>
          <w:sz w:val="24"/>
          <w:szCs w:val="24"/>
          <w:lang w:val="zh-CN"/>
        </w:rPr>
        <w:t>《昆蒙框架》</w:t>
      </w:r>
      <w:r w:rsidRPr="001D0A0E">
        <w:rPr>
          <w:rFonts w:hint="eastAsia"/>
          <w:sz w:val="24"/>
          <w:szCs w:val="24"/>
          <w:lang w:val="zh-CN"/>
        </w:rPr>
        <w:t>的长期目标和行动目标进行制定和实施。为了促进</w:t>
      </w:r>
      <w:r w:rsidR="00575276">
        <w:rPr>
          <w:rFonts w:hint="eastAsia"/>
          <w:sz w:val="24"/>
          <w:szCs w:val="24"/>
          <w:lang w:val="zh-CN"/>
        </w:rPr>
        <w:t>《昆蒙框架》</w:t>
      </w:r>
      <w:r w:rsidRPr="001D0A0E">
        <w:rPr>
          <w:rFonts w:hint="eastAsia"/>
          <w:sz w:val="24"/>
          <w:szCs w:val="24"/>
          <w:lang w:val="zh-CN"/>
        </w:rPr>
        <w:t>的实施，缔约方大会已请执行秘书对《公约》工作方案进行战略审查和分析，以评估其相关性、一致性和与</w:t>
      </w:r>
      <w:r w:rsidR="00575276">
        <w:rPr>
          <w:rFonts w:hint="eastAsia"/>
          <w:sz w:val="24"/>
          <w:szCs w:val="24"/>
          <w:lang w:val="zh-CN"/>
        </w:rPr>
        <w:t>《昆蒙框架》</w:t>
      </w:r>
      <w:r w:rsidRPr="001D0A0E">
        <w:rPr>
          <w:rFonts w:hint="eastAsia"/>
          <w:sz w:val="24"/>
          <w:szCs w:val="24"/>
          <w:lang w:val="zh-CN"/>
        </w:rPr>
        <w:t>的配合程度，并在此基础上酌情编写工作方案的更新草案。</w:t>
      </w:r>
    </w:p>
    <w:p w14:paraId="016F8745" w14:textId="2A3003F5"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lastRenderedPageBreak/>
        <w:t>执行秘书根据第</w:t>
      </w:r>
      <w:hyperlink r:id="rId13" w:history="1">
        <w:r w:rsidRPr="001D0A0E">
          <w:rPr>
            <w:rStyle w:val="Hyperlink"/>
            <w:sz w:val="24"/>
            <w:szCs w:val="24"/>
          </w:rPr>
          <w:t>15/4</w:t>
        </w:r>
      </w:hyperlink>
      <w:r w:rsidRPr="001D0A0E">
        <w:rPr>
          <w:rFonts w:hint="eastAsia"/>
          <w:sz w:val="24"/>
          <w:szCs w:val="24"/>
          <w:lang w:val="zh-CN"/>
        </w:rPr>
        <w:t>号决定第</w:t>
      </w:r>
      <w:r w:rsidRPr="001D0A0E">
        <w:rPr>
          <w:sz w:val="24"/>
          <w:szCs w:val="24"/>
        </w:rPr>
        <w:t>9</w:t>
      </w:r>
      <w:r w:rsidRPr="001D0A0E">
        <w:rPr>
          <w:rFonts w:hint="eastAsia"/>
          <w:sz w:val="24"/>
          <w:szCs w:val="24"/>
          <w:lang w:val="zh-CN"/>
        </w:rPr>
        <w:t>段的要求</w:t>
      </w:r>
      <w:r w:rsidRPr="001D0A0E">
        <w:rPr>
          <w:rFonts w:hint="eastAsia"/>
          <w:sz w:val="24"/>
          <w:szCs w:val="24"/>
        </w:rPr>
        <w:t>，</w:t>
      </w:r>
      <w:r w:rsidRPr="001D0A0E">
        <w:rPr>
          <w:rFonts w:hint="eastAsia"/>
          <w:sz w:val="24"/>
          <w:szCs w:val="24"/>
          <w:lang w:val="zh-CN"/>
        </w:rPr>
        <w:t>编写了</w:t>
      </w:r>
      <w:hyperlink r:id="rId14" w:history="1">
        <w:r w:rsidRPr="001D0A0E">
          <w:rPr>
            <w:rStyle w:val="Hyperlink"/>
            <w:sz w:val="24"/>
            <w:szCs w:val="24"/>
          </w:rPr>
          <w:t>CBD/SBSTTA/25/4</w:t>
        </w:r>
      </w:hyperlink>
      <w:r w:rsidRPr="001D0A0E">
        <w:rPr>
          <w:rFonts w:hint="eastAsia"/>
          <w:sz w:val="24"/>
          <w:szCs w:val="24"/>
          <w:lang w:val="zh-CN"/>
        </w:rPr>
        <w:t>号文件</w:t>
      </w:r>
      <w:r w:rsidRPr="001D0A0E">
        <w:rPr>
          <w:rFonts w:hint="eastAsia"/>
          <w:sz w:val="24"/>
          <w:szCs w:val="24"/>
        </w:rPr>
        <w:t>，</w:t>
      </w:r>
      <w:r w:rsidRPr="001D0A0E">
        <w:rPr>
          <w:rFonts w:hint="eastAsia"/>
          <w:sz w:val="24"/>
          <w:szCs w:val="24"/>
          <w:lang w:val="zh-CN"/>
        </w:rPr>
        <w:t>其中载有在</w:t>
      </w:r>
      <w:r w:rsidR="00575276">
        <w:rPr>
          <w:rFonts w:hint="eastAsia"/>
          <w:sz w:val="24"/>
          <w:szCs w:val="24"/>
          <w:lang w:val="zh-CN"/>
        </w:rPr>
        <w:t>《昆蒙框架》</w:t>
      </w:r>
      <w:r w:rsidRPr="001D0A0E">
        <w:rPr>
          <w:rFonts w:hint="eastAsia"/>
          <w:sz w:val="24"/>
          <w:szCs w:val="24"/>
          <w:lang w:val="zh-CN"/>
        </w:rPr>
        <w:t>背景下对《公约》工作方案进行的初步快速分析结果。完整的快速分析载于</w:t>
      </w:r>
      <w:hyperlink r:id="rId15" w:history="1">
        <w:r w:rsidRPr="000B1CFB">
          <w:rPr>
            <w:rStyle w:val="Hyperlink"/>
          </w:rPr>
          <w:t>CBD/SBSTTA/25/INF/1</w:t>
        </w:r>
      </w:hyperlink>
      <w:r w:rsidRPr="001D0A0E">
        <w:rPr>
          <w:rFonts w:hint="eastAsia"/>
          <w:sz w:val="24"/>
          <w:szCs w:val="24"/>
          <w:lang w:val="zh-CN"/>
        </w:rPr>
        <w:t>号信息文件。</w:t>
      </w:r>
    </w:p>
    <w:p w14:paraId="2EA51445" w14:textId="26C85785" w:rsidR="006B4506" w:rsidRPr="000B1CFB"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0B1CFB">
        <w:rPr>
          <w:rFonts w:hint="eastAsia"/>
          <w:sz w:val="24"/>
          <w:szCs w:val="24"/>
          <w:lang w:val="zh-CN"/>
        </w:rPr>
        <w:t>基于这种情况以及其他信息，科学、技术和工艺咨询附属机构第二十五次会议通过了第</w:t>
      </w:r>
      <w:hyperlink r:id="rId16" w:history="1">
        <w:r w:rsidRPr="000B1CFB">
          <w:rPr>
            <w:rStyle w:val="Hyperlink"/>
            <w:sz w:val="24"/>
            <w:szCs w:val="24"/>
            <w:lang w:val="zh-CN"/>
          </w:rPr>
          <w:t>25/3</w:t>
        </w:r>
      </w:hyperlink>
      <w:r w:rsidRPr="000B1CFB">
        <w:rPr>
          <w:rFonts w:hint="eastAsia"/>
          <w:sz w:val="24"/>
          <w:szCs w:val="24"/>
          <w:lang w:val="zh-CN"/>
        </w:rPr>
        <w:t>号建议，其中请执行秘书：（</w:t>
      </w:r>
      <w:r w:rsidRPr="000B1CFB">
        <w:rPr>
          <w:sz w:val="24"/>
          <w:szCs w:val="24"/>
          <w:lang w:val="zh-CN"/>
        </w:rPr>
        <w:t>a</w:t>
      </w:r>
      <w:r w:rsidRPr="000B1CFB">
        <w:rPr>
          <w:rFonts w:hint="eastAsia"/>
          <w:sz w:val="24"/>
          <w:szCs w:val="24"/>
          <w:lang w:val="zh-CN"/>
        </w:rPr>
        <w:t>）对可能支持</w:t>
      </w:r>
      <w:r w:rsidR="00575276">
        <w:rPr>
          <w:rFonts w:hint="eastAsia"/>
          <w:sz w:val="24"/>
          <w:szCs w:val="24"/>
          <w:lang w:val="zh-CN"/>
        </w:rPr>
        <w:t>《昆蒙框架》</w:t>
      </w:r>
      <w:r w:rsidRPr="000B1CFB">
        <w:rPr>
          <w:rFonts w:hint="eastAsia"/>
          <w:sz w:val="24"/>
          <w:szCs w:val="24"/>
          <w:lang w:val="zh-CN"/>
        </w:rPr>
        <w:t>各项行动目标和其他要素的实施的现有工具和指导进行全面审查和分析；（</w:t>
      </w:r>
      <w:r w:rsidRPr="000B1CFB">
        <w:rPr>
          <w:sz w:val="24"/>
          <w:szCs w:val="24"/>
          <w:lang w:val="zh-CN"/>
        </w:rPr>
        <w:t>b</w:t>
      </w:r>
      <w:r w:rsidRPr="000B1CFB">
        <w:rPr>
          <w:rFonts w:hint="eastAsia"/>
          <w:sz w:val="24"/>
          <w:szCs w:val="24"/>
          <w:lang w:val="zh-CN"/>
        </w:rPr>
        <w:t>）汇编为进行全面审查和分析而提交的意见和信息；（</w:t>
      </w:r>
      <w:r w:rsidRPr="000B1CFB">
        <w:rPr>
          <w:sz w:val="24"/>
          <w:szCs w:val="24"/>
          <w:lang w:val="zh-CN"/>
        </w:rPr>
        <w:t>c</w:t>
      </w:r>
      <w:r w:rsidRPr="000B1CFB">
        <w:rPr>
          <w:rFonts w:hint="eastAsia"/>
          <w:sz w:val="24"/>
          <w:szCs w:val="24"/>
          <w:lang w:val="zh-CN"/>
        </w:rPr>
        <w:t>）找出差距和冗余，以期消除这些差距并满足潜在的更新需求；（</w:t>
      </w:r>
      <w:r w:rsidRPr="000B1CFB">
        <w:rPr>
          <w:sz w:val="24"/>
          <w:szCs w:val="24"/>
          <w:lang w:val="zh-CN"/>
        </w:rPr>
        <w:t>d</w:t>
      </w:r>
      <w:r w:rsidRPr="000B1CFB">
        <w:rPr>
          <w:rFonts w:hint="eastAsia"/>
          <w:sz w:val="24"/>
          <w:szCs w:val="24"/>
          <w:lang w:val="zh-CN"/>
        </w:rPr>
        <w:t>）在所进行的分析基础上，编写技术咨询意见，酌情包括调整依照《公约》所开展工作的建议。</w:t>
      </w:r>
    </w:p>
    <w:p w14:paraId="0E07695F" w14:textId="302483F9"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秘书处根据这项建议</w:t>
      </w:r>
      <w:r w:rsidRPr="00D32234">
        <w:rPr>
          <w:rFonts w:hint="eastAsia"/>
          <w:sz w:val="24"/>
          <w:szCs w:val="24"/>
          <w:lang w:val="zh-CN"/>
        </w:rPr>
        <w:t>，</w:t>
      </w:r>
      <w:r w:rsidRPr="001D0A0E">
        <w:rPr>
          <w:rFonts w:hint="eastAsia"/>
          <w:sz w:val="24"/>
          <w:szCs w:val="24"/>
          <w:lang w:val="zh-CN"/>
        </w:rPr>
        <w:t>编写了</w:t>
      </w:r>
      <w:hyperlink r:id="rId17" w:history="1">
        <w:r w:rsidRPr="00082989">
          <w:rPr>
            <w:rStyle w:val="Hyperlink"/>
            <w:lang w:val="zh-CN"/>
          </w:rPr>
          <w:t>CBD/SBSTTA/26/3</w:t>
        </w:r>
      </w:hyperlink>
      <w:r w:rsidRPr="001D0A0E">
        <w:rPr>
          <w:rFonts w:hint="eastAsia"/>
          <w:sz w:val="24"/>
          <w:szCs w:val="24"/>
          <w:lang w:val="zh-CN"/>
        </w:rPr>
        <w:t>号文件</w:t>
      </w:r>
      <w:r w:rsidRPr="00D32234">
        <w:rPr>
          <w:rFonts w:hint="eastAsia"/>
          <w:sz w:val="24"/>
          <w:szCs w:val="24"/>
          <w:lang w:val="zh-CN"/>
        </w:rPr>
        <w:t>，</w:t>
      </w:r>
      <w:r w:rsidRPr="001D0A0E">
        <w:rPr>
          <w:rFonts w:hint="eastAsia"/>
          <w:sz w:val="24"/>
          <w:szCs w:val="24"/>
          <w:lang w:val="zh-CN"/>
        </w:rPr>
        <w:t>其中秘书处确定了与实施</w:t>
      </w:r>
      <w:r w:rsidR="00575276">
        <w:rPr>
          <w:rFonts w:hint="eastAsia"/>
          <w:sz w:val="24"/>
          <w:szCs w:val="24"/>
          <w:lang w:val="zh-CN"/>
        </w:rPr>
        <w:t>《昆蒙框架》</w:t>
      </w:r>
      <w:r w:rsidRPr="001D0A0E">
        <w:rPr>
          <w:rFonts w:hint="eastAsia"/>
          <w:sz w:val="24"/>
          <w:szCs w:val="24"/>
          <w:lang w:val="zh-CN"/>
        </w:rPr>
        <w:t>相关的总体科学和技术需求及其对《公约》工作的影响。</w:t>
      </w:r>
      <w:hyperlink r:id="rId18" w:history="1">
        <w:r w:rsidRPr="00082989">
          <w:rPr>
            <w:rStyle w:val="Hyperlink"/>
          </w:rPr>
          <w:t>CBD/SBSTTA/26/INF/15</w:t>
        </w:r>
      </w:hyperlink>
      <w:r w:rsidRPr="001D0A0E">
        <w:rPr>
          <w:rFonts w:hint="eastAsia"/>
          <w:sz w:val="24"/>
          <w:szCs w:val="24"/>
          <w:lang w:val="zh-CN"/>
        </w:rPr>
        <w:t>号信息文件还提供了</w:t>
      </w:r>
      <w:r w:rsidR="00575276">
        <w:rPr>
          <w:rFonts w:hint="eastAsia"/>
          <w:sz w:val="24"/>
          <w:szCs w:val="24"/>
          <w:lang w:val="zh-CN"/>
        </w:rPr>
        <w:t>《昆蒙框架》</w:t>
      </w:r>
      <w:r w:rsidRPr="001D0A0E">
        <w:rPr>
          <w:rFonts w:hint="eastAsia"/>
          <w:sz w:val="24"/>
          <w:szCs w:val="24"/>
          <w:lang w:val="zh-CN"/>
        </w:rPr>
        <w:t>的全面差距和需求分析，以及现有工作方案和跨领域问题如何支持</w:t>
      </w:r>
      <w:r w:rsidR="00575276">
        <w:rPr>
          <w:rFonts w:hint="eastAsia"/>
          <w:sz w:val="24"/>
          <w:szCs w:val="24"/>
          <w:lang w:val="zh-CN"/>
        </w:rPr>
        <w:t>《昆蒙框架》</w:t>
      </w:r>
      <w:r w:rsidRPr="001D0A0E">
        <w:rPr>
          <w:rFonts w:hint="eastAsia"/>
          <w:sz w:val="24"/>
          <w:szCs w:val="24"/>
          <w:lang w:val="zh-CN"/>
        </w:rPr>
        <w:t>。</w:t>
      </w:r>
    </w:p>
    <w:p w14:paraId="4D62195F" w14:textId="6B2EE674"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082989">
        <w:rPr>
          <w:rFonts w:hint="eastAsia"/>
          <w:sz w:val="24"/>
          <w:szCs w:val="24"/>
          <w:lang w:val="zh-CN"/>
        </w:rPr>
        <w:t>缔约方大会在第</w:t>
      </w:r>
      <w:hyperlink r:id="rId19" w:history="1">
        <w:r w:rsidR="00082989" w:rsidRPr="00082989">
          <w:rPr>
            <w:rStyle w:val="Hyperlink"/>
            <w:sz w:val="24"/>
            <w:szCs w:val="24"/>
          </w:rPr>
          <w:t>16/12</w:t>
        </w:r>
      </w:hyperlink>
      <w:r w:rsidRPr="00082989">
        <w:rPr>
          <w:rFonts w:hint="eastAsia"/>
          <w:sz w:val="24"/>
          <w:szCs w:val="24"/>
          <w:lang w:val="zh-CN"/>
        </w:rPr>
        <w:t>号决定第</w:t>
      </w:r>
      <w:r w:rsidRPr="00082989">
        <w:rPr>
          <w:sz w:val="24"/>
          <w:szCs w:val="24"/>
          <w:lang w:val="zh-CN"/>
        </w:rPr>
        <w:t>1 (a)</w:t>
      </w:r>
      <w:r w:rsidRPr="00082989">
        <w:rPr>
          <w:rFonts w:hint="eastAsia"/>
          <w:sz w:val="24"/>
          <w:szCs w:val="24"/>
          <w:lang w:val="zh-CN"/>
        </w:rPr>
        <w:t>分段中，认识到《生物多样性公约》的工作方案和跨领域工作仍然是支持执行《昆明</w:t>
      </w:r>
      <w:r w:rsidRPr="00082989">
        <w:rPr>
          <w:sz w:val="24"/>
          <w:szCs w:val="24"/>
          <w:lang w:val="zh-CN"/>
        </w:rPr>
        <w:t>-</w:t>
      </w:r>
      <w:r w:rsidRPr="00082989">
        <w:rPr>
          <w:rFonts w:hint="eastAsia"/>
          <w:sz w:val="24"/>
          <w:szCs w:val="24"/>
          <w:lang w:val="zh-CN"/>
        </w:rPr>
        <w:t>蒙特利尔全球生物多样性框架》的重要工具，尽管有些工作方案可能需要修订。在同一决定第</w:t>
      </w:r>
      <w:r w:rsidRPr="00082989">
        <w:rPr>
          <w:sz w:val="24"/>
          <w:szCs w:val="24"/>
          <w:lang w:val="zh-CN"/>
        </w:rPr>
        <w:t>4</w:t>
      </w:r>
      <w:r w:rsidRPr="00082989">
        <w:rPr>
          <w:rFonts w:hint="eastAsia"/>
          <w:sz w:val="24"/>
          <w:szCs w:val="24"/>
          <w:lang w:val="zh-CN"/>
        </w:rPr>
        <w:t>（</w:t>
      </w:r>
      <w:r w:rsidRPr="00082989">
        <w:rPr>
          <w:sz w:val="24"/>
          <w:szCs w:val="24"/>
          <w:lang w:val="zh-CN"/>
        </w:rPr>
        <w:t>e</w:t>
      </w:r>
      <w:r w:rsidRPr="00082989">
        <w:rPr>
          <w:rFonts w:hint="eastAsia"/>
          <w:sz w:val="24"/>
          <w:szCs w:val="24"/>
          <w:lang w:val="zh-CN"/>
        </w:rPr>
        <w:t>）分段中，它请秘书处在</w:t>
      </w:r>
      <w:r w:rsidR="00575276">
        <w:rPr>
          <w:rFonts w:hint="eastAsia"/>
          <w:sz w:val="24"/>
          <w:szCs w:val="24"/>
          <w:lang w:val="zh-CN"/>
        </w:rPr>
        <w:t>《昆蒙框架》</w:t>
      </w:r>
      <w:r w:rsidRPr="00082989">
        <w:rPr>
          <w:rFonts w:hint="eastAsia"/>
          <w:sz w:val="24"/>
          <w:szCs w:val="24"/>
          <w:lang w:val="zh-CN"/>
        </w:rPr>
        <w:t>背景下对《公约》的工作方案进行战略审查和分析，以促进其执行，并在此分析的基础上，拟定工作方案的更新草案，同时考虑到为科学、技术和工艺咨询附属机构第二十六次会议编写的与这项工作有关的文件，并提交这些文件供执行问题附属机构在缔约方大会第十七届会议之前举行的一次会议审议</w:t>
      </w:r>
      <w:r w:rsidRPr="001D0A0E">
        <w:rPr>
          <w:rFonts w:hint="eastAsia"/>
          <w:sz w:val="24"/>
          <w:szCs w:val="24"/>
          <w:lang w:val="zh-CN"/>
        </w:rPr>
        <w:t>。</w:t>
      </w:r>
    </w:p>
    <w:p w14:paraId="47742804" w14:textId="77777777"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科</w:t>
      </w:r>
      <w:proofErr w:type="gramStart"/>
      <w:r w:rsidRPr="001D0A0E">
        <w:rPr>
          <w:rFonts w:hint="eastAsia"/>
          <w:sz w:val="24"/>
          <w:szCs w:val="24"/>
          <w:lang w:val="zh-CN"/>
        </w:rPr>
        <w:t>咨</w:t>
      </w:r>
      <w:proofErr w:type="gramEnd"/>
      <w:r w:rsidRPr="001D0A0E">
        <w:rPr>
          <w:rFonts w:hint="eastAsia"/>
          <w:sz w:val="24"/>
          <w:szCs w:val="24"/>
          <w:lang w:val="zh-CN"/>
        </w:rPr>
        <w:t>机构主席团在就开展上述工作的方法向秘书处提供的指导意见中指出</w:t>
      </w:r>
      <w:r w:rsidRPr="00D32234">
        <w:rPr>
          <w:rFonts w:hint="eastAsia"/>
          <w:sz w:val="24"/>
          <w:szCs w:val="24"/>
          <w:lang w:val="zh-CN"/>
        </w:rPr>
        <w:t>，</w:t>
      </w:r>
      <w:r w:rsidRPr="00867FCA">
        <w:rPr>
          <w:vertAlign w:val="superscript"/>
        </w:rPr>
        <w:footnoteReference w:id="3"/>
      </w:r>
      <w:r w:rsidRPr="001D0A0E">
        <w:rPr>
          <w:rFonts w:hint="eastAsia"/>
          <w:sz w:val="24"/>
          <w:szCs w:val="24"/>
          <w:lang w:val="zh-CN"/>
        </w:rPr>
        <w:t>战略审查和分析应涵盖依照《公约》进行的所有工作领域</w:t>
      </w:r>
      <w:r w:rsidRPr="00D32234">
        <w:rPr>
          <w:rFonts w:hint="eastAsia"/>
          <w:sz w:val="24"/>
          <w:szCs w:val="24"/>
          <w:lang w:val="zh-CN"/>
        </w:rPr>
        <w:t>，</w:t>
      </w:r>
      <w:r w:rsidRPr="001D0A0E">
        <w:rPr>
          <w:rFonts w:hint="eastAsia"/>
          <w:sz w:val="24"/>
          <w:szCs w:val="24"/>
          <w:lang w:val="zh-CN"/>
        </w:rPr>
        <w:t>在对个别工作方案进行审查之前</w:t>
      </w:r>
      <w:r w:rsidRPr="00D32234">
        <w:rPr>
          <w:rFonts w:hint="eastAsia"/>
          <w:sz w:val="24"/>
          <w:szCs w:val="24"/>
          <w:lang w:val="zh-CN"/>
        </w:rPr>
        <w:t>，</w:t>
      </w:r>
      <w:r w:rsidRPr="001D0A0E">
        <w:rPr>
          <w:rFonts w:hint="eastAsia"/>
          <w:sz w:val="24"/>
          <w:szCs w:val="24"/>
          <w:lang w:val="zh-CN"/>
        </w:rPr>
        <w:t>应完成对整个工作方案的总体战略审查和分析</w:t>
      </w:r>
      <w:r w:rsidRPr="00D32234">
        <w:rPr>
          <w:rFonts w:hint="eastAsia"/>
          <w:sz w:val="24"/>
          <w:szCs w:val="24"/>
          <w:lang w:val="zh-CN"/>
        </w:rPr>
        <w:t>，</w:t>
      </w:r>
      <w:r w:rsidRPr="001D0A0E">
        <w:rPr>
          <w:rFonts w:hint="eastAsia"/>
          <w:sz w:val="24"/>
          <w:szCs w:val="24"/>
          <w:lang w:val="zh-CN"/>
        </w:rPr>
        <w:t>并应在这些分析的基础上对各方案进行更新。然而，主席团将对扩大的森林生物多样性工作方案和保护区工作方案的审查排除在该时间表之外，因为更新这两个方案的闭会期间进程已经启动，并且已分别提交科</w:t>
      </w:r>
      <w:proofErr w:type="gramStart"/>
      <w:r w:rsidRPr="001D0A0E">
        <w:rPr>
          <w:rFonts w:hint="eastAsia"/>
          <w:sz w:val="24"/>
          <w:szCs w:val="24"/>
          <w:lang w:val="zh-CN"/>
        </w:rPr>
        <w:t>咨</w:t>
      </w:r>
      <w:proofErr w:type="gramEnd"/>
      <w:r w:rsidRPr="001D0A0E">
        <w:rPr>
          <w:rFonts w:hint="eastAsia"/>
          <w:sz w:val="24"/>
          <w:szCs w:val="24"/>
          <w:lang w:val="zh-CN"/>
        </w:rPr>
        <w:t>机构第二十七次和第二十八次会议审议。</w:t>
      </w:r>
      <w:r w:rsidRPr="00D32234">
        <w:rPr>
          <w:sz w:val="24"/>
          <w:szCs w:val="24"/>
          <w:lang w:val="zh-CN"/>
        </w:rPr>
        <w:t xml:space="preserve"> </w:t>
      </w:r>
    </w:p>
    <w:p w14:paraId="4E300329" w14:textId="57DA8287"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秘书处委托了一个顾问小组对《公约》整个工作方案进行战略审查和分析</w:t>
      </w:r>
      <w:r w:rsidRPr="00D32234">
        <w:rPr>
          <w:rFonts w:hint="eastAsia"/>
          <w:sz w:val="24"/>
          <w:szCs w:val="24"/>
          <w:lang w:val="zh-CN"/>
        </w:rPr>
        <w:t>，</w:t>
      </w:r>
      <w:r w:rsidRPr="001D0A0E">
        <w:rPr>
          <w:rFonts w:hint="eastAsia"/>
          <w:sz w:val="24"/>
          <w:szCs w:val="24"/>
          <w:lang w:val="zh-CN"/>
        </w:rPr>
        <w:t>审查结果将作为</w:t>
      </w:r>
      <w:r w:rsidRPr="00D32234">
        <w:rPr>
          <w:sz w:val="24"/>
          <w:szCs w:val="24"/>
          <w:lang w:val="zh-CN"/>
        </w:rPr>
        <w:t>CBD/SBSTTA/27/INF/6</w:t>
      </w:r>
      <w:r w:rsidRPr="001D0A0E">
        <w:rPr>
          <w:rFonts w:hint="eastAsia"/>
          <w:sz w:val="24"/>
          <w:szCs w:val="24"/>
          <w:lang w:val="zh-CN"/>
        </w:rPr>
        <w:t>信息文件提供。本文件载有审查和分析结果摘要、关于使工作方案与</w:t>
      </w:r>
      <w:r w:rsidR="00575276">
        <w:rPr>
          <w:rFonts w:hint="eastAsia"/>
          <w:sz w:val="24"/>
          <w:szCs w:val="24"/>
          <w:lang w:val="zh-CN"/>
        </w:rPr>
        <w:t>《昆蒙框架》</w:t>
      </w:r>
      <w:r w:rsidRPr="001D0A0E">
        <w:rPr>
          <w:rFonts w:hint="eastAsia"/>
          <w:sz w:val="24"/>
          <w:szCs w:val="24"/>
          <w:lang w:val="zh-CN"/>
        </w:rPr>
        <w:t>相衔接的机会的信息以及供科咨机构审议的建议草案。</w:t>
      </w:r>
      <w:r w:rsidRPr="00D32234">
        <w:rPr>
          <w:sz w:val="24"/>
          <w:szCs w:val="24"/>
          <w:lang w:val="zh-CN"/>
        </w:rPr>
        <w:t xml:space="preserve"> </w:t>
      </w:r>
    </w:p>
    <w:p w14:paraId="22F61057" w14:textId="7B95B43B" w:rsidR="006B4506" w:rsidRPr="00082989"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082989">
        <w:rPr>
          <w:rFonts w:hint="eastAsia"/>
          <w:sz w:val="24"/>
          <w:szCs w:val="24"/>
          <w:lang w:val="zh-CN"/>
        </w:rPr>
        <w:t>如上文第</w:t>
      </w:r>
      <w:r w:rsidRPr="00082989">
        <w:rPr>
          <w:sz w:val="24"/>
          <w:szCs w:val="24"/>
          <w:lang w:val="zh-CN"/>
        </w:rPr>
        <w:t>6</w:t>
      </w:r>
      <w:r w:rsidRPr="00082989">
        <w:rPr>
          <w:rFonts w:hint="eastAsia"/>
          <w:sz w:val="24"/>
          <w:szCs w:val="24"/>
          <w:lang w:val="zh-CN"/>
        </w:rPr>
        <w:t>段所述，已确定的与</w:t>
      </w:r>
      <w:r w:rsidR="00575276">
        <w:rPr>
          <w:rFonts w:hint="eastAsia"/>
          <w:sz w:val="24"/>
          <w:szCs w:val="24"/>
          <w:lang w:val="zh-CN"/>
        </w:rPr>
        <w:t>《昆蒙框架》</w:t>
      </w:r>
      <w:r w:rsidRPr="00082989">
        <w:rPr>
          <w:rFonts w:hint="eastAsia"/>
          <w:sz w:val="24"/>
          <w:szCs w:val="24"/>
          <w:lang w:val="zh-CN"/>
        </w:rPr>
        <w:t>的实施相关的总体科学和技术需求及其对《公约》工作的影响已在</w:t>
      </w:r>
      <w:hyperlink r:id="rId20" w:history="1">
        <w:r w:rsidR="00082989" w:rsidRPr="00082989">
          <w:rPr>
            <w:rStyle w:val="Hyperlink"/>
            <w:sz w:val="24"/>
            <w:szCs w:val="24"/>
          </w:rPr>
          <w:t>CBD/SBSTTA/26/3</w:t>
        </w:r>
      </w:hyperlink>
      <w:r w:rsidRPr="00082989">
        <w:rPr>
          <w:rFonts w:hint="eastAsia"/>
          <w:sz w:val="24"/>
          <w:szCs w:val="24"/>
          <w:lang w:val="zh-CN"/>
        </w:rPr>
        <w:t>号文件中提请科咨机构第二十六次会议注意。因此，本文件不包含任何有关科学和技术需求或差距的其他分析，而是侧重于使工作领域与</w:t>
      </w:r>
      <w:r w:rsidR="00575276">
        <w:rPr>
          <w:rFonts w:hint="eastAsia"/>
          <w:sz w:val="24"/>
          <w:szCs w:val="24"/>
          <w:lang w:val="zh-CN"/>
        </w:rPr>
        <w:t>《昆蒙框架》</w:t>
      </w:r>
      <w:r w:rsidRPr="00082989">
        <w:rPr>
          <w:rFonts w:hint="eastAsia"/>
          <w:sz w:val="24"/>
          <w:szCs w:val="24"/>
          <w:lang w:val="zh-CN"/>
        </w:rPr>
        <w:t>相衔接及其与</w:t>
      </w:r>
      <w:r w:rsidR="00575276">
        <w:rPr>
          <w:rFonts w:hint="eastAsia"/>
          <w:sz w:val="24"/>
          <w:szCs w:val="24"/>
          <w:lang w:val="zh-CN"/>
        </w:rPr>
        <w:t>《昆蒙框架》</w:t>
      </w:r>
      <w:r w:rsidRPr="00082989">
        <w:rPr>
          <w:rFonts w:hint="eastAsia"/>
          <w:sz w:val="24"/>
          <w:szCs w:val="24"/>
          <w:lang w:val="zh-CN"/>
        </w:rPr>
        <w:t>的相关性。</w:t>
      </w:r>
    </w:p>
    <w:p w14:paraId="54DDA847" w14:textId="77777777"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根据第</w:t>
      </w:r>
      <w:hyperlink r:id="rId21" w:history="1">
        <w:r w:rsidRPr="00D32234">
          <w:rPr>
            <w:lang w:val="zh-CN"/>
          </w:rPr>
          <w:t>16/12</w:t>
        </w:r>
      </w:hyperlink>
      <w:r w:rsidRPr="001D0A0E">
        <w:rPr>
          <w:rFonts w:hint="eastAsia"/>
          <w:sz w:val="24"/>
          <w:szCs w:val="24"/>
          <w:lang w:val="zh-CN"/>
        </w:rPr>
        <w:t>号决定第</w:t>
      </w:r>
      <w:r w:rsidRPr="00D32234">
        <w:rPr>
          <w:sz w:val="24"/>
          <w:szCs w:val="24"/>
          <w:lang w:val="zh-CN"/>
        </w:rPr>
        <w:t>4</w:t>
      </w:r>
      <w:r w:rsidRPr="00D32234">
        <w:rPr>
          <w:rFonts w:hint="eastAsia"/>
          <w:sz w:val="24"/>
          <w:szCs w:val="24"/>
          <w:lang w:val="zh-CN"/>
        </w:rPr>
        <w:t>（</w:t>
      </w:r>
      <w:r w:rsidRPr="00D32234">
        <w:rPr>
          <w:sz w:val="24"/>
          <w:szCs w:val="24"/>
          <w:lang w:val="zh-CN"/>
        </w:rPr>
        <w:t>d</w:t>
      </w:r>
      <w:r w:rsidRPr="00D32234">
        <w:rPr>
          <w:rFonts w:hint="eastAsia"/>
          <w:sz w:val="24"/>
          <w:szCs w:val="24"/>
          <w:lang w:val="zh-CN"/>
        </w:rPr>
        <w:t>）</w:t>
      </w:r>
      <w:r w:rsidRPr="001D0A0E">
        <w:rPr>
          <w:rFonts w:hint="eastAsia"/>
          <w:sz w:val="24"/>
          <w:szCs w:val="24"/>
          <w:lang w:val="zh-CN"/>
        </w:rPr>
        <w:t>段确定的潜在进一步工作领域将在本次会议议程项目</w:t>
      </w:r>
      <w:r w:rsidRPr="00D32234">
        <w:rPr>
          <w:sz w:val="24"/>
          <w:szCs w:val="24"/>
          <w:lang w:val="zh-CN"/>
        </w:rPr>
        <w:t>6</w:t>
      </w:r>
      <w:r w:rsidRPr="00D32234">
        <w:rPr>
          <w:rFonts w:hint="eastAsia"/>
          <w:sz w:val="24"/>
          <w:szCs w:val="24"/>
          <w:lang w:val="zh-CN"/>
        </w:rPr>
        <w:t>（</w:t>
      </w:r>
      <w:r w:rsidRPr="00D32234">
        <w:rPr>
          <w:sz w:val="24"/>
          <w:szCs w:val="24"/>
          <w:lang w:val="zh-CN"/>
        </w:rPr>
        <w:t>c</w:t>
      </w:r>
      <w:r w:rsidRPr="00D32234">
        <w:rPr>
          <w:rFonts w:hint="eastAsia"/>
          <w:sz w:val="24"/>
          <w:szCs w:val="24"/>
          <w:lang w:val="zh-CN"/>
        </w:rPr>
        <w:t>）</w:t>
      </w:r>
      <w:r w:rsidRPr="001D0A0E">
        <w:rPr>
          <w:rFonts w:hint="eastAsia"/>
          <w:sz w:val="24"/>
          <w:szCs w:val="24"/>
          <w:lang w:val="zh-CN"/>
        </w:rPr>
        <w:t>下处理</w:t>
      </w:r>
      <w:r w:rsidRPr="00D32234">
        <w:rPr>
          <w:rFonts w:hint="eastAsia"/>
          <w:sz w:val="24"/>
          <w:szCs w:val="24"/>
          <w:lang w:val="zh-CN"/>
        </w:rPr>
        <w:t>，</w:t>
      </w:r>
      <w:r w:rsidRPr="001D0A0E">
        <w:rPr>
          <w:rFonts w:hint="eastAsia"/>
          <w:sz w:val="24"/>
          <w:szCs w:val="24"/>
          <w:lang w:val="zh-CN"/>
        </w:rPr>
        <w:t>因此本文件不予讨论。</w:t>
      </w:r>
    </w:p>
    <w:p w14:paraId="568DA15B" w14:textId="77777777" w:rsidR="006B4506" w:rsidRPr="00082989"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lastRenderedPageBreak/>
        <w:t>由于工作方案将由缔约方、土著人民和地方社区以及相关利益攸关方执行</w:t>
      </w:r>
      <w:r w:rsidRPr="00D32234">
        <w:rPr>
          <w:rFonts w:hint="eastAsia"/>
          <w:sz w:val="24"/>
          <w:szCs w:val="24"/>
          <w:lang w:val="zh-CN"/>
        </w:rPr>
        <w:t>，</w:t>
      </w:r>
      <w:r w:rsidRPr="001D0A0E">
        <w:rPr>
          <w:rFonts w:hint="eastAsia"/>
          <w:sz w:val="24"/>
          <w:szCs w:val="24"/>
          <w:lang w:val="zh-CN"/>
        </w:rPr>
        <w:t>因此</w:t>
      </w:r>
      <w:r w:rsidRPr="00D32234">
        <w:rPr>
          <w:rFonts w:hint="eastAsia"/>
          <w:sz w:val="24"/>
          <w:szCs w:val="24"/>
          <w:lang w:val="zh-CN"/>
        </w:rPr>
        <w:t>，</w:t>
      </w:r>
      <w:r w:rsidRPr="001D0A0E">
        <w:rPr>
          <w:rFonts w:hint="eastAsia"/>
          <w:sz w:val="24"/>
          <w:szCs w:val="24"/>
          <w:lang w:val="zh-CN"/>
        </w:rPr>
        <w:t>作为</w:t>
      </w:r>
      <w:r w:rsidRPr="001D0A0E">
        <w:rPr>
          <w:sz w:val="24"/>
          <w:szCs w:val="24"/>
        </w:rPr>
        <w:t>CBD/SBSTTA/27/INF/6</w:t>
      </w:r>
      <w:r w:rsidRPr="001D0A0E">
        <w:rPr>
          <w:rFonts w:hint="eastAsia"/>
          <w:sz w:val="24"/>
          <w:szCs w:val="24"/>
          <w:lang w:val="zh-CN"/>
        </w:rPr>
        <w:t>号信息文件发布的战略审查与分析的重点不是秘书</w:t>
      </w:r>
      <w:r w:rsidRPr="00082989">
        <w:rPr>
          <w:rFonts w:hint="eastAsia"/>
          <w:sz w:val="24"/>
          <w:szCs w:val="24"/>
          <w:lang w:val="zh-CN"/>
        </w:rPr>
        <w:t>处的工作范围。然而，此次审查与分析可作为秘书处根据缔约方大会第</w:t>
      </w:r>
      <w:hyperlink r:id="rId22" w:history="1">
        <w:r w:rsidRPr="00082989">
          <w:rPr>
            <w:rStyle w:val="Hyperlink"/>
            <w:sz w:val="24"/>
            <w:szCs w:val="24"/>
            <w:lang w:val="zh-CN"/>
          </w:rPr>
          <w:t>15/34</w:t>
        </w:r>
      </w:hyperlink>
      <w:r w:rsidRPr="00082989">
        <w:rPr>
          <w:rFonts w:hint="eastAsia"/>
          <w:sz w:val="24"/>
          <w:szCs w:val="24"/>
          <w:lang w:val="zh-CN"/>
        </w:rPr>
        <w:t>号决定（第</w:t>
      </w:r>
      <w:r w:rsidRPr="00082989">
        <w:rPr>
          <w:sz w:val="24"/>
          <w:szCs w:val="24"/>
          <w:lang w:val="zh-CN"/>
        </w:rPr>
        <w:t>35</w:t>
      </w:r>
      <w:r w:rsidRPr="00082989">
        <w:rPr>
          <w:rFonts w:hint="eastAsia"/>
          <w:sz w:val="24"/>
          <w:szCs w:val="24"/>
          <w:lang w:val="zh-CN"/>
        </w:rPr>
        <w:t>段）和第</w:t>
      </w:r>
      <w:hyperlink r:id="rId23" w:history="1">
        <w:r w:rsidRPr="00082989">
          <w:rPr>
            <w:rStyle w:val="Hyperlink"/>
            <w:sz w:val="24"/>
            <w:szCs w:val="24"/>
            <w:lang w:val="zh-CN"/>
          </w:rPr>
          <w:t>16/28</w:t>
        </w:r>
      </w:hyperlink>
      <w:r w:rsidRPr="00082989">
        <w:rPr>
          <w:rFonts w:hint="eastAsia"/>
          <w:sz w:val="24"/>
          <w:szCs w:val="24"/>
          <w:lang w:val="zh-CN"/>
        </w:rPr>
        <w:t>号决定（第</w:t>
      </w:r>
      <w:r w:rsidRPr="00082989">
        <w:rPr>
          <w:sz w:val="24"/>
          <w:szCs w:val="24"/>
          <w:lang w:val="zh-CN"/>
        </w:rPr>
        <w:t>11</w:t>
      </w:r>
      <w:r w:rsidRPr="00082989">
        <w:rPr>
          <w:rFonts w:hint="eastAsia"/>
          <w:sz w:val="24"/>
          <w:szCs w:val="24"/>
          <w:lang w:val="zh-CN"/>
        </w:rPr>
        <w:t>段）的要求而正在进行的职能审查的有用信息来源。</w:t>
      </w:r>
    </w:p>
    <w:p w14:paraId="1273F9AD"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082989">
        <w:rPr>
          <w:rFonts w:hint="eastAsia"/>
          <w:sz w:val="24"/>
          <w:szCs w:val="24"/>
          <w:lang w:val="zh-CN"/>
        </w:rPr>
        <w:t>工作方案的战略审查与分析得到欧洲联盟委员会和加拿大政府的慷慨资助。</w:t>
      </w:r>
    </w:p>
    <w:p w14:paraId="063E1E9E" w14:textId="77777777" w:rsidR="006B4506" w:rsidRPr="00D32234" w:rsidRDefault="006B4506" w:rsidP="0099747A">
      <w:pPr>
        <w:pStyle w:val="CBDH1"/>
        <w:tabs>
          <w:tab w:val="clear" w:pos="567"/>
          <w:tab w:val="clear" w:pos="1134"/>
          <w:tab w:val="clear" w:pos="1701"/>
          <w:tab w:val="clear" w:pos="2268"/>
          <w:tab w:val="clear" w:pos="2835"/>
          <w:tab w:val="clear" w:pos="3402"/>
        </w:tabs>
        <w:rPr>
          <w:szCs w:val="28"/>
        </w:rPr>
      </w:pPr>
      <w:r w:rsidRPr="00D32234">
        <w:rPr>
          <w:rFonts w:hint="eastAsia"/>
          <w:szCs w:val="28"/>
          <w:lang w:val="zh-CN"/>
        </w:rPr>
        <w:t>二</w:t>
      </w:r>
      <w:r w:rsidRPr="00D32234">
        <w:rPr>
          <w:rFonts w:hint="eastAsia"/>
          <w:szCs w:val="28"/>
        </w:rPr>
        <w:t>．</w:t>
      </w:r>
      <w:r w:rsidRPr="00D32234">
        <w:rPr>
          <w:szCs w:val="28"/>
        </w:rPr>
        <w:tab/>
      </w:r>
      <w:r w:rsidRPr="00D32234">
        <w:rPr>
          <w:rFonts w:hint="eastAsia"/>
          <w:szCs w:val="28"/>
          <w:lang w:val="zh-CN"/>
        </w:rPr>
        <w:t>方法</w:t>
      </w:r>
    </w:p>
    <w:p w14:paraId="182952CA" w14:textId="77777777"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bookmarkStart w:id="1" w:name="OLE_LINK1"/>
      <w:r w:rsidRPr="001D0A0E">
        <w:rPr>
          <w:rFonts w:hint="eastAsia"/>
          <w:sz w:val="24"/>
          <w:szCs w:val="24"/>
          <w:lang w:val="zh-CN"/>
        </w:rPr>
        <w:t>如上文第</w:t>
      </w:r>
      <w:r w:rsidRPr="001D0A0E">
        <w:rPr>
          <w:sz w:val="24"/>
          <w:szCs w:val="24"/>
        </w:rPr>
        <w:t>9</w:t>
      </w:r>
      <w:r w:rsidRPr="001D0A0E">
        <w:rPr>
          <w:rFonts w:hint="eastAsia"/>
          <w:sz w:val="24"/>
          <w:szCs w:val="24"/>
          <w:lang w:val="zh-CN"/>
        </w:rPr>
        <w:t>段所述</w:t>
      </w:r>
      <w:r w:rsidRPr="001D0A0E">
        <w:rPr>
          <w:rFonts w:hint="eastAsia"/>
          <w:sz w:val="24"/>
          <w:szCs w:val="24"/>
        </w:rPr>
        <w:t>，</w:t>
      </w:r>
      <w:r w:rsidRPr="001D0A0E">
        <w:rPr>
          <w:rFonts w:hint="eastAsia"/>
          <w:sz w:val="24"/>
          <w:szCs w:val="24"/>
          <w:lang w:val="zh-CN"/>
        </w:rPr>
        <w:t>战略审查与分析介绍了《公约》的整体工作方案。它未对每个具体方案进行详细审查。在附属机构主席团的指导下，审查和分析涵盖了《公约》的所有工作领域，即《公约》下正式设立的专题工作方案、</w:t>
      </w:r>
      <w:r w:rsidRPr="00867FCA">
        <w:rPr>
          <w:vertAlign w:val="superscript"/>
        </w:rPr>
        <w:footnoteReference w:id="4"/>
      </w:r>
      <w:r w:rsidRPr="001D0A0E">
        <w:rPr>
          <w:rFonts w:hint="eastAsia"/>
          <w:sz w:val="24"/>
          <w:szCs w:val="24"/>
          <w:lang w:val="zh-CN"/>
        </w:rPr>
        <w:t>处理跨领域问题的方案以及《公约》下的其他工作领域，包括执行问题附属机构授权的工作领域。</w:t>
      </w:r>
      <w:r w:rsidRPr="00867FCA">
        <w:rPr>
          <w:vertAlign w:val="superscript"/>
        </w:rPr>
        <w:footnoteReference w:id="5"/>
      </w:r>
      <w:r w:rsidRPr="001D0A0E">
        <w:rPr>
          <w:rFonts w:hint="eastAsia"/>
          <w:sz w:val="24"/>
          <w:szCs w:val="24"/>
          <w:lang w:val="zh-CN"/>
        </w:rPr>
        <w:t>本文件中将这些方案称为</w:t>
      </w:r>
      <w:r w:rsidRPr="001D0A0E">
        <w:rPr>
          <w:sz w:val="24"/>
          <w:szCs w:val="24"/>
          <w:lang w:val="zh-CN"/>
        </w:rPr>
        <w:t>“</w:t>
      </w:r>
      <w:r w:rsidRPr="001D0A0E">
        <w:rPr>
          <w:rFonts w:hint="eastAsia"/>
          <w:sz w:val="24"/>
          <w:szCs w:val="24"/>
          <w:lang w:val="zh-CN"/>
        </w:rPr>
        <w:t>工作领域</w:t>
      </w:r>
      <w:r w:rsidRPr="001D0A0E">
        <w:rPr>
          <w:sz w:val="24"/>
          <w:szCs w:val="24"/>
          <w:lang w:val="zh-CN"/>
        </w:rPr>
        <w:t>”</w:t>
      </w:r>
      <w:r w:rsidRPr="001D0A0E">
        <w:rPr>
          <w:rFonts w:hint="eastAsia"/>
          <w:sz w:val="24"/>
          <w:szCs w:val="24"/>
          <w:lang w:val="zh-CN"/>
        </w:rPr>
        <w:t>。</w:t>
      </w:r>
    </w:p>
    <w:bookmarkEnd w:id="1"/>
    <w:p w14:paraId="0459DC7D" w14:textId="43FDD11E"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战略审查和分析已基于两个主要信息来源进行</w:t>
      </w:r>
      <w:r w:rsidRPr="00D32234">
        <w:rPr>
          <w:rFonts w:hint="eastAsia"/>
          <w:sz w:val="24"/>
          <w:szCs w:val="24"/>
          <w:lang w:val="zh-CN"/>
        </w:rPr>
        <w:t>：</w:t>
      </w:r>
      <w:r w:rsidRPr="001D0A0E">
        <w:rPr>
          <w:rFonts w:hint="eastAsia"/>
          <w:sz w:val="24"/>
          <w:szCs w:val="24"/>
          <w:lang w:val="zh-CN"/>
        </w:rPr>
        <w:t>评估每个工作领域在</w:t>
      </w:r>
      <w:r w:rsidR="00575276">
        <w:rPr>
          <w:rFonts w:hint="eastAsia"/>
          <w:sz w:val="24"/>
          <w:szCs w:val="24"/>
          <w:lang w:val="zh-CN"/>
        </w:rPr>
        <w:t>《昆蒙框架》</w:t>
      </w:r>
      <w:r w:rsidRPr="001D0A0E">
        <w:rPr>
          <w:rFonts w:hint="eastAsia"/>
          <w:sz w:val="24"/>
          <w:szCs w:val="24"/>
          <w:lang w:val="zh-CN"/>
        </w:rPr>
        <w:t>背景下的相关性和紧迫性</w:t>
      </w:r>
      <w:r w:rsidRPr="00D32234">
        <w:rPr>
          <w:rFonts w:hint="eastAsia"/>
          <w:sz w:val="24"/>
          <w:szCs w:val="24"/>
          <w:lang w:val="zh-CN"/>
        </w:rPr>
        <w:t>（</w:t>
      </w:r>
      <w:r w:rsidRPr="001D0A0E">
        <w:rPr>
          <w:rFonts w:hint="eastAsia"/>
          <w:sz w:val="24"/>
          <w:szCs w:val="24"/>
          <w:lang w:val="zh-CN"/>
        </w:rPr>
        <w:t>载于</w:t>
      </w:r>
      <w:r w:rsidRPr="00D32234">
        <w:rPr>
          <w:sz w:val="24"/>
          <w:szCs w:val="24"/>
          <w:lang w:val="zh-CN"/>
        </w:rPr>
        <w:t>CBD/SBSTTA/27/INF/6</w:t>
      </w:r>
      <w:r w:rsidRPr="001D0A0E">
        <w:rPr>
          <w:rFonts w:hint="eastAsia"/>
          <w:sz w:val="24"/>
          <w:szCs w:val="24"/>
          <w:lang w:val="zh-CN"/>
        </w:rPr>
        <w:t>号信息文件</w:t>
      </w:r>
      <w:r w:rsidRPr="00D32234">
        <w:rPr>
          <w:rFonts w:hint="eastAsia"/>
          <w:sz w:val="24"/>
          <w:szCs w:val="24"/>
          <w:lang w:val="zh-CN"/>
        </w:rPr>
        <w:t>，</w:t>
      </w:r>
      <w:r w:rsidRPr="001D0A0E">
        <w:rPr>
          <w:rFonts w:hint="eastAsia"/>
          <w:sz w:val="24"/>
          <w:szCs w:val="24"/>
          <w:lang w:val="zh-CN"/>
        </w:rPr>
        <w:t>附件</w:t>
      </w:r>
      <w:r w:rsidRPr="00D32234">
        <w:rPr>
          <w:sz w:val="24"/>
          <w:szCs w:val="24"/>
          <w:lang w:val="zh-CN"/>
        </w:rPr>
        <w:t>A</w:t>
      </w:r>
      <w:r w:rsidRPr="00D32234">
        <w:rPr>
          <w:rFonts w:hint="eastAsia"/>
          <w:sz w:val="24"/>
          <w:szCs w:val="24"/>
          <w:lang w:val="zh-CN"/>
        </w:rPr>
        <w:t>）；</w:t>
      </w:r>
      <w:r w:rsidRPr="001D0A0E">
        <w:rPr>
          <w:rFonts w:hint="eastAsia"/>
          <w:sz w:val="24"/>
          <w:szCs w:val="24"/>
          <w:lang w:val="zh-CN"/>
        </w:rPr>
        <w:t>评估每个工作领域如何与</w:t>
      </w:r>
      <w:r w:rsidR="00575276">
        <w:rPr>
          <w:rFonts w:hint="eastAsia"/>
          <w:sz w:val="24"/>
          <w:szCs w:val="24"/>
          <w:lang w:val="zh-CN"/>
        </w:rPr>
        <w:t>《昆蒙框架》</w:t>
      </w:r>
      <w:r w:rsidRPr="001D0A0E">
        <w:rPr>
          <w:rFonts w:hint="eastAsia"/>
          <w:sz w:val="24"/>
          <w:szCs w:val="24"/>
          <w:lang w:val="zh-CN"/>
        </w:rPr>
        <w:t>保持一致</w:t>
      </w:r>
      <w:r w:rsidRPr="00D32234">
        <w:rPr>
          <w:rFonts w:hint="eastAsia"/>
          <w:sz w:val="24"/>
          <w:szCs w:val="24"/>
          <w:lang w:val="zh-CN"/>
        </w:rPr>
        <w:t>（</w:t>
      </w:r>
      <w:r w:rsidRPr="001D0A0E">
        <w:rPr>
          <w:rFonts w:hint="eastAsia"/>
          <w:sz w:val="24"/>
          <w:szCs w:val="24"/>
          <w:lang w:val="zh-CN"/>
        </w:rPr>
        <w:t>同上</w:t>
      </w:r>
      <w:r w:rsidRPr="00D32234">
        <w:rPr>
          <w:rFonts w:hint="eastAsia"/>
          <w:sz w:val="24"/>
          <w:szCs w:val="24"/>
          <w:lang w:val="zh-CN"/>
        </w:rPr>
        <w:t>，</w:t>
      </w:r>
      <w:r w:rsidRPr="001D0A0E">
        <w:rPr>
          <w:rFonts w:hint="eastAsia"/>
          <w:sz w:val="24"/>
          <w:szCs w:val="24"/>
          <w:lang w:val="zh-CN"/>
        </w:rPr>
        <w:t>附件</w:t>
      </w:r>
      <w:r w:rsidRPr="00D32234">
        <w:rPr>
          <w:sz w:val="24"/>
          <w:szCs w:val="24"/>
          <w:lang w:val="zh-CN"/>
        </w:rPr>
        <w:t>B</w:t>
      </w:r>
      <w:r w:rsidRPr="00D32234">
        <w:rPr>
          <w:rFonts w:hint="eastAsia"/>
          <w:sz w:val="24"/>
          <w:szCs w:val="24"/>
          <w:lang w:val="zh-CN"/>
        </w:rPr>
        <w:t>）</w:t>
      </w:r>
      <w:r w:rsidRPr="001D0A0E">
        <w:rPr>
          <w:rFonts w:hint="eastAsia"/>
          <w:sz w:val="24"/>
          <w:szCs w:val="24"/>
          <w:lang w:val="zh-CN"/>
        </w:rPr>
        <w:t>。</w:t>
      </w:r>
      <w:r w:rsidRPr="00D32234">
        <w:rPr>
          <w:sz w:val="24"/>
          <w:szCs w:val="24"/>
          <w:lang w:val="zh-CN"/>
        </w:rPr>
        <w:t xml:space="preserve"> </w:t>
      </w:r>
    </w:p>
    <w:p w14:paraId="066C575E" w14:textId="77777777"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分析分三个步骤进行：</w:t>
      </w:r>
    </w:p>
    <w:p w14:paraId="05606E38" w14:textId="77777777" w:rsidR="006B4506" w:rsidRPr="001D0A0E" w:rsidRDefault="006B4506" w:rsidP="00A24895">
      <w:pPr>
        <w:pStyle w:val="CBDNormalNumber"/>
        <w:numPr>
          <w:ilvl w:val="1"/>
          <w:numId w:val="12"/>
        </w:numPr>
        <w:rPr>
          <w:sz w:val="24"/>
          <w:szCs w:val="24"/>
        </w:rPr>
      </w:pPr>
      <w:r w:rsidRPr="001D0A0E">
        <w:rPr>
          <w:rFonts w:hint="eastAsia"/>
          <w:sz w:val="24"/>
          <w:szCs w:val="24"/>
          <w:lang w:val="zh-CN"/>
        </w:rPr>
        <w:t>步骤一</w:t>
      </w:r>
      <w:r w:rsidRPr="001D0A0E">
        <w:rPr>
          <w:rFonts w:hint="eastAsia"/>
          <w:sz w:val="24"/>
          <w:szCs w:val="24"/>
        </w:rPr>
        <w:t>：</w:t>
      </w:r>
      <w:r w:rsidRPr="001D0A0E">
        <w:rPr>
          <w:rFonts w:hint="eastAsia"/>
          <w:sz w:val="24"/>
          <w:szCs w:val="24"/>
          <w:lang w:val="zh-CN"/>
        </w:rPr>
        <w:t>将工作领域分为两类</w:t>
      </w:r>
      <w:r w:rsidRPr="001D0A0E">
        <w:rPr>
          <w:rFonts w:hint="eastAsia"/>
          <w:sz w:val="24"/>
          <w:szCs w:val="24"/>
        </w:rPr>
        <w:t>：（</w:t>
      </w:r>
      <w:r w:rsidRPr="001D0A0E">
        <w:rPr>
          <w:rFonts w:hint="eastAsia"/>
          <w:sz w:val="24"/>
          <w:szCs w:val="24"/>
          <w:lang w:val="zh-CN"/>
        </w:rPr>
        <w:t>一</w:t>
      </w:r>
      <w:r w:rsidRPr="001D0A0E">
        <w:rPr>
          <w:rFonts w:hint="eastAsia"/>
          <w:sz w:val="24"/>
          <w:szCs w:val="24"/>
        </w:rPr>
        <w:t>）</w:t>
      </w:r>
      <w:r w:rsidRPr="001D0A0E">
        <w:rPr>
          <w:rFonts w:hint="eastAsia"/>
          <w:sz w:val="24"/>
          <w:szCs w:val="24"/>
          <w:lang w:val="zh-CN"/>
        </w:rPr>
        <w:t>缔约方大会正式设立的八个正式工作方案</w:t>
      </w:r>
      <w:r w:rsidRPr="001D0A0E">
        <w:rPr>
          <w:rFonts w:hint="eastAsia"/>
          <w:sz w:val="24"/>
          <w:szCs w:val="24"/>
        </w:rPr>
        <w:t>；（</w:t>
      </w:r>
      <w:r w:rsidRPr="001D0A0E">
        <w:rPr>
          <w:rFonts w:hint="eastAsia"/>
          <w:sz w:val="24"/>
          <w:szCs w:val="24"/>
          <w:lang w:val="zh-CN"/>
        </w:rPr>
        <w:t>二</w:t>
      </w:r>
      <w:r w:rsidRPr="001D0A0E">
        <w:rPr>
          <w:rFonts w:hint="eastAsia"/>
          <w:sz w:val="24"/>
          <w:szCs w:val="24"/>
        </w:rPr>
        <w:t>）</w:t>
      </w:r>
      <w:r w:rsidRPr="001D0A0E">
        <w:rPr>
          <w:rFonts w:hint="eastAsia"/>
          <w:sz w:val="24"/>
          <w:szCs w:val="24"/>
          <w:lang w:val="zh-CN"/>
        </w:rPr>
        <w:t>其他工作领域</w:t>
      </w:r>
      <w:r w:rsidRPr="001D0A0E">
        <w:rPr>
          <w:rFonts w:hint="eastAsia"/>
          <w:sz w:val="24"/>
          <w:szCs w:val="24"/>
        </w:rPr>
        <w:t>；</w:t>
      </w:r>
    </w:p>
    <w:p w14:paraId="5F710F3E" w14:textId="392D490C" w:rsidR="006B4506" w:rsidRPr="001D0A0E" w:rsidRDefault="006B4506" w:rsidP="00A24895">
      <w:pPr>
        <w:pStyle w:val="CBDNormalNumber"/>
        <w:numPr>
          <w:ilvl w:val="1"/>
          <w:numId w:val="12"/>
        </w:numPr>
        <w:rPr>
          <w:sz w:val="24"/>
          <w:szCs w:val="24"/>
        </w:rPr>
      </w:pPr>
      <w:r w:rsidRPr="001D0A0E">
        <w:rPr>
          <w:rFonts w:hint="eastAsia"/>
          <w:sz w:val="24"/>
          <w:szCs w:val="24"/>
          <w:lang w:val="zh-CN"/>
        </w:rPr>
        <w:t>步骤二</w:t>
      </w:r>
      <w:r w:rsidRPr="001D0A0E">
        <w:rPr>
          <w:rFonts w:hint="eastAsia"/>
          <w:sz w:val="24"/>
          <w:szCs w:val="24"/>
        </w:rPr>
        <w:t>：</w:t>
      </w:r>
      <w:r w:rsidRPr="001D0A0E">
        <w:rPr>
          <w:rFonts w:hint="eastAsia"/>
          <w:sz w:val="24"/>
          <w:szCs w:val="24"/>
          <w:lang w:val="zh-CN"/>
        </w:rPr>
        <w:t>汇编与每一工作领域相关的信息</w:t>
      </w:r>
      <w:r w:rsidRPr="001D0A0E">
        <w:rPr>
          <w:rFonts w:hint="eastAsia"/>
          <w:sz w:val="24"/>
          <w:szCs w:val="24"/>
        </w:rPr>
        <w:t>，</w:t>
      </w:r>
      <w:r w:rsidRPr="001D0A0E">
        <w:rPr>
          <w:rFonts w:hint="eastAsia"/>
          <w:sz w:val="24"/>
          <w:szCs w:val="24"/>
          <w:lang w:val="zh-CN"/>
        </w:rPr>
        <w:t>即缔约方大会的关键决定、秘书处对各工作领域的支持、各工作领域涉及的外部合作伙伴和进程、《公约》在工作领域继续发挥领导作用的必要性以及根据</w:t>
      </w:r>
      <w:r w:rsidR="00575276">
        <w:rPr>
          <w:rFonts w:hint="eastAsia"/>
          <w:sz w:val="24"/>
          <w:szCs w:val="24"/>
          <w:lang w:val="zh-CN"/>
        </w:rPr>
        <w:t>《昆蒙框架》</w:t>
      </w:r>
      <w:r w:rsidRPr="001D0A0E">
        <w:rPr>
          <w:rFonts w:hint="eastAsia"/>
          <w:sz w:val="24"/>
          <w:szCs w:val="24"/>
          <w:lang w:val="zh-CN"/>
        </w:rPr>
        <w:t>要素进行的相关性评估</w:t>
      </w:r>
      <w:r w:rsidRPr="001D0A0E">
        <w:rPr>
          <w:rFonts w:hint="eastAsia"/>
          <w:sz w:val="24"/>
          <w:szCs w:val="24"/>
        </w:rPr>
        <w:t>；</w:t>
      </w:r>
    </w:p>
    <w:p w14:paraId="0F62A082" w14:textId="4AE4754B" w:rsidR="006B4506" w:rsidRPr="001D0A0E" w:rsidRDefault="006B4506" w:rsidP="00A24895">
      <w:pPr>
        <w:pStyle w:val="CBDNormalNumber"/>
        <w:numPr>
          <w:ilvl w:val="1"/>
          <w:numId w:val="12"/>
        </w:numPr>
        <w:rPr>
          <w:sz w:val="24"/>
          <w:szCs w:val="24"/>
        </w:rPr>
      </w:pPr>
      <w:r w:rsidRPr="001D0A0E">
        <w:rPr>
          <w:rFonts w:hint="eastAsia"/>
          <w:sz w:val="24"/>
          <w:szCs w:val="24"/>
          <w:lang w:val="zh-CN"/>
        </w:rPr>
        <w:t>步骤三</w:t>
      </w:r>
      <w:r w:rsidRPr="001D0A0E">
        <w:rPr>
          <w:rFonts w:hint="eastAsia"/>
          <w:sz w:val="24"/>
          <w:szCs w:val="24"/>
        </w:rPr>
        <w:t>：</w:t>
      </w:r>
      <w:r w:rsidRPr="001D0A0E">
        <w:rPr>
          <w:rFonts w:hint="eastAsia"/>
          <w:sz w:val="24"/>
          <w:szCs w:val="24"/>
          <w:lang w:val="zh-CN"/>
        </w:rPr>
        <w:t>随后将工作领域分为三组</w:t>
      </w:r>
      <w:r w:rsidRPr="001D0A0E">
        <w:rPr>
          <w:rFonts w:hint="eastAsia"/>
          <w:sz w:val="24"/>
          <w:szCs w:val="24"/>
        </w:rPr>
        <w:t>，</w:t>
      </w:r>
      <w:r w:rsidRPr="001D0A0E">
        <w:rPr>
          <w:rFonts w:hint="eastAsia"/>
          <w:sz w:val="24"/>
          <w:szCs w:val="24"/>
          <w:lang w:val="zh-CN"/>
        </w:rPr>
        <w:t>它们不代表任何特定的层级。</w:t>
      </w:r>
      <w:r w:rsidRPr="001D0A0E">
        <w:rPr>
          <w:sz w:val="24"/>
          <w:szCs w:val="24"/>
          <w:lang w:val="zh-CN"/>
        </w:rPr>
        <w:t>A</w:t>
      </w:r>
      <w:r w:rsidRPr="001D0A0E">
        <w:rPr>
          <w:rFonts w:hint="eastAsia"/>
          <w:sz w:val="24"/>
          <w:szCs w:val="24"/>
          <w:lang w:val="zh-CN"/>
        </w:rPr>
        <w:t>组涵盖各工作领域，包括基于生物群落的工作方案和跨部门领域，这些领域全面促进了</w:t>
      </w:r>
      <w:r w:rsidR="00575276">
        <w:rPr>
          <w:rFonts w:hint="eastAsia"/>
          <w:sz w:val="24"/>
          <w:szCs w:val="24"/>
          <w:lang w:val="zh-CN"/>
        </w:rPr>
        <w:t>《昆蒙框架》</w:t>
      </w:r>
      <w:r w:rsidRPr="001D0A0E">
        <w:rPr>
          <w:rFonts w:hint="eastAsia"/>
          <w:sz w:val="24"/>
          <w:szCs w:val="24"/>
          <w:lang w:val="zh-CN"/>
        </w:rPr>
        <w:t>的实施，并应接受缔约方大会或其附属机构的定期审查。</w:t>
      </w:r>
      <w:r w:rsidRPr="001D0A0E">
        <w:rPr>
          <w:sz w:val="24"/>
          <w:szCs w:val="24"/>
          <w:lang w:val="zh-CN"/>
        </w:rPr>
        <w:t>B</w:t>
      </w:r>
      <w:r w:rsidRPr="001D0A0E">
        <w:rPr>
          <w:rFonts w:hint="eastAsia"/>
          <w:sz w:val="24"/>
          <w:szCs w:val="24"/>
          <w:lang w:val="zh-CN"/>
        </w:rPr>
        <w:t>组涵盖的工作领域与</w:t>
      </w:r>
      <w:r w:rsidR="00575276">
        <w:rPr>
          <w:rFonts w:hint="eastAsia"/>
          <w:sz w:val="24"/>
          <w:szCs w:val="24"/>
          <w:lang w:val="zh-CN"/>
        </w:rPr>
        <w:t>《昆蒙框架》</w:t>
      </w:r>
      <w:r w:rsidRPr="001D0A0E">
        <w:rPr>
          <w:rFonts w:hint="eastAsia"/>
          <w:sz w:val="24"/>
          <w:szCs w:val="24"/>
          <w:lang w:val="zh-CN"/>
        </w:rPr>
        <w:t>的一个或多个要素相关，并可能受益于与其他工作领域的整合。最后，</w:t>
      </w:r>
      <w:r w:rsidRPr="001D0A0E">
        <w:rPr>
          <w:sz w:val="24"/>
          <w:szCs w:val="24"/>
          <w:lang w:val="zh-CN"/>
        </w:rPr>
        <w:t>C</w:t>
      </w:r>
      <w:r w:rsidRPr="001D0A0E">
        <w:rPr>
          <w:rFonts w:hint="eastAsia"/>
          <w:sz w:val="24"/>
          <w:szCs w:val="24"/>
          <w:lang w:val="zh-CN"/>
        </w:rPr>
        <w:t>组涵盖的工作领域已通过缔约方或其他多边协定或进程的实施得到充分处理。</w:t>
      </w:r>
    </w:p>
    <w:p w14:paraId="55B44CAE" w14:textId="77777777" w:rsidR="006B4506" w:rsidRPr="00D32234" w:rsidRDefault="006B4506">
      <w:pPr>
        <w:pStyle w:val="CBDH1"/>
        <w:rPr>
          <w:szCs w:val="28"/>
        </w:rPr>
      </w:pPr>
      <w:r w:rsidRPr="00D32234">
        <w:rPr>
          <w:rFonts w:hint="eastAsia"/>
          <w:szCs w:val="28"/>
          <w:lang w:val="zh-CN"/>
        </w:rPr>
        <w:t>三</w:t>
      </w:r>
      <w:r w:rsidRPr="00D32234">
        <w:rPr>
          <w:szCs w:val="28"/>
          <w:lang w:val="zh-CN"/>
        </w:rPr>
        <w:t>.</w:t>
      </w:r>
      <w:r w:rsidRPr="00D32234">
        <w:rPr>
          <w:szCs w:val="28"/>
        </w:rPr>
        <w:tab/>
      </w:r>
      <w:r w:rsidRPr="00D32234">
        <w:rPr>
          <w:rFonts w:hint="eastAsia"/>
          <w:szCs w:val="28"/>
          <w:lang w:val="zh-CN"/>
        </w:rPr>
        <w:t>结果</w:t>
      </w:r>
    </w:p>
    <w:p w14:paraId="00EE848F"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战略审查和分析报告的作者发现</w:t>
      </w:r>
      <w:r w:rsidRPr="001D0A0E">
        <w:rPr>
          <w:rFonts w:hint="eastAsia"/>
          <w:sz w:val="24"/>
          <w:szCs w:val="24"/>
        </w:rPr>
        <w:t>，</w:t>
      </w:r>
      <w:r w:rsidRPr="001D0A0E">
        <w:rPr>
          <w:rFonts w:hint="eastAsia"/>
          <w:sz w:val="24"/>
          <w:szCs w:val="24"/>
          <w:lang w:val="zh-CN"/>
        </w:rPr>
        <w:t>工作领域可分为三大类</w:t>
      </w:r>
      <w:r w:rsidRPr="001D0A0E">
        <w:rPr>
          <w:rFonts w:hint="eastAsia"/>
          <w:sz w:val="24"/>
          <w:szCs w:val="24"/>
        </w:rPr>
        <w:t>，</w:t>
      </w:r>
      <w:r w:rsidRPr="001D0A0E">
        <w:rPr>
          <w:rFonts w:hint="eastAsia"/>
          <w:sz w:val="24"/>
          <w:szCs w:val="24"/>
          <w:lang w:val="zh-CN"/>
        </w:rPr>
        <w:t>具体依据如下</w:t>
      </w:r>
      <w:r w:rsidRPr="001D0A0E">
        <w:rPr>
          <w:rFonts w:hint="eastAsia"/>
          <w:sz w:val="24"/>
          <w:szCs w:val="24"/>
        </w:rPr>
        <w:t>：</w:t>
      </w:r>
    </w:p>
    <w:p w14:paraId="59601127" w14:textId="476EA783" w:rsidR="006B4506" w:rsidRPr="001D0A0E" w:rsidRDefault="006B4506" w:rsidP="00A24895">
      <w:pPr>
        <w:pStyle w:val="CBDNormalNumber"/>
        <w:numPr>
          <w:ilvl w:val="1"/>
          <w:numId w:val="12"/>
        </w:numPr>
        <w:rPr>
          <w:sz w:val="24"/>
          <w:szCs w:val="24"/>
        </w:rPr>
      </w:pPr>
      <w:r w:rsidRPr="001D0A0E">
        <w:rPr>
          <w:rFonts w:hint="eastAsia"/>
          <w:sz w:val="24"/>
          <w:szCs w:val="24"/>
          <w:lang w:val="zh-CN"/>
        </w:rPr>
        <w:lastRenderedPageBreak/>
        <w:t>若干工作领域</w:t>
      </w:r>
      <w:r w:rsidRPr="001D0A0E">
        <w:rPr>
          <w:rStyle w:val="FootnoteReference"/>
          <w:sz w:val="24"/>
          <w:szCs w:val="24"/>
          <w:lang w:val="zh-CN"/>
        </w:rPr>
        <w:footnoteReference w:id="6"/>
      </w:r>
      <w:r w:rsidRPr="001D0A0E">
        <w:rPr>
          <w:rFonts w:hint="eastAsia"/>
          <w:sz w:val="24"/>
          <w:szCs w:val="24"/>
          <w:lang w:val="zh-CN"/>
        </w:rPr>
        <w:t>全面促进了《公约》和</w:t>
      </w:r>
      <w:r w:rsidR="00575276">
        <w:rPr>
          <w:rFonts w:hint="eastAsia"/>
          <w:sz w:val="24"/>
          <w:szCs w:val="24"/>
          <w:lang w:val="zh-CN"/>
        </w:rPr>
        <w:t>《昆蒙框架》</w:t>
      </w:r>
      <w:r w:rsidRPr="001D0A0E">
        <w:rPr>
          <w:rFonts w:hint="eastAsia"/>
          <w:sz w:val="24"/>
          <w:szCs w:val="24"/>
          <w:lang w:val="zh-CN"/>
        </w:rPr>
        <w:t>的实施。这些工作领域应保持其现有形式；</w:t>
      </w:r>
    </w:p>
    <w:p w14:paraId="557EEFA4" w14:textId="1BD69807" w:rsidR="006B4506" w:rsidRPr="001D0A0E" w:rsidRDefault="006B4506" w:rsidP="00A24895">
      <w:pPr>
        <w:pStyle w:val="CBDNormalNumber"/>
        <w:numPr>
          <w:ilvl w:val="1"/>
          <w:numId w:val="12"/>
        </w:numPr>
        <w:rPr>
          <w:sz w:val="24"/>
          <w:szCs w:val="24"/>
        </w:rPr>
      </w:pPr>
      <w:r w:rsidRPr="001D0A0E">
        <w:rPr>
          <w:rFonts w:hint="eastAsia"/>
          <w:sz w:val="24"/>
          <w:szCs w:val="24"/>
          <w:lang w:val="zh-CN"/>
        </w:rPr>
        <w:t>一些工作领域</w:t>
      </w:r>
      <w:r w:rsidRPr="001D0A0E">
        <w:rPr>
          <w:rStyle w:val="FootnoteReference"/>
          <w:sz w:val="24"/>
          <w:szCs w:val="24"/>
          <w:lang w:val="zh-CN"/>
        </w:rPr>
        <w:footnoteReference w:id="7"/>
      </w:r>
      <w:r w:rsidRPr="001D0A0E">
        <w:rPr>
          <w:rFonts w:hint="eastAsia"/>
          <w:sz w:val="24"/>
          <w:szCs w:val="24"/>
          <w:lang w:val="zh-CN"/>
        </w:rPr>
        <w:t>对</w:t>
      </w:r>
      <w:r w:rsidR="00575276">
        <w:rPr>
          <w:rFonts w:hint="eastAsia"/>
          <w:sz w:val="24"/>
          <w:szCs w:val="24"/>
          <w:lang w:val="zh-CN"/>
        </w:rPr>
        <w:t>《昆蒙框架》</w:t>
      </w:r>
      <w:r w:rsidRPr="001D0A0E">
        <w:rPr>
          <w:rFonts w:hint="eastAsia"/>
          <w:sz w:val="24"/>
          <w:szCs w:val="24"/>
          <w:lang w:val="zh-CN"/>
        </w:rPr>
        <w:t>的实施做出了不同程度的贡献</w:t>
      </w:r>
      <w:r w:rsidRPr="001D0A0E">
        <w:rPr>
          <w:rFonts w:hint="eastAsia"/>
          <w:sz w:val="24"/>
          <w:szCs w:val="24"/>
        </w:rPr>
        <w:t>，</w:t>
      </w:r>
      <w:r w:rsidRPr="001D0A0E">
        <w:rPr>
          <w:rFonts w:hint="eastAsia"/>
          <w:sz w:val="24"/>
          <w:szCs w:val="24"/>
          <w:lang w:val="zh-CN"/>
        </w:rPr>
        <w:t>其与</w:t>
      </w:r>
      <w:r w:rsidR="00575276">
        <w:rPr>
          <w:rFonts w:hint="eastAsia"/>
          <w:sz w:val="24"/>
          <w:szCs w:val="24"/>
          <w:lang w:val="zh-CN"/>
        </w:rPr>
        <w:t>《昆蒙框架》</w:t>
      </w:r>
      <w:r w:rsidRPr="001D0A0E">
        <w:rPr>
          <w:rFonts w:hint="eastAsia"/>
          <w:sz w:val="24"/>
          <w:szCs w:val="24"/>
          <w:lang w:val="zh-CN"/>
        </w:rPr>
        <w:t>的一致性可以得到加强</w:t>
      </w:r>
      <w:r w:rsidRPr="001D0A0E">
        <w:rPr>
          <w:rFonts w:hint="eastAsia"/>
          <w:sz w:val="24"/>
          <w:szCs w:val="24"/>
        </w:rPr>
        <w:t>；</w:t>
      </w:r>
      <w:r w:rsidRPr="001D0A0E">
        <w:rPr>
          <w:rFonts w:hint="eastAsia"/>
          <w:sz w:val="24"/>
          <w:szCs w:val="24"/>
          <w:lang w:val="zh-CN"/>
        </w:rPr>
        <w:t>其中许多领域可能受益于与其他相关工作领域的整合</w:t>
      </w:r>
      <w:r w:rsidRPr="001D0A0E">
        <w:rPr>
          <w:rFonts w:hint="eastAsia"/>
          <w:sz w:val="24"/>
          <w:szCs w:val="24"/>
        </w:rPr>
        <w:t>；</w:t>
      </w:r>
    </w:p>
    <w:p w14:paraId="01BC5028" w14:textId="77777777" w:rsidR="006B4506" w:rsidRPr="00082989" w:rsidRDefault="006B4506" w:rsidP="00D32234">
      <w:pPr>
        <w:pStyle w:val="CBDNormalNumber"/>
        <w:numPr>
          <w:ilvl w:val="1"/>
          <w:numId w:val="12"/>
        </w:numPr>
        <w:rPr>
          <w:sz w:val="24"/>
          <w:szCs w:val="24"/>
          <w:lang w:val="zh-CN"/>
        </w:rPr>
      </w:pPr>
      <w:r w:rsidRPr="00082989">
        <w:rPr>
          <w:rFonts w:hint="eastAsia"/>
          <w:sz w:val="24"/>
          <w:szCs w:val="24"/>
          <w:lang w:val="zh-CN"/>
        </w:rPr>
        <w:t>另一组工作领域</w:t>
      </w:r>
      <w:r w:rsidRPr="00082989">
        <w:rPr>
          <w:rStyle w:val="FootnoteReference"/>
          <w:sz w:val="24"/>
          <w:szCs w:val="24"/>
          <w:lang w:val="zh-CN"/>
        </w:rPr>
        <w:footnoteReference w:id="8"/>
      </w:r>
      <w:r w:rsidRPr="00082989">
        <w:rPr>
          <w:rFonts w:hint="eastAsia"/>
          <w:sz w:val="24"/>
          <w:szCs w:val="24"/>
          <w:lang w:val="zh-CN"/>
        </w:rPr>
        <w:t>可能为提高缔约方大会的工作效率提供机会</w:t>
      </w:r>
      <w:r w:rsidRPr="00082989">
        <w:rPr>
          <w:rFonts w:hint="eastAsia"/>
          <w:sz w:val="24"/>
          <w:szCs w:val="24"/>
        </w:rPr>
        <w:t>，</w:t>
      </w:r>
      <w:r w:rsidRPr="00082989">
        <w:rPr>
          <w:rFonts w:hint="eastAsia"/>
          <w:sz w:val="24"/>
          <w:szCs w:val="24"/>
          <w:lang w:val="zh-CN"/>
        </w:rPr>
        <w:t>具体做法是限制缔约方大会和秘书处对这些领域的持续投资</w:t>
      </w:r>
      <w:r w:rsidRPr="00082989">
        <w:rPr>
          <w:rFonts w:hint="eastAsia"/>
          <w:sz w:val="24"/>
          <w:szCs w:val="24"/>
        </w:rPr>
        <w:t>，</w:t>
      </w:r>
      <w:r w:rsidRPr="00082989">
        <w:rPr>
          <w:rFonts w:hint="eastAsia"/>
          <w:sz w:val="24"/>
          <w:szCs w:val="24"/>
          <w:lang w:val="zh-CN"/>
        </w:rPr>
        <w:t>并由伙伴组织和缔约方牵头落实这些领域的工作。</w:t>
      </w:r>
    </w:p>
    <w:p w14:paraId="305BBF63" w14:textId="31A71164"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082989">
        <w:rPr>
          <w:rFonts w:hint="eastAsia"/>
          <w:sz w:val="24"/>
          <w:szCs w:val="24"/>
          <w:lang w:val="zh-CN"/>
        </w:rPr>
        <w:t>审查与分析草案已于</w:t>
      </w:r>
      <w:smartTag w:uri="urn:schemas-microsoft-com:office:smarttags" w:element="chsdate">
        <w:smartTagPr>
          <w:attr w:name="IsROCDate" w:val="False"/>
          <w:attr w:name="IsLunarDate" w:val="False"/>
          <w:attr w:name="Day" w:val="5"/>
          <w:attr w:name="Month" w:val="6"/>
          <w:attr w:name="Year" w:val="2025"/>
        </w:smartTagPr>
        <w:r w:rsidRPr="00082989">
          <w:rPr>
            <w:sz w:val="24"/>
            <w:szCs w:val="24"/>
            <w:lang w:val="zh-CN"/>
          </w:rPr>
          <w:t>2025</w:t>
        </w:r>
        <w:r w:rsidRPr="00082989">
          <w:rPr>
            <w:rFonts w:hint="eastAsia"/>
            <w:sz w:val="24"/>
            <w:szCs w:val="24"/>
            <w:lang w:val="zh-CN"/>
          </w:rPr>
          <w:t>年</w:t>
        </w:r>
        <w:r w:rsidRPr="00082989">
          <w:rPr>
            <w:sz w:val="24"/>
            <w:szCs w:val="24"/>
            <w:lang w:val="zh-CN"/>
          </w:rPr>
          <w:t>6</w:t>
        </w:r>
        <w:r w:rsidRPr="00082989">
          <w:rPr>
            <w:rFonts w:hint="eastAsia"/>
            <w:sz w:val="24"/>
            <w:szCs w:val="24"/>
            <w:lang w:val="zh-CN"/>
          </w:rPr>
          <w:t>月</w:t>
        </w:r>
        <w:r w:rsidRPr="00082989">
          <w:rPr>
            <w:sz w:val="24"/>
            <w:szCs w:val="24"/>
            <w:lang w:val="zh-CN"/>
          </w:rPr>
          <w:t>5</w:t>
        </w:r>
        <w:r w:rsidRPr="00082989">
          <w:rPr>
            <w:rFonts w:hint="eastAsia"/>
            <w:sz w:val="24"/>
            <w:szCs w:val="24"/>
            <w:lang w:val="zh-CN"/>
          </w:rPr>
          <w:t>日</w:t>
        </w:r>
      </w:smartTag>
      <w:r w:rsidRPr="00082989">
        <w:rPr>
          <w:rFonts w:hint="eastAsia"/>
          <w:sz w:val="24"/>
          <w:szCs w:val="24"/>
          <w:lang w:val="zh-CN"/>
        </w:rPr>
        <w:t>通过第</w:t>
      </w:r>
      <w:r w:rsidR="00082989" w:rsidRPr="00082989">
        <w:rPr>
          <w:sz w:val="24"/>
          <w:szCs w:val="24"/>
        </w:rPr>
        <w:t> </w:t>
      </w:r>
      <w:hyperlink r:id="rId24" w:history="1">
        <w:r w:rsidR="00082989" w:rsidRPr="00082989">
          <w:rPr>
            <w:rStyle w:val="Hyperlink"/>
            <w:sz w:val="24"/>
            <w:szCs w:val="24"/>
          </w:rPr>
          <w:t>2025-078</w:t>
        </w:r>
      </w:hyperlink>
      <w:proofErr w:type="gramStart"/>
      <w:r w:rsidRPr="00082989">
        <w:rPr>
          <w:rFonts w:hint="eastAsia"/>
          <w:sz w:val="24"/>
          <w:szCs w:val="24"/>
          <w:lang w:val="zh-CN"/>
        </w:rPr>
        <w:t>号通知</w:t>
      </w:r>
      <w:proofErr w:type="gramEnd"/>
      <w:r w:rsidRPr="00082989">
        <w:rPr>
          <w:rFonts w:hint="eastAsia"/>
          <w:sz w:val="24"/>
          <w:szCs w:val="24"/>
          <w:lang w:val="zh-CN"/>
        </w:rPr>
        <w:t>提交缔约方、其他国家政府、土著人民和地方政府及相关组织审查，</w:t>
      </w:r>
      <w:r w:rsidRPr="00082989">
        <w:rPr>
          <w:sz w:val="24"/>
          <w:szCs w:val="24"/>
          <w:lang w:val="zh-CN"/>
        </w:rPr>
        <w:t>14</w:t>
      </w:r>
      <w:r w:rsidRPr="00082989">
        <w:rPr>
          <w:rFonts w:hint="eastAsia"/>
          <w:sz w:val="24"/>
          <w:szCs w:val="24"/>
          <w:lang w:val="zh-CN"/>
        </w:rPr>
        <w:t>个缔约方</w:t>
      </w:r>
      <w:r w:rsidRPr="00F35FED">
        <w:rPr>
          <w:sz w:val="24"/>
          <w:szCs w:val="24"/>
          <w:vertAlign w:val="superscript"/>
        </w:rPr>
        <w:footnoteReference w:id="9"/>
      </w:r>
      <w:r w:rsidRPr="00082989">
        <w:rPr>
          <w:rFonts w:hint="eastAsia"/>
          <w:sz w:val="24"/>
          <w:szCs w:val="24"/>
          <w:lang w:val="zh-CN"/>
        </w:rPr>
        <w:t>和</w:t>
      </w:r>
      <w:r w:rsidRPr="00082989">
        <w:rPr>
          <w:sz w:val="24"/>
          <w:szCs w:val="24"/>
          <w:lang w:val="zh-CN"/>
        </w:rPr>
        <w:t>13</w:t>
      </w:r>
      <w:r w:rsidRPr="00082989">
        <w:rPr>
          <w:rFonts w:hint="eastAsia"/>
          <w:sz w:val="24"/>
          <w:szCs w:val="24"/>
          <w:lang w:val="zh-CN"/>
        </w:rPr>
        <w:t>个组织在</w:t>
      </w:r>
      <w:smartTag w:uri="urn:schemas-microsoft-com:office:smarttags" w:element="chsdate">
        <w:smartTagPr>
          <w:attr w:name="IsROCDate" w:val="False"/>
          <w:attr w:name="IsLunarDate" w:val="False"/>
          <w:attr w:name="Day" w:val="30"/>
          <w:attr w:name="Month" w:val="6"/>
          <w:attr w:name="Year" w:val="2025"/>
        </w:smartTagPr>
        <w:r w:rsidRPr="00082989">
          <w:rPr>
            <w:sz w:val="24"/>
            <w:szCs w:val="24"/>
            <w:lang w:val="zh-CN"/>
          </w:rPr>
          <w:t>6</w:t>
        </w:r>
        <w:r w:rsidRPr="00082989">
          <w:rPr>
            <w:rFonts w:hint="eastAsia"/>
            <w:sz w:val="24"/>
            <w:szCs w:val="24"/>
            <w:lang w:val="zh-CN"/>
          </w:rPr>
          <w:t>月</w:t>
        </w:r>
        <w:r w:rsidRPr="00082989">
          <w:rPr>
            <w:sz w:val="24"/>
            <w:szCs w:val="24"/>
            <w:lang w:val="zh-CN"/>
          </w:rPr>
          <w:t>30</w:t>
        </w:r>
        <w:r w:rsidRPr="00082989">
          <w:rPr>
            <w:rFonts w:hint="eastAsia"/>
            <w:sz w:val="24"/>
            <w:szCs w:val="24"/>
            <w:lang w:val="zh-CN"/>
          </w:rPr>
          <w:t>日</w:t>
        </w:r>
      </w:smartTag>
      <w:r w:rsidRPr="00082989">
        <w:rPr>
          <w:rFonts w:hint="eastAsia"/>
          <w:sz w:val="24"/>
          <w:szCs w:val="24"/>
          <w:lang w:val="zh-CN"/>
        </w:rPr>
        <w:t>截止日期之前提交了评论意见。</w:t>
      </w:r>
      <w:r w:rsidRPr="00F35FED">
        <w:rPr>
          <w:sz w:val="24"/>
          <w:szCs w:val="24"/>
          <w:vertAlign w:val="superscript"/>
        </w:rPr>
        <w:footnoteReference w:id="10"/>
      </w:r>
    </w:p>
    <w:p w14:paraId="4AC9FCED"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收到的意见主要集中在战略审查与分析的目的、方法、结论和建议以及建议所涉的问题</w:t>
      </w:r>
      <w:r w:rsidRPr="001D0A0E">
        <w:rPr>
          <w:rFonts w:hint="eastAsia"/>
          <w:sz w:val="24"/>
          <w:szCs w:val="24"/>
        </w:rPr>
        <w:t>，</w:t>
      </w:r>
      <w:r w:rsidRPr="001D0A0E">
        <w:rPr>
          <w:rFonts w:hint="eastAsia"/>
          <w:sz w:val="24"/>
          <w:szCs w:val="24"/>
          <w:lang w:val="zh-CN"/>
        </w:rPr>
        <w:t>概述如下。</w:t>
      </w:r>
    </w:p>
    <w:p w14:paraId="41F8F746" w14:textId="77777777" w:rsidR="006B4506" w:rsidRPr="001D0A0E" w:rsidRDefault="006B4506">
      <w:pPr>
        <w:pStyle w:val="CBDH3"/>
        <w:rPr>
          <w:sz w:val="24"/>
          <w:szCs w:val="24"/>
        </w:rPr>
      </w:pPr>
      <w:r w:rsidRPr="001D0A0E">
        <w:rPr>
          <w:sz w:val="24"/>
          <w:szCs w:val="24"/>
        </w:rPr>
        <w:t>1.</w:t>
      </w:r>
      <w:r w:rsidRPr="001D0A0E">
        <w:rPr>
          <w:sz w:val="24"/>
          <w:szCs w:val="24"/>
        </w:rPr>
        <w:tab/>
      </w:r>
      <w:r w:rsidRPr="001D0A0E">
        <w:rPr>
          <w:rFonts w:hint="eastAsia"/>
          <w:sz w:val="24"/>
          <w:szCs w:val="24"/>
          <w:lang w:val="zh-CN"/>
        </w:rPr>
        <w:t>战略审查与分析的目的</w:t>
      </w:r>
    </w:p>
    <w:p w14:paraId="073316D8" w14:textId="2C9A99F8"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关于战略审查与分析的目的存在不同意见</w:t>
      </w:r>
      <w:r w:rsidRPr="001D0A0E">
        <w:rPr>
          <w:rFonts w:hint="eastAsia"/>
          <w:sz w:val="24"/>
          <w:szCs w:val="24"/>
        </w:rPr>
        <w:t>，</w:t>
      </w:r>
      <w:r w:rsidRPr="001D0A0E">
        <w:rPr>
          <w:rFonts w:hint="eastAsia"/>
          <w:sz w:val="24"/>
          <w:szCs w:val="24"/>
          <w:lang w:val="zh-CN"/>
        </w:rPr>
        <w:t>这影响了对审查与分析结果的评论和解读。一些提交者强调，审查和分析的目的是评估《公约》下的工作方案为支持</w:t>
      </w:r>
      <w:r w:rsidR="00575276">
        <w:rPr>
          <w:rFonts w:hint="eastAsia"/>
          <w:sz w:val="24"/>
          <w:szCs w:val="24"/>
          <w:lang w:val="zh-CN"/>
        </w:rPr>
        <w:t>《昆蒙框架》</w:t>
      </w:r>
      <w:r w:rsidRPr="001D0A0E">
        <w:rPr>
          <w:rFonts w:hint="eastAsia"/>
          <w:sz w:val="24"/>
          <w:szCs w:val="24"/>
          <w:lang w:val="zh-CN"/>
        </w:rPr>
        <w:t>的实施是否充分且必要。其他提交者则认可审查和分析草案中采取的方法（评估一致性、相关性、紧迫性和实施需求）。</w:t>
      </w:r>
    </w:p>
    <w:p w14:paraId="4E000AD9" w14:textId="77777777" w:rsidR="006B4506" w:rsidRPr="001D0A0E" w:rsidRDefault="006B4506">
      <w:pPr>
        <w:pStyle w:val="CBDH3"/>
        <w:rPr>
          <w:sz w:val="24"/>
          <w:szCs w:val="24"/>
        </w:rPr>
      </w:pPr>
      <w:r w:rsidRPr="001D0A0E">
        <w:rPr>
          <w:sz w:val="24"/>
          <w:szCs w:val="24"/>
        </w:rPr>
        <w:t>2.</w:t>
      </w:r>
      <w:r w:rsidRPr="001D0A0E">
        <w:rPr>
          <w:sz w:val="24"/>
          <w:szCs w:val="24"/>
        </w:rPr>
        <w:tab/>
      </w:r>
      <w:r w:rsidRPr="001D0A0E">
        <w:rPr>
          <w:rFonts w:hint="eastAsia"/>
          <w:sz w:val="24"/>
          <w:szCs w:val="24"/>
          <w:lang w:val="zh-CN"/>
        </w:rPr>
        <w:t>方法</w:t>
      </w:r>
    </w:p>
    <w:p w14:paraId="72AD1161"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许多提交者对审查和分析草案中采用的方法表示普遍支持</w:t>
      </w:r>
      <w:r w:rsidRPr="001D0A0E">
        <w:rPr>
          <w:rFonts w:hint="eastAsia"/>
          <w:sz w:val="24"/>
          <w:szCs w:val="24"/>
        </w:rPr>
        <w:t>，</w:t>
      </w:r>
      <w:r w:rsidRPr="001D0A0E">
        <w:rPr>
          <w:rFonts w:hint="eastAsia"/>
          <w:sz w:val="24"/>
          <w:szCs w:val="24"/>
          <w:lang w:val="zh-CN"/>
        </w:rPr>
        <w:t>但也有一些提交者对该方法的应用不一致表示担忧。一些提交者指出，将工作领域划分为三大类的理由往往既不明确，也与附件中的分析缺乏联系。有几个提交者认为审查不完整。</w:t>
      </w:r>
    </w:p>
    <w:p w14:paraId="74809B50" w14:textId="77777777" w:rsidR="006B4506" w:rsidRPr="001D0A0E" w:rsidRDefault="006B4506">
      <w:pPr>
        <w:pStyle w:val="CBDH3"/>
        <w:rPr>
          <w:sz w:val="24"/>
          <w:szCs w:val="24"/>
        </w:rPr>
      </w:pPr>
      <w:r w:rsidRPr="001D0A0E">
        <w:rPr>
          <w:sz w:val="24"/>
          <w:szCs w:val="24"/>
        </w:rPr>
        <w:t>3.</w:t>
      </w:r>
      <w:r w:rsidRPr="001D0A0E">
        <w:rPr>
          <w:sz w:val="24"/>
          <w:szCs w:val="24"/>
        </w:rPr>
        <w:tab/>
      </w:r>
      <w:r w:rsidRPr="001D0A0E">
        <w:rPr>
          <w:rFonts w:hint="eastAsia"/>
          <w:sz w:val="24"/>
          <w:szCs w:val="24"/>
          <w:lang w:val="zh-CN"/>
        </w:rPr>
        <w:t>结论和建议</w:t>
      </w:r>
    </w:p>
    <w:p w14:paraId="04D34D9E"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对于合并或整合多个工作方案的各种提案有不同意见</w:t>
      </w:r>
      <w:r w:rsidRPr="001D0A0E">
        <w:rPr>
          <w:rFonts w:hint="eastAsia"/>
          <w:sz w:val="24"/>
          <w:szCs w:val="24"/>
        </w:rPr>
        <w:t>，</w:t>
      </w:r>
      <w:r w:rsidRPr="001D0A0E">
        <w:rPr>
          <w:rFonts w:hint="eastAsia"/>
          <w:sz w:val="24"/>
          <w:szCs w:val="24"/>
          <w:lang w:val="zh-CN"/>
        </w:rPr>
        <w:t>例如</w:t>
      </w:r>
      <w:r w:rsidRPr="001D0A0E">
        <w:rPr>
          <w:rFonts w:hint="eastAsia"/>
          <w:sz w:val="24"/>
          <w:szCs w:val="24"/>
        </w:rPr>
        <w:t>，</w:t>
      </w:r>
      <w:r w:rsidRPr="001D0A0E">
        <w:rPr>
          <w:rFonts w:hint="eastAsia"/>
          <w:sz w:val="24"/>
          <w:szCs w:val="24"/>
          <w:lang w:val="zh-CN"/>
        </w:rPr>
        <w:t>将保护区工作方案与恢复和土地利用规划工作方案合并</w:t>
      </w:r>
      <w:r w:rsidRPr="001D0A0E">
        <w:rPr>
          <w:rFonts w:hint="eastAsia"/>
          <w:sz w:val="24"/>
          <w:szCs w:val="24"/>
        </w:rPr>
        <w:t>，</w:t>
      </w:r>
      <w:r w:rsidRPr="001D0A0E">
        <w:rPr>
          <w:rFonts w:hint="eastAsia"/>
          <w:sz w:val="24"/>
          <w:szCs w:val="24"/>
          <w:lang w:val="zh-CN"/>
        </w:rPr>
        <w:t>纳入一个地区保护的总体方案</w:t>
      </w:r>
      <w:r w:rsidRPr="001D0A0E">
        <w:rPr>
          <w:rFonts w:hint="eastAsia"/>
          <w:sz w:val="24"/>
          <w:szCs w:val="24"/>
        </w:rPr>
        <w:t>，</w:t>
      </w:r>
      <w:r w:rsidRPr="001D0A0E">
        <w:rPr>
          <w:rFonts w:hint="eastAsia"/>
          <w:sz w:val="24"/>
          <w:szCs w:val="24"/>
          <w:lang w:val="zh-CN"/>
        </w:rPr>
        <w:t>或将企业参与与主流化相结合。一些提案未获支持，包括将生物多样性的可持续利用纳入可</w:t>
      </w:r>
      <w:r w:rsidRPr="001D0A0E">
        <w:rPr>
          <w:rFonts w:hint="eastAsia"/>
          <w:sz w:val="24"/>
          <w:szCs w:val="24"/>
          <w:lang w:val="zh-CN"/>
        </w:rPr>
        <w:lastRenderedPageBreak/>
        <w:t>持续野生生物管理、将获取和惠益分享与遗传资源数字序列信息相结合、将全球植物保护战略纳入农业生物多样性以及将山区生物多样性方案的某些要素与气候变化和生物多样性相结合。</w:t>
      </w:r>
      <w:r w:rsidRPr="001D0A0E">
        <w:rPr>
          <w:sz w:val="24"/>
          <w:szCs w:val="24"/>
        </w:rPr>
        <w:t xml:space="preserve"> </w:t>
      </w:r>
    </w:p>
    <w:p w14:paraId="39555C1F" w14:textId="77777777" w:rsidR="006B4506" w:rsidRPr="001D0A0E" w:rsidRDefault="006B4506">
      <w:pPr>
        <w:pStyle w:val="CBDH3"/>
        <w:rPr>
          <w:sz w:val="24"/>
          <w:szCs w:val="24"/>
        </w:rPr>
      </w:pPr>
      <w:r w:rsidRPr="001D0A0E">
        <w:rPr>
          <w:sz w:val="24"/>
          <w:szCs w:val="24"/>
        </w:rPr>
        <w:t>4.</w:t>
      </w:r>
      <w:r w:rsidRPr="001D0A0E">
        <w:rPr>
          <w:sz w:val="24"/>
          <w:szCs w:val="24"/>
        </w:rPr>
        <w:tab/>
      </w:r>
      <w:r w:rsidRPr="001D0A0E">
        <w:rPr>
          <w:rFonts w:hint="eastAsia"/>
          <w:sz w:val="24"/>
          <w:szCs w:val="24"/>
          <w:lang w:val="zh-CN"/>
        </w:rPr>
        <w:t>建议所涉的问题</w:t>
      </w:r>
    </w:p>
    <w:p w14:paraId="1ABBF42B" w14:textId="38B49408"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一些提交者指出</w:t>
      </w:r>
      <w:r w:rsidRPr="001D0A0E">
        <w:rPr>
          <w:rFonts w:hint="eastAsia"/>
          <w:sz w:val="24"/>
          <w:szCs w:val="24"/>
        </w:rPr>
        <w:t>，</w:t>
      </w:r>
      <w:r w:rsidRPr="001D0A0E">
        <w:rPr>
          <w:rFonts w:hint="eastAsia"/>
          <w:sz w:val="24"/>
          <w:szCs w:val="24"/>
          <w:lang w:val="zh-CN"/>
        </w:rPr>
        <w:t>审查与分析草案并未详细说明这些建议所涉的问题</w:t>
      </w:r>
      <w:r w:rsidRPr="001D0A0E">
        <w:rPr>
          <w:rFonts w:hint="eastAsia"/>
          <w:sz w:val="24"/>
          <w:szCs w:val="24"/>
        </w:rPr>
        <w:t>，</w:t>
      </w:r>
      <w:r w:rsidRPr="001D0A0E">
        <w:rPr>
          <w:rFonts w:hint="eastAsia"/>
          <w:sz w:val="24"/>
          <w:szCs w:val="24"/>
          <w:lang w:val="zh-CN"/>
        </w:rPr>
        <w:t>例如</w:t>
      </w:r>
      <w:r w:rsidRPr="001D0A0E">
        <w:rPr>
          <w:rFonts w:hint="eastAsia"/>
          <w:sz w:val="24"/>
          <w:szCs w:val="24"/>
        </w:rPr>
        <w:t>，</w:t>
      </w:r>
      <w:r w:rsidRPr="001D0A0E">
        <w:rPr>
          <w:rFonts w:hint="eastAsia"/>
          <w:sz w:val="24"/>
          <w:szCs w:val="24"/>
          <w:lang w:val="zh-CN"/>
        </w:rPr>
        <w:t>这些建议将如何促进</w:t>
      </w:r>
      <w:r w:rsidR="00575276">
        <w:rPr>
          <w:rFonts w:hint="eastAsia"/>
          <w:sz w:val="24"/>
          <w:szCs w:val="24"/>
          <w:lang w:val="zh-CN"/>
        </w:rPr>
        <w:t>《昆蒙框架》</w:t>
      </w:r>
      <w:r w:rsidRPr="001D0A0E">
        <w:rPr>
          <w:rFonts w:hint="eastAsia"/>
          <w:sz w:val="24"/>
          <w:szCs w:val="24"/>
          <w:lang w:val="zh-CN"/>
        </w:rPr>
        <w:t>的实施、如何简化《公约》下开展的工作以及实施这些建议所需的资源。</w:t>
      </w:r>
      <w:r w:rsidRPr="001D0A0E">
        <w:rPr>
          <w:sz w:val="24"/>
          <w:szCs w:val="24"/>
        </w:rPr>
        <w:t xml:space="preserve"> </w:t>
      </w:r>
    </w:p>
    <w:p w14:paraId="3792E678" w14:textId="77777777" w:rsidR="006B4506" w:rsidRPr="00D32234" w:rsidRDefault="006B4506">
      <w:pPr>
        <w:pStyle w:val="CBDH1"/>
        <w:rPr>
          <w:szCs w:val="28"/>
        </w:rPr>
      </w:pPr>
      <w:r w:rsidRPr="00D32234">
        <w:rPr>
          <w:rFonts w:hint="eastAsia"/>
          <w:szCs w:val="28"/>
          <w:lang w:val="zh-CN"/>
        </w:rPr>
        <w:t>四</w:t>
      </w:r>
      <w:r w:rsidRPr="00D32234">
        <w:rPr>
          <w:szCs w:val="28"/>
          <w:lang w:val="en-US"/>
        </w:rPr>
        <w:t>.</w:t>
      </w:r>
      <w:r w:rsidRPr="00D32234">
        <w:rPr>
          <w:szCs w:val="28"/>
        </w:rPr>
        <w:tab/>
      </w:r>
      <w:r w:rsidRPr="00D32234">
        <w:rPr>
          <w:rFonts w:hint="eastAsia"/>
          <w:szCs w:val="28"/>
          <w:lang w:val="zh-CN"/>
        </w:rPr>
        <w:t>战略审查与分析的最后结论</w:t>
      </w:r>
    </w:p>
    <w:p w14:paraId="19A06310"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战略审查与分析草案已根据同行评审的意见进行了修订</w:t>
      </w:r>
      <w:r w:rsidRPr="001D0A0E">
        <w:rPr>
          <w:rFonts w:hint="eastAsia"/>
          <w:sz w:val="24"/>
          <w:szCs w:val="24"/>
        </w:rPr>
        <w:t>，</w:t>
      </w:r>
      <w:r w:rsidRPr="001D0A0E">
        <w:rPr>
          <w:rFonts w:hint="eastAsia"/>
          <w:sz w:val="24"/>
          <w:szCs w:val="24"/>
          <w:lang w:val="zh-CN"/>
        </w:rPr>
        <w:t>其结论总结如下。</w:t>
      </w:r>
    </w:p>
    <w:p w14:paraId="39050BA5" w14:textId="77777777" w:rsidR="006B4506" w:rsidRPr="001D0A0E" w:rsidRDefault="006B4506">
      <w:pPr>
        <w:pStyle w:val="CBDH3"/>
        <w:rPr>
          <w:sz w:val="24"/>
          <w:szCs w:val="24"/>
        </w:rPr>
      </w:pPr>
      <w:r w:rsidRPr="001D0A0E">
        <w:rPr>
          <w:sz w:val="24"/>
          <w:szCs w:val="24"/>
        </w:rPr>
        <w:t>1.</w:t>
      </w:r>
      <w:r w:rsidRPr="001D0A0E">
        <w:rPr>
          <w:sz w:val="24"/>
          <w:szCs w:val="24"/>
        </w:rPr>
        <w:tab/>
      </w:r>
      <w:r w:rsidRPr="001D0A0E">
        <w:rPr>
          <w:rFonts w:hint="eastAsia"/>
          <w:sz w:val="24"/>
          <w:szCs w:val="24"/>
          <w:lang w:val="zh-CN"/>
        </w:rPr>
        <w:t>对《昆明</w:t>
      </w:r>
      <w:r w:rsidRPr="001D0A0E">
        <w:rPr>
          <w:sz w:val="24"/>
          <w:szCs w:val="24"/>
        </w:rPr>
        <w:t>-</w:t>
      </w:r>
      <w:r w:rsidRPr="001D0A0E">
        <w:rPr>
          <w:rFonts w:hint="eastAsia"/>
          <w:sz w:val="24"/>
          <w:szCs w:val="24"/>
          <w:lang w:val="zh-CN"/>
        </w:rPr>
        <w:t>蒙特利尔全球生物多样性框架》做出直接和全面贡献的工作领域</w:t>
      </w:r>
    </w:p>
    <w:p w14:paraId="119C8093" w14:textId="45E49A68"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大多数工作领域</w:t>
      </w:r>
      <w:r w:rsidRPr="001D0A0E">
        <w:rPr>
          <w:rFonts w:hint="eastAsia"/>
          <w:sz w:val="24"/>
          <w:szCs w:val="24"/>
        </w:rPr>
        <w:t>（</w:t>
      </w:r>
      <w:r w:rsidRPr="001D0A0E">
        <w:rPr>
          <w:rFonts w:hint="eastAsia"/>
          <w:sz w:val="24"/>
          <w:szCs w:val="24"/>
          <w:lang w:val="zh-CN"/>
        </w:rPr>
        <w:t>包括缔约方大会正式设定的六个工作方案</w:t>
      </w:r>
      <w:r w:rsidRPr="001D0A0E">
        <w:rPr>
          <w:rFonts w:hint="eastAsia"/>
          <w:sz w:val="24"/>
          <w:szCs w:val="24"/>
        </w:rPr>
        <w:t>）</w:t>
      </w:r>
      <w:r w:rsidRPr="001D0A0E">
        <w:rPr>
          <w:rFonts w:hint="eastAsia"/>
          <w:sz w:val="24"/>
          <w:szCs w:val="24"/>
          <w:lang w:val="zh-CN"/>
        </w:rPr>
        <w:t>对</w:t>
      </w:r>
      <w:r w:rsidR="00575276">
        <w:rPr>
          <w:rFonts w:hint="eastAsia"/>
          <w:sz w:val="24"/>
          <w:szCs w:val="24"/>
          <w:lang w:val="zh-CN"/>
        </w:rPr>
        <w:t>《昆蒙框架》</w:t>
      </w:r>
      <w:r w:rsidRPr="001D0A0E">
        <w:rPr>
          <w:rFonts w:hint="eastAsia"/>
          <w:sz w:val="24"/>
          <w:szCs w:val="24"/>
          <w:lang w:val="zh-CN"/>
        </w:rPr>
        <w:t>做出了直接和全面的贡献</w:t>
      </w:r>
      <w:r w:rsidRPr="001D0A0E">
        <w:rPr>
          <w:rFonts w:hint="eastAsia"/>
          <w:sz w:val="24"/>
          <w:szCs w:val="24"/>
        </w:rPr>
        <w:t>，</w:t>
      </w:r>
      <w:r w:rsidRPr="001D0A0E">
        <w:rPr>
          <w:rFonts w:hint="eastAsia"/>
          <w:sz w:val="24"/>
          <w:szCs w:val="24"/>
          <w:lang w:val="zh-CN"/>
        </w:rPr>
        <w:t>建议将其保持在接近现有形式并进行定期审查和更新</w:t>
      </w:r>
      <w:r w:rsidRPr="001D0A0E">
        <w:rPr>
          <w:rFonts w:hint="eastAsia"/>
          <w:sz w:val="24"/>
          <w:szCs w:val="24"/>
        </w:rPr>
        <w:t>（</w:t>
      </w:r>
      <w:r w:rsidRPr="001D0A0E">
        <w:rPr>
          <w:rFonts w:hint="eastAsia"/>
          <w:sz w:val="24"/>
          <w:szCs w:val="24"/>
          <w:lang w:val="zh-CN"/>
        </w:rPr>
        <w:t>见表</w:t>
      </w:r>
      <w:r w:rsidRPr="001D0A0E">
        <w:rPr>
          <w:sz w:val="24"/>
          <w:szCs w:val="24"/>
        </w:rPr>
        <w:t>1</w:t>
      </w:r>
      <w:r w:rsidRPr="001D0A0E">
        <w:rPr>
          <w:rFonts w:hint="eastAsia"/>
          <w:sz w:val="24"/>
          <w:szCs w:val="24"/>
        </w:rPr>
        <w:t>）</w:t>
      </w:r>
      <w:r w:rsidRPr="001D0A0E">
        <w:rPr>
          <w:rFonts w:hint="eastAsia"/>
          <w:sz w:val="24"/>
          <w:szCs w:val="24"/>
          <w:lang w:val="zh-CN"/>
        </w:rPr>
        <w:t>。此外，还提供了三个关于保护区工作方案的备选方案（见表</w:t>
      </w:r>
      <w:r w:rsidRPr="001D0A0E">
        <w:rPr>
          <w:sz w:val="24"/>
          <w:szCs w:val="24"/>
          <w:lang w:val="zh-CN"/>
        </w:rPr>
        <w:t>2</w:t>
      </w:r>
      <w:r w:rsidRPr="001D0A0E">
        <w:rPr>
          <w:rFonts w:hint="eastAsia"/>
          <w:sz w:val="24"/>
          <w:szCs w:val="24"/>
          <w:lang w:val="zh-CN"/>
        </w:rPr>
        <w:t>）。</w:t>
      </w:r>
    </w:p>
    <w:p w14:paraId="3BFD53C1" w14:textId="77777777" w:rsidR="006B4506" w:rsidRPr="001D0A0E" w:rsidRDefault="006B4506">
      <w:pPr>
        <w:pStyle w:val="CBDTableTitle"/>
        <w:rPr>
          <w:sz w:val="24"/>
          <w:szCs w:val="24"/>
        </w:rPr>
      </w:pPr>
      <w:r w:rsidRPr="003559EC">
        <w:rPr>
          <w:rFonts w:hint="eastAsia"/>
          <w:b w:val="0"/>
          <w:bCs/>
          <w:sz w:val="24"/>
          <w:szCs w:val="24"/>
          <w:lang w:val="zh-CN"/>
        </w:rPr>
        <w:t>表</w:t>
      </w:r>
      <w:r w:rsidRPr="003559EC">
        <w:rPr>
          <w:b w:val="0"/>
          <w:bCs/>
          <w:sz w:val="24"/>
          <w:szCs w:val="24"/>
          <w:lang w:val="zh-CN"/>
        </w:rPr>
        <w:t>1</w:t>
      </w:r>
      <w:r w:rsidRPr="001D0A0E">
        <w:rPr>
          <w:sz w:val="24"/>
          <w:szCs w:val="24"/>
          <w:lang w:val="zh-CN"/>
        </w:rPr>
        <w:br/>
      </w:r>
      <w:r w:rsidRPr="001D0A0E">
        <w:rPr>
          <w:rFonts w:hint="eastAsia"/>
          <w:sz w:val="24"/>
          <w:szCs w:val="24"/>
          <w:lang w:val="zh-CN"/>
        </w:rPr>
        <w:t>需要最低限度调整的工作领域</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83"/>
      </w:tblGrid>
      <w:tr w:rsidR="006B4506" w:rsidRPr="001D0A0E" w14:paraId="3A50383C" w14:textId="77777777">
        <w:tc>
          <w:tcPr>
            <w:tcW w:w="8783" w:type="dxa"/>
          </w:tcPr>
          <w:p w14:paraId="0082F07A" w14:textId="77777777" w:rsidR="006B4506" w:rsidRPr="001D0A0E" w:rsidRDefault="006B4506">
            <w:pPr>
              <w:pStyle w:val="CBDTableNormal"/>
              <w:rPr>
                <w:sz w:val="24"/>
                <w:szCs w:val="24"/>
              </w:rPr>
            </w:pPr>
            <w:r w:rsidRPr="001D0A0E">
              <w:rPr>
                <w:rFonts w:hint="eastAsia"/>
                <w:sz w:val="24"/>
                <w:szCs w:val="24"/>
                <w:lang w:val="zh-CN"/>
              </w:rPr>
              <w:t>农业生物多样性</w:t>
            </w:r>
            <w:r w:rsidRPr="001D0A0E">
              <w:rPr>
                <w:rFonts w:hint="eastAsia"/>
                <w:sz w:val="24"/>
                <w:szCs w:val="24"/>
              </w:rPr>
              <w:t>；</w:t>
            </w:r>
            <w:r w:rsidRPr="001D0A0E">
              <w:rPr>
                <w:rFonts w:hint="eastAsia"/>
                <w:sz w:val="24"/>
                <w:szCs w:val="24"/>
                <w:lang w:val="zh-CN"/>
              </w:rPr>
              <w:t>气候变化与生物多样性</w:t>
            </w:r>
            <w:r w:rsidRPr="001D0A0E">
              <w:rPr>
                <w:rFonts w:hint="eastAsia"/>
                <w:sz w:val="24"/>
                <w:szCs w:val="24"/>
              </w:rPr>
              <w:t>；</w:t>
            </w:r>
            <w:r w:rsidRPr="001D0A0E">
              <w:rPr>
                <w:rFonts w:hint="eastAsia"/>
                <w:sz w:val="24"/>
                <w:szCs w:val="24"/>
                <w:lang w:val="zh-CN"/>
              </w:rPr>
              <w:t>传播、教育和公众意识</w:t>
            </w:r>
            <w:r w:rsidRPr="001D0A0E">
              <w:rPr>
                <w:rFonts w:hint="eastAsia"/>
                <w:sz w:val="24"/>
                <w:szCs w:val="24"/>
              </w:rPr>
              <w:t>；</w:t>
            </w:r>
            <w:r w:rsidRPr="001D0A0E">
              <w:rPr>
                <w:rFonts w:hint="eastAsia"/>
                <w:sz w:val="24"/>
                <w:szCs w:val="24"/>
                <w:lang w:val="zh-CN"/>
              </w:rPr>
              <w:t>森林生物多样性</w:t>
            </w:r>
            <w:r w:rsidRPr="001D0A0E">
              <w:rPr>
                <w:rFonts w:hint="eastAsia"/>
                <w:sz w:val="24"/>
                <w:szCs w:val="24"/>
              </w:rPr>
              <w:t>；</w:t>
            </w:r>
            <w:r w:rsidRPr="001D0A0E">
              <w:rPr>
                <w:rFonts w:hint="eastAsia"/>
                <w:sz w:val="24"/>
                <w:szCs w:val="24"/>
                <w:lang w:val="zh-CN"/>
              </w:rPr>
              <w:t>性别平等与生物多样性</w:t>
            </w:r>
            <w:r w:rsidRPr="001D0A0E">
              <w:rPr>
                <w:rFonts w:hint="eastAsia"/>
                <w:sz w:val="24"/>
                <w:szCs w:val="24"/>
              </w:rPr>
              <w:t>；</w:t>
            </w:r>
            <w:r w:rsidRPr="001D0A0E">
              <w:rPr>
                <w:rFonts w:hint="eastAsia"/>
                <w:sz w:val="24"/>
                <w:szCs w:val="24"/>
                <w:lang w:val="zh-CN"/>
              </w:rPr>
              <w:t>全球植物保护战略</w:t>
            </w:r>
            <w:r w:rsidRPr="001D0A0E">
              <w:rPr>
                <w:rFonts w:hint="eastAsia"/>
                <w:sz w:val="24"/>
                <w:szCs w:val="24"/>
              </w:rPr>
              <w:t>；</w:t>
            </w:r>
            <w:r w:rsidRPr="001D0A0E">
              <w:rPr>
                <w:rFonts w:hint="eastAsia"/>
                <w:sz w:val="24"/>
                <w:szCs w:val="24"/>
                <w:lang w:val="zh-CN"/>
              </w:rPr>
              <w:t>健康与生物多样性</w:t>
            </w:r>
            <w:r w:rsidRPr="001D0A0E">
              <w:rPr>
                <w:rFonts w:hint="eastAsia"/>
                <w:sz w:val="24"/>
                <w:szCs w:val="24"/>
              </w:rPr>
              <w:t>；</w:t>
            </w:r>
            <w:r w:rsidRPr="001D0A0E">
              <w:rPr>
                <w:rFonts w:hint="eastAsia"/>
                <w:sz w:val="24"/>
                <w:szCs w:val="24"/>
                <w:lang w:val="zh-CN"/>
              </w:rPr>
              <w:t>内陆水域生物多样性</w:t>
            </w:r>
            <w:r w:rsidRPr="001D0A0E">
              <w:rPr>
                <w:rFonts w:hint="eastAsia"/>
                <w:sz w:val="24"/>
                <w:szCs w:val="24"/>
              </w:rPr>
              <w:t>；</w:t>
            </w:r>
            <w:r w:rsidRPr="001D0A0E">
              <w:rPr>
                <w:rFonts w:hint="eastAsia"/>
                <w:sz w:val="24"/>
                <w:szCs w:val="24"/>
                <w:lang w:val="zh-CN"/>
              </w:rPr>
              <w:t>外来入侵物种</w:t>
            </w:r>
            <w:r w:rsidRPr="001D0A0E">
              <w:rPr>
                <w:rFonts w:hint="eastAsia"/>
                <w:sz w:val="24"/>
                <w:szCs w:val="24"/>
              </w:rPr>
              <w:t>；</w:t>
            </w:r>
            <w:r w:rsidRPr="001D0A0E">
              <w:rPr>
                <w:rFonts w:hint="eastAsia"/>
                <w:sz w:val="24"/>
                <w:szCs w:val="24"/>
                <w:lang w:val="zh-CN"/>
              </w:rPr>
              <w:t>岛屿生物多样性</w:t>
            </w:r>
            <w:r w:rsidRPr="001D0A0E">
              <w:rPr>
                <w:rFonts w:hint="eastAsia"/>
                <w:sz w:val="24"/>
                <w:szCs w:val="24"/>
              </w:rPr>
              <w:t>；</w:t>
            </w:r>
            <w:r w:rsidRPr="001D0A0E">
              <w:rPr>
                <w:rFonts w:hint="eastAsia"/>
                <w:sz w:val="24"/>
                <w:szCs w:val="24"/>
                <w:lang w:val="zh-CN"/>
              </w:rPr>
              <w:t>海洋和沿海生物多样性</w:t>
            </w:r>
            <w:r w:rsidRPr="001D0A0E">
              <w:rPr>
                <w:rFonts w:hint="eastAsia"/>
                <w:sz w:val="24"/>
                <w:szCs w:val="24"/>
              </w:rPr>
              <w:t>；</w:t>
            </w:r>
            <w:r w:rsidRPr="001D0A0E">
              <w:rPr>
                <w:rFonts w:hint="eastAsia"/>
                <w:sz w:val="24"/>
                <w:szCs w:val="24"/>
                <w:lang w:val="zh-CN"/>
              </w:rPr>
              <w:t>规划、监测、报告和审查</w:t>
            </w:r>
            <w:r w:rsidRPr="001D0A0E">
              <w:rPr>
                <w:rFonts w:hint="eastAsia"/>
                <w:sz w:val="24"/>
                <w:szCs w:val="24"/>
              </w:rPr>
              <w:t>；</w:t>
            </w:r>
            <w:r w:rsidRPr="001D0A0E">
              <w:rPr>
                <w:rFonts w:hint="eastAsia"/>
                <w:sz w:val="24"/>
                <w:szCs w:val="24"/>
                <w:lang w:val="zh-CN"/>
              </w:rPr>
              <w:t>合成生物学</w:t>
            </w:r>
            <w:r w:rsidRPr="001D0A0E">
              <w:rPr>
                <w:rFonts w:hint="eastAsia"/>
                <w:sz w:val="24"/>
                <w:szCs w:val="24"/>
              </w:rPr>
              <w:t>；</w:t>
            </w:r>
            <w:r w:rsidRPr="001D0A0E">
              <w:rPr>
                <w:rFonts w:hint="eastAsia"/>
                <w:sz w:val="24"/>
                <w:szCs w:val="24"/>
                <w:lang w:val="zh-CN"/>
              </w:rPr>
              <w:t>传统知识、创新和做法</w:t>
            </w:r>
            <w:r w:rsidRPr="001D0A0E">
              <w:rPr>
                <w:rFonts w:hint="eastAsia"/>
                <w:sz w:val="24"/>
                <w:szCs w:val="24"/>
              </w:rPr>
              <w:t>（</w:t>
            </w:r>
            <w:r w:rsidRPr="001D0A0E">
              <w:rPr>
                <w:rFonts w:hint="eastAsia"/>
                <w:sz w:val="24"/>
                <w:szCs w:val="24"/>
                <w:lang w:val="zh-CN"/>
              </w:rPr>
              <w:t>第</w:t>
            </w:r>
            <w:r w:rsidRPr="001D0A0E">
              <w:rPr>
                <w:sz w:val="24"/>
                <w:szCs w:val="24"/>
              </w:rPr>
              <w:t>8</w:t>
            </w:r>
            <w:r w:rsidRPr="001D0A0E">
              <w:rPr>
                <w:rFonts w:hint="eastAsia"/>
                <w:sz w:val="24"/>
                <w:szCs w:val="24"/>
              </w:rPr>
              <w:t>（</w:t>
            </w:r>
            <w:r w:rsidRPr="001D0A0E">
              <w:rPr>
                <w:sz w:val="24"/>
                <w:szCs w:val="24"/>
              </w:rPr>
              <w:t>j</w:t>
            </w:r>
            <w:r w:rsidRPr="001D0A0E">
              <w:rPr>
                <w:rFonts w:hint="eastAsia"/>
                <w:sz w:val="24"/>
                <w:szCs w:val="24"/>
              </w:rPr>
              <w:t>）</w:t>
            </w:r>
            <w:r w:rsidRPr="001D0A0E">
              <w:rPr>
                <w:rFonts w:hint="eastAsia"/>
                <w:sz w:val="24"/>
                <w:szCs w:val="24"/>
                <w:lang w:val="zh-CN"/>
              </w:rPr>
              <w:t>条</w:t>
            </w:r>
            <w:r w:rsidRPr="001D0A0E">
              <w:rPr>
                <w:rFonts w:hint="eastAsia"/>
                <w:sz w:val="24"/>
                <w:szCs w:val="24"/>
              </w:rPr>
              <w:t>）</w:t>
            </w:r>
            <w:r w:rsidRPr="001D0A0E">
              <w:rPr>
                <w:rFonts w:hint="eastAsia"/>
                <w:sz w:val="24"/>
                <w:szCs w:val="24"/>
                <w:lang w:val="zh-CN"/>
              </w:rPr>
              <w:t>。</w:t>
            </w:r>
          </w:p>
        </w:tc>
      </w:tr>
    </w:tbl>
    <w:p w14:paraId="328A2D51" w14:textId="77777777" w:rsidR="006B4506" w:rsidRPr="001D0A0E" w:rsidRDefault="006B4506">
      <w:pPr>
        <w:pStyle w:val="CBDTableTitle"/>
        <w:rPr>
          <w:sz w:val="24"/>
          <w:szCs w:val="24"/>
        </w:rPr>
      </w:pPr>
      <w:r w:rsidRPr="003559EC">
        <w:rPr>
          <w:rFonts w:hint="eastAsia"/>
          <w:b w:val="0"/>
          <w:bCs/>
          <w:sz w:val="24"/>
          <w:szCs w:val="24"/>
          <w:lang w:val="zh-CN"/>
        </w:rPr>
        <w:t>表</w:t>
      </w:r>
      <w:r w:rsidRPr="003559EC">
        <w:rPr>
          <w:b w:val="0"/>
          <w:bCs/>
          <w:sz w:val="24"/>
          <w:szCs w:val="24"/>
          <w:lang w:val="zh-CN"/>
        </w:rPr>
        <w:t>2</w:t>
      </w:r>
      <w:r w:rsidRPr="001D0A0E">
        <w:rPr>
          <w:sz w:val="24"/>
          <w:szCs w:val="24"/>
          <w:lang w:val="zh-CN"/>
        </w:rPr>
        <w:br/>
      </w:r>
      <w:r w:rsidRPr="001D0A0E">
        <w:rPr>
          <w:rFonts w:hint="eastAsia"/>
          <w:sz w:val="24"/>
          <w:szCs w:val="24"/>
          <w:lang w:val="zh-CN"/>
        </w:rPr>
        <w:t>保护区工作方案的备选方案</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83"/>
      </w:tblGrid>
      <w:tr w:rsidR="006B4506" w:rsidRPr="001D0A0E" w14:paraId="3554823A" w14:textId="77777777">
        <w:tc>
          <w:tcPr>
            <w:tcW w:w="8783" w:type="dxa"/>
          </w:tcPr>
          <w:p w14:paraId="79F9415B" w14:textId="39613698" w:rsidR="006B4506" w:rsidRPr="001D0A0E" w:rsidRDefault="006B4506">
            <w:pPr>
              <w:pStyle w:val="CBDTableNormal"/>
              <w:ind w:left="313" w:hanging="284"/>
              <w:rPr>
                <w:sz w:val="24"/>
                <w:szCs w:val="24"/>
              </w:rPr>
            </w:pPr>
            <w:r w:rsidRPr="001D0A0E">
              <w:rPr>
                <w:sz w:val="24"/>
                <w:szCs w:val="24"/>
              </w:rPr>
              <w:t>–</w:t>
            </w:r>
            <w:r w:rsidRPr="001D0A0E">
              <w:rPr>
                <w:sz w:val="24"/>
                <w:szCs w:val="24"/>
              </w:rPr>
              <w:tab/>
            </w:r>
            <w:r w:rsidRPr="001D0A0E">
              <w:rPr>
                <w:rFonts w:hint="eastAsia"/>
                <w:sz w:val="24"/>
                <w:szCs w:val="24"/>
                <w:lang w:val="zh-CN"/>
              </w:rPr>
              <w:t>备选方案</w:t>
            </w:r>
            <w:r w:rsidRPr="001D0A0E">
              <w:rPr>
                <w:sz w:val="24"/>
                <w:szCs w:val="24"/>
              </w:rPr>
              <w:t>1</w:t>
            </w:r>
            <w:r w:rsidRPr="001D0A0E">
              <w:rPr>
                <w:rFonts w:hint="eastAsia"/>
                <w:sz w:val="24"/>
                <w:szCs w:val="24"/>
              </w:rPr>
              <w:t>：</w:t>
            </w:r>
            <w:r w:rsidRPr="001D0A0E">
              <w:rPr>
                <w:rFonts w:hint="eastAsia"/>
                <w:sz w:val="24"/>
                <w:szCs w:val="24"/>
                <w:lang w:val="zh-CN"/>
              </w:rPr>
              <w:t>保护区成为</w:t>
            </w:r>
            <w:r w:rsidR="00575276">
              <w:rPr>
                <w:rFonts w:hint="eastAsia"/>
                <w:sz w:val="24"/>
                <w:szCs w:val="24"/>
                <w:lang w:val="zh-CN"/>
              </w:rPr>
              <w:t>《昆蒙框架》</w:t>
            </w:r>
            <w:r w:rsidRPr="001D0A0E">
              <w:rPr>
                <w:rFonts w:hint="eastAsia"/>
                <w:sz w:val="24"/>
                <w:szCs w:val="24"/>
                <w:lang w:val="zh-CN"/>
              </w:rPr>
              <w:t>行动目标</w:t>
            </w:r>
            <w:r w:rsidRPr="001D0A0E">
              <w:rPr>
                <w:sz w:val="24"/>
                <w:szCs w:val="24"/>
              </w:rPr>
              <w:t>1</w:t>
            </w:r>
            <w:r w:rsidRPr="001D0A0E">
              <w:rPr>
                <w:rFonts w:hint="eastAsia"/>
                <w:sz w:val="24"/>
                <w:szCs w:val="24"/>
                <w:lang w:val="zh-CN"/>
              </w:rPr>
              <w:t>、</w:t>
            </w:r>
            <w:r w:rsidRPr="001D0A0E">
              <w:rPr>
                <w:sz w:val="24"/>
                <w:szCs w:val="24"/>
              </w:rPr>
              <w:t>2</w:t>
            </w:r>
            <w:r w:rsidRPr="001D0A0E">
              <w:rPr>
                <w:rFonts w:hint="eastAsia"/>
                <w:sz w:val="24"/>
                <w:szCs w:val="24"/>
                <w:lang w:val="zh-CN"/>
              </w:rPr>
              <w:t>和</w:t>
            </w:r>
            <w:r w:rsidRPr="001D0A0E">
              <w:rPr>
                <w:sz w:val="24"/>
                <w:szCs w:val="24"/>
              </w:rPr>
              <w:t>3</w:t>
            </w:r>
            <w:r w:rsidRPr="001D0A0E">
              <w:rPr>
                <w:rFonts w:hint="eastAsia"/>
                <w:sz w:val="24"/>
                <w:szCs w:val="24"/>
                <w:lang w:val="zh-CN"/>
              </w:rPr>
              <w:t>相关所有工作的重点领域</w:t>
            </w:r>
          </w:p>
          <w:p w14:paraId="6A4D4474" w14:textId="77777777" w:rsidR="006B4506" w:rsidRPr="001D0A0E" w:rsidRDefault="006B4506">
            <w:pPr>
              <w:pStyle w:val="CBDTableNormal"/>
              <w:ind w:left="313" w:hanging="284"/>
              <w:rPr>
                <w:sz w:val="24"/>
                <w:szCs w:val="24"/>
              </w:rPr>
            </w:pPr>
            <w:r w:rsidRPr="001D0A0E">
              <w:rPr>
                <w:sz w:val="24"/>
                <w:szCs w:val="24"/>
              </w:rPr>
              <w:t>–</w:t>
            </w:r>
            <w:r w:rsidRPr="001D0A0E">
              <w:rPr>
                <w:sz w:val="24"/>
                <w:szCs w:val="24"/>
              </w:rPr>
              <w:tab/>
            </w:r>
            <w:r w:rsidRPr="001D0A0E">
              <w:rPr>
                <w:rFonts w:hint="eastAsia"/>
                <w:sz w:val="24"/>
                <w:szCs w:val="24"/>
                <w:lang w:val="zh-CN"/>
              </w:rPr>
              <w:t>备选方案</w:t>
            </w:r>
            <w:r w:rsidRPr="001D0A0E">
              <w:rPr>
                <w:sz w:val="24"/>
                <w:szCs w:val="24"/>
              </w:rPr>
              <w:t>2</w:t>
            </w:r>
            <w:r w:rsidRPr="001D0A0E">
              <w:rPr>
                <w:rFonts w:hint="eastAsia"/>
                <w:sz w:val="24"/>
                <w:szCs w:val="24"/>
              </w:rPr>
              <w:t>：</w:t>
            </w:r>
            <w:r w:rsidRPr="001D0A0E">
              <w:rPr>
                <w:rFonts w:hint="eastAsia"/>
                <w:sz w:val="24"/>
                <w:szCs w:val="24"/>
                <w:lang w:val="zh-CN"/>
              </w:rPr>
              <w:t>将保护区、生态系统恢复和空间规划作为独立的工作领域</w:t>
            </w:r>
          </w:p>
          <w:p w14:paraId="314814D8" w14:textId="77777777" w:rsidR="006B4506" w:rsidRPr="001D0A0E" w:rsidRDefault="006B4506">
            <w:pPr>
              <w:pStyle w:val="CBDTableNormal"/>
              <w:ind w:left="313" w:hanging="284"/>
              <w:rPr>
                <w:sz w:val="24"/>
                <w:szCs w:val="24"/>
              </w:rPr>
            </w:pPr>
            <w:r w:rsidRPr="001D0A0E">
              <w:rPr>
                <w:sz w:val="24"/>
                <w:szCs w:val="24"/>
              </w:rPr>
              <w:t>–</w:t>
            </w:r>
            <w:r w:rsidRPr="001D0A0E">
              <w:rPr>
                <w:sz w:val="24"/>
                <w:szCs w:val="24"/>
              </w:rPr>
              <w:tab/>
            </w:r>
            <w:r w:rsidRPr="001D0A0E">
              <w:rPr>
                <w:rFonts w:hint="eastAsia"/>
                <w:sz w:val="24"/>
                <w:szCs w:val="24"/>
                <w:lang w:val="zh-CN"/>
              </w:rPr>
              <w:t>备选方案</w:t>
            </w:r>
            <w:r w:rsidRPr="001D0A0E">
              <w:rPr>
                <w:sz w:val="24"/>
                <w:szCs w:val="24"/>
              </w:rPr>
              <w:t>3</w:t>
            </w:r>
            <w:r w:rsidRPr="001D0A0E">
              <w:rPr>
                <w:rFonts w:hint="eastAsia"/>
                <w:sz w:val="24"/>
                <w:szCs w:val="24"/>
              </w:rPr>
              <w:t>：</w:t>
            </w:r>
            <w:r w:rsidRPr="001D0A0E">
              <w:rPr>
                <w:rFonts w:hint="eastAsia"/>
                <w:sz w:val="24"/>
                <w:szCs w:val="24"/>
                <w:lang w:val="zh-CN"/>
              </w:rPr>
              <w:t>将保护区、生态系统恢复和空间规划纳入一个总体方案</w:t>
            </w:r>
            <w:r w:rsidRPr="001D0A0E">
              <w:rPr>
                <w:rFonts w:hint="eastAsia"/>
                <w:sz w:val="24"/>
                <w:szCs w:val="24"/>
              </w:rPr>
              <w:t>，</w:t>
            </w:r>
            <w:r w:rsidRPr="001D0A0E">
              <w:rPr>
                <w:rFonts w:hint="eastAsia"/>
                <w:sz w:val="24"/>
                <w:szCs w:val="24"/>
                <w:lang w:val="zh-CN"/>
              </w:rPr>
              <w:t>其中包含三个独立的工作领域</w:t>
            </w:r>
          </w:p>
        </w:tc>
      </w:tr>
    </w:tbl>
    <w:p w14:paraId="0614CA28" w14:textId="77777777" w:rsidR="006B4506" w:rsidRPr="001D0A0E" w:rsidRDefault="006B4506">
      <w:pPr>
        <w:pStyle w:val="CBDH3"/>
        <w:rPr>
          <w:sz w:val="24"/>
          <w:szCs w:val="24"/>
        </w:rPr>
      </w:pPr>
      <w:r w:rsidRPr="001D0A0E">
        <w:rPr>
          <w:sz w:val="24"/>
          <w:szCs w:val="24"/>
        </w:rPr>
        <w:t>2.</w:t>
      </w:r>
      <w:r w:rsidRPr="001D0A0E">
        <w:rPr>
          <w:sz w:val="24"/>
          <w:szCs w:val="24"/>
        </w:rPr>
        <w:tab/>
      </w:r>
      <w:r w:rsidRPr="001D0A0E">
        <w:rPr>
          <w:rFonts w:hint="eastAsia"/>
          <w:sz w:val="24"/>
          <w:szCs w:val="24"/>
          <w:lang w:val="zh-CN"/>
        </w:rPr>
        <w:t>范围可予审查的工作领域</w:t>
      </w:r>
    </w:p>
    <w:p w14:paraId="669C2743" w14:textId="57256FA1"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范围可予审查的工作领域有助于</w:t>
      </w:r>
      <w:r w:rsidR="00575276">
        <w:rPr>
          <w:rFonts w:hint="eastAsia"/>
          <w:sz w:val="24"/>
          <w:szCs w:val="24"/>
          <w:lang w:val="zh-CN"/>
        </w:rPr>
        <w:t>《昆蒙框架》</w:t>
      </w:r>
      <w:r w:rsidRPr="001D0A0E">
        <w:rPr>
          <w:rFonts w:hint="eastAsia"/>
          <w:sz w:val="24"/>
          <w:szCs w:val="24"/>
          <w:lang w:val="zh-CN"/>
        </w:rPr>
        <w:t>的实施</w:t>
      </w:r>
      <w:r w:rsidRPr="001D0A0E">
        <w:rPr>
          <w:rFonts w:hint="eastAsia"/>
          <w:sz w:val="24"/>
          <w:szCs w:val="24"/>
        </w:rPr>
        <w:t>，</w:t>
      </w:r>
      <w:r w:rsidRPr="001D0A0E">
        <w:rPr>
          <w:rFonts w:hint="eastAsia"/>
          <w:sz w:val="24"/>
          <w:szCs w:val="24"/>
          <w:lang w:val="zh-CN"/>
        </w:rPr>
        <w:t>但其与</w:t>
      </w:r>
      <w:r w:rsidR="00575276">
        <w:rPr>
          <w:rFonts w:hint="eastAsia"/>
          <w:sz w:val="24"/>
          <w:szCs w:val="24"/>
          <w:lang w:val="zh-CN"/>
        </w:rPr>
        <w:t>《昆蒙框架》</w:t>
      </w:r>
      <w:r w:rsidRPr="001D0A0E">
        <w:rPr>
          <w:rFonts w:hint="eastAsia"/>
          <w:sz w:val="24"/>
          <w:szCs w:val="24"/>
          <w:lang w:val="zh-CN"/>
        </w:rPr>
        <w:t>的一致性有待加强。</w:t>
      </w:r>
      <w:r w:rsidRPr="00D32234">
        <w:rPr>
          <w:rFonts w:hint="eastAsia"/>
          <w:sz w:val="24"/>
          <w:szCs w:val="24"/>
        </w:rPr>
        <w:t>建议合并各个工作领域</w:t>
      </w:r>
      <w:r w:rsidRPr="001D0A0E">
        <w:rPr>
          <w:rFonts w:hint="eastAsia"/>
          <w:sz w:val="24"/>
          <w:szCs w:val="24"/>
          <w:lang w:val="zh-CN"/>
        </w:rPr>
        <w:t>，如表</w:t>
      </w:r>
      <w:r w:rsidRPr="001D0A0E">
        <w:rPr>
          <w:sz w:val="24"/>
          <w:szCs w:val="24"/>
          <w:lang w:val="zh-CN"/>
        </w:rPr>
        <w:t>3</w:t>
      </w:r>
      <w:r w:rsidRPr="001D0A0E">
        <w:rPr>
          <w:rFonts w:hint="eastAsia"/>
          <w:sz w:val="24"/>
          <w:szCs w:val="24"/>
          <w:lang w:val="zh-CN"/>
        </w:rPr>
        <w:t>所示。</w:t>
      </w:r>
    </w:p>
    <w:p w14:paraId="0F9B212A" w14:textId="77777777" w:rsidR="006B4506" w:rsidRPr="001D0A0E" w:rsidRDefault="006B4506">
      <w:pPr>
        <w:pStyle w:val="CBDTableTitle"/>
        <w:rPr>
          <w:sz w:val="24"/>
          <w:szCs w:val="24"/>
        </w:rPr>
      </w:pPr>
      <w:r w:rsidRPr="003559EC">
        <w:rPr>
          <w:rFonts w:hint="eastAsia"/>
          <w:b w:val="0"/>
          <w:bCs/>
          <w:sz w:val="24"/>
          <w:szCs w:val="24"/>
          <w:lang w:val="zh-CN"/>
        </w:rPr>
        <w:t>表</w:t>
      </w:r>
      <w:r w:rsidRPr="003559EC">
        <w:rPr>
          <w:b w:val="0"/>
          <w:bCs/>
          <w:sz w:val="24"/>
          <w:szCs w:val="24"/>
        </w:rPr>
        <w:t>3</w:t>
      </w:r>
      <w:r w:rsidRPr="001D0A0E">
        <w:rPr>
          <w:sz w:val="24"/>
          <w:szCs w:val="24"/>
        </w:rPr>
        <w:br/>
      </w:r>
      <w:r w:rsidRPr="001D0A0E">
        <w:rPr>
          <w:rFonts w:hint="eastAsia"/>
          <w:sz w:val="24"/>
          <w:szCs w:val="24"/>
          <w:lang w:val="zh-CN"/>
        </w:rPr>
        <w:t>可以与其他相关工作领域加强整合获益的工作领域</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83"/>
      </w:tblGrid>
      <w:tr w:rsidR="006B4506" w:rsidRPr="001D0A0E" w14:paraId="0E318424" w14:textId="77777777">
        <w:tc>
          <w:tcPr>
            <w:tcW w:w="8783" w:type="dxa"/>
          </w:tcPr>
          <w:p w14:paraId="4D540A58" w14:textId="0EC997AE" w:rsidR="006B4506" w:rsidRPr="001D0A0E" w:rsidRDefault="006B4506">
            <w:pPr>
              <w:pStyle w:val="CBDTableNormal"/>
              <w:ind w:left="313" w:hanging="284"/>
              <w:rPr>
                <w:sz w:val="24"/>
                <w:szCs w:val="24"/>
              </w:rPr>
            </w:pPr>
            <w:r w:rsidRPr="001D0A0E">
              <w:rPr>
                <w:sz w:val="24"/>
                <w:szCs w:val="24"/>
              </w:rPr>
              <w:t>–</w:t>
            </w:r>
            <w:r w:rsidRPr="001D0A0E">
              <w:rPr>
                <w:sz w:val="24"/>
                <w:szCs w:val="24"/>
              </w:rPr>
              <w:tab/>
            </w:r>
            <w:r w:rsidR="003559EC">
              <w:rPr>
                <w:rFonts w:hint="eastAsia"/>
                <w:sz w:val="24"/>
                <w:szCs w:val="24"/>
                <w:lang w:val="zh-CN"/>
              </w:rPr>
              <w:t>企业</w:t>
            </w:r>
            <w:r w:rsidRPr="001D0A0E">
              <w:rPr>
                <w:rFonts w:hint="eastAsia"/>
                <w:sz w:val="24"/>
                <w:szCs w:val="24"/>
                <w:lang w:val="zh-CN"/>
              </w:rPr>
              <w:t>参与、经济、贸易和激励措施、主流化以及旅游与生物多样性</w:t>
            </w:r>
          </w:p>
          <w:p w14:paraId="2C1DB3C0" w14:textId="77777777" w:rsidR="006B4506" w:rsidRPr="001D0A0E" w:rsidRDefault="006B4506">
            <w:pPr>
              <w:pStyle w:val="CBDTableNormal"/>
              <w:ind w:left="313" w:hanging="284"/>
              <w:rPr>
                <w:sz w:val="24"/>
                <w:szCs w:val="24"/>
              </w:rPr>
            </w:pPr>
            <w:r w:rsidRPr="001D0A0E">
              <w:rPr>
                <w:sz w:val="24"/>
                <w:szCs w:val="24"/>
              </w:rPr>
              <w:t>–</w:t>
            </w:r>
            <w:r w:rsidRPr="001D0A0E">
              <w:rPr>
                <w:sz w:val="24"/>
                <w:szCs w:val="24"/>
              </w:rPr>
              <w:tab/>
            </w:r>
            <w:r w:rsidRPr="001D0A0E">
              <w:rPr>
                <w:rFonts w:hint="eastAsia"/>
                <w:sz w:val="24"/>
                <w:szCs w:val="24"/>
                <w:lang w:val="zh-CN"/>
              </w:rPr>
              <w:t>能力建设、技术科学合作和技术转让</w:t>
            </w:r>
          </w:p>
          <w:p w14:paraId="0A85A82B" w14:textId="77777777" w:rsidR="006B4506" w:rsidRPr="001D0A0E" w:rsidRDefault="006B4506">
            <w:pPr>
              <w:pStyle w:val="CBDTableNormal"/>
              <w:ind w:left="313" w:hanging="284"/>
              <w:rPr>
                <w:sz w:val="24"/>
                <w:szCs w:val="24"/>
              </w:rPr>
            </w:pPr>
            <w:r w:rsidRPr="001D0A0E">
              <w:rPr>
                <w:sz w:val="24"/>
                <w:szCs w:val="24"/>
              </w:rPr>
              <w:t>–</w:t>
            </w:r>
            <w:r w:rsidRPr="001D0A0E">
              <w:rPr>
                <w:sz w:val="24"/>
                <w:szCs w:val="24"/>
              </w:rPr>
              <w:tab/>
            </w:r>
            <w:r w:rsidRPr="001D0A0E">
              <w:rPr>
                <w:rFonts w:hint="eastAsia"/>
                <w:sz w:val="24"/>
                <w:szCs w:val="24"/>
                <w:lang w:val="zh-CN"/>
              </w:rPr>
              <w:t>财务机制和资源调动</w:t>
            </w:r>
          </w:p>
          <w:p w14:paraId="44911DD0" w14:textId="77777777" w:rsidR="006B4506" w:rsidRPr="001D0A0E" w:rsidRDefault="006B4506">
            <w:pPr>
              <w:pStyle w:val="CBDTableNormal"/>
              <w:ind w:left="313" w:hanging="284"/>
              <w:rPr>
                <w:sz w:val="24"/>
                <w:szCs w:val="24"/>
              </w:rPr>
            </w:pPr>
            <w:r w:rsidRPr="001D0A0E">
              <w:rPr>
                <w:sz w:val="24"/>
                <w:szCs w:val="24"/>
              </w:rPr>
              <w:t>–</w:t>
            </w:r>
            <w:r w:rsidRPr="001D0A0E">
              <w:rPr>
                <w:sz w:val="24"/>
                <w:szCs w:val="24"/>
              </w:rPr>
              <w:tab/>
            </w:r>
            <w:r w:rsidRPr="001D0A0E">
              <w:rPr>
                <w:rFonts w:hint="eastAsia"/>
                <w:sz w:val="24"/>
                <w:szCs w:val="24"/>
                <w:lang w:val="zh-CN"/>
              </w:rPr>
              <w:t>生物多样性的可持续利用和可持续野生生物管理</w:t>
            </w:r>
          </w:p>
        </w:tc>
      </w:tr>
    </w:tbl>
    <w:p w14:paraId="1CA708CF" w14:textId="77777777" w:rsidR="006B4506" w:rsidRPr="001D0A0E" w:rsidRDefault="006B4506">
      <w:pPr>
        <w:pStyle w:val="CBDH3"/>
        <w:rPr>
          <w:sz w:val="24"/>
          <w:szCs w:val="24"/>
        </w:rPr>
      </w:pPr>
      <w:r w:rsidRPr="001D0A0E">
        <w:rPr>
          <w:sz w:val="24"/>
          <w:szCs w:val="24"/>
        </w:rPr>
        <w:lastRenderedPageBreak/>
        <w:t>3.</w:t>
      </w:r>
      <w:r w:rsidRPr="001D0A0E">
        <w:rPr>
          <w:sz w:val="24"/>
          <w:szCs w:val="24"/>
        </w:rPr>
        <w:tab/>
      </w:r>
      <w:r w:rsidRPr="001D0A0E">
        <w:rPr>
          <w:rFonts w:hint="eastAsia"/>
          <w:sz w:val="24"/>
          <w:szCs w:val="24"/>
          <w:lang w:val="zh-CN"/>
        </w:rPr>
        <w:t>可能带来提高效率机会的工作领域</w:t>
      </w:r>
    </w:p>
    <w:p w14:paraId="4F09BBB9"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缔约方大会目前对在可能带来提高效率机会的工作领域</w:t>
      </w:r>
      <w:r w:rsidRPr="001D0A0E">
        <w:rPr>
          <w:rFonts w:hint="eastAsia"/>
          <w:sz w:val="24"/>
          <w:szCs w:val="24"/>
        </w:rPr>
        <w:t>（</w:t>
      </w:r>
      <w:r w:rsidRPr="001D0A0E">
        <w:rPr>
          <w:rFonts w:hint="eastAsia"/>
          <w:sz w:val="24"/>
          <w:szCs w:val="24"/>
          <w:lang w:val="zh-CN"/>
        </w:rPr>
        <w:t>见表</w:t>
      </w:r>
      <w:r w:rsidRPr="001D0A0E">
        <w:rPr>
          <w:sz w:val="24"/>
          <w:szCs w:val="24"/>
        </w:rPr>
        <w:t>4</w:t>
      </w:r>
      <w:r w:rsidRPr="001D0A0E">
        <w:rPr>
          <w:rFonts w:hint="eastAsia"/>
          <w:sz w:val="24"/>
          <w:szCs w:val="24"/>
        </w:rPr>
        <w:t>）</w:t>
      </w:r>
      <w:r w:rsidRPr="001D0A0E">
        <w:rPr>
          <w:rFonts w:hint="eastAsia"/>
          <w:sz w:val="24"/>
          <w:szCs w:val="24"/>
          <w:lang w:val="zh-CN"/>
        </w:rPr>
        <w:t>的投资可能有限</w:t>
      </w:r>
      <w:r w:rsidRPr="001D0A0E">
        <w:rPr>
          <w:rFonts w:hint="eastAsia"/>
          <w:sz w:val="24"/>
          <w:szCs w:val="24"/>
        </w:rPr>
        <w:t>，</w:t>
      </w:r>
      <w:r w:rsidRPr="001D0A0E">
        <w:rPr>
          <w:rFonts w:hint="eastAsia"/>
          <w:sz w:val="24"/>
          <w:szCs w:val="24"/>
          <w:lang w:val="zh-CN"/>
        </w:rPr>
        <w:t>其实施可由伙伴机构和缔约方牵头进行。所有成就可继续记录在《公约》网站并通过信息交换所机制作为信息来源。</w:t>
      </w:r>
      <w:r w:rsidRPr="001D0A0E">
        <w:rPr>
          <w:sz w:val="24"/>
          <w:szCs w:val="24"/>
        </w:rPr>
        <w:t xml:space="preserve"> </w:t>
      </w:r>
    </w:p>
    <w:p w14:paraId="43738FD5" w14:textId="77777777" w:rsidR="006B4506" w:rsidRPr="001D0A0E" w:rsidRDefault="006B4506">
      <w:pPr>
        <w:pStyle w:val="CBDTableTitle"/>
        <w:rPr>
          <w:sz w:val="24"/>
          <w:szCs w:val="24"/>
        </w:rPr>
      </w:pPr>
      <w:r w:rsidRPr="003559EC">
        <w:rPr>
          <w:rFonts w:hint="eastAsia"/>
          <w:b w:val="0"/>
          <w:bCs/>
          <w:sz w:val="24"/>
          <w:szCs w:val="24"/>
          <w:lang w:val="zh-CN"/>
        </w:rPr>
        <w:t>表</w:t>
      </w:r>
      <w:r w:rsidRPr="003559EC">
        <w:rPr>
          <w:b w:val="0"/>
          <w:bCs/>
          <w:sz w:val="24"/>
          <w:szCs w:val="24"/>
          <w:lang w:val="zh-CN"/>
        </w:rPr>
        <w:t>4</w:t>
      </w:r>
      <w:r w:rsidRPr="001D0A0E">
        <w:rPr>
          <w:sz w:val="24"/>
          <w:szCs w:val="24"/>
          <w:lang w:val="zh-CN"/>
        </w:rPr>
        <w:br/>
      </w:r>
      <w:r w:rsidRPr="001D0A0E">
        <w:rPr>
          <w:rFonts w:hint="eastAsia"/>
          <w:sz w:val="24"/>
          <w:szCs w:val="24"/>
          <w:lang w:val="zh-CN"/>
        </w:rPr>
        <w:t>存在提高效率机会的工作领域</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83"/>
      </w:tblGrid>
      <w:tr w:rsidR="006B4506" w:rsidRPr="001D0A0E" w14:paraId="1818A02E" w14:textId="77777777">
        <w:tc>
          <w:tcPr>
            <w:tcW w:w="8783" w:type="dxa"/>
          </w:tcPr>
          <w:p w14:paraId="4361C03C" w14:textId="77777777" w:rsidR="006B4506" w:rsidRPr="001D0A0E" w:rsidRDefault="006B4506">
            <w:pPr>
              <w:pStyle w:val="CBDTableNormal"/>
              <w:rPr>
                <w:sz w:val="24"/>
                <w:szCs w:val="24"/>
              </w:rPr>
            </w:pPr>
            <w:r w:rsidRPr="001D0A0E">
              <w:rPr>
                <w:rFonts w:hint="eastAsia"/>
                <w:sz w:val="24"/>
                <w:szCs w:val="24"/>
                <w:lang w:val="zh-CN"/>
              </w:rPr>
              <w:t>生物多样性促进发展、生物多样性和文化多样性、缺水和半湿润地区生物多样性、生态系统方法、全球生物分类倡议、影响评估和山区生物多样性</w:t>
            </w:r>
          </w:p>
        </w:tc>
      </w:tr>
    </w:tbl>
    <w:p w14:paraId="03C5CB26" w14:textId="583C762C" w:rsidR="006B4506" w:rsidRPr="00D32234" w:rsidRDefault="006B4506">
      <w:pPr>
        <w:pStyle w:val="CBDH1"/>
        <w:spacing w:before="120"/>
        <w:rPr>
          <w:szCs w:val="28"/>
        </w:rPr>
      </w:pPr>
      <w:r w:rsidRPr="00D32234">
        <w:rPr>
          <w:rFonts w:hint="eastAsia"/>
          <w:szCs w:val="28"/>
          <w:lang w:val="zh-CN"/>
        </w:rPr>
        <w:t>五</w:t>
      </w:r>
      <w:r w:rsidRPr="00D32234">
        <w:rPr>
          <w:szCs w:val="28"/>
          <w:lang w:val="zh-CN"/>
        </w:rPr>
        <w:t>.</w:t>
      </w:r>
      <w:r w:rsidRPr="00D32234">
        <w:rPr>
          <w:szCs w:val="28"/>
        </w:rPr>
        <w:tab/>
      </w:r>
      <w:r w:rsidRPr="00D32234">
        <w:rPr>
          <w:rFonts w:hint="eastAsia"/>
          <w:szCs w:val="28"/>
          <w:lang w:val="zh-CN"/>
        </w:rPr>
        <w:t>拟议</w:t>
      </w:r>
      <w:r w:rsidR="00D32234">
        <w:rPr>
          <w:rFonts w:hint="eastAsia"/>
          <w:szCs w:val="28"/>
          <w:lang w:val="zh-CN"/>
        </w:rPr>
        <w:t>办法</w:t>
      </w:r>
    </w:p>
    <w:p w14:paraId="560F1A64" w14:textId="77777777"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科咨机构不妨注意到缔约方之间对战略审查和分析的目的、结论和建议的不同看法。</w:t>
      </w:r>
      <w:r w:rsidRPr="00D32234">
        <w:rPr>
          <w:sz w:val="24"/>
          <w:szCs w:val="24"/>
          <w:lang w:val="zh-CN"/>
        </w:rPr>
        <w:t xml:space="preserve"> </w:t>
      </w:r>
    </w:p>
    <w:p w14:paraId="1C7440E7" w14:textId="568DCF15"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根据战略审查和分析得出的结论</w:t>
      </w:r>
      <w:r w:rsidRPr="00D32234">
        <w:rPr>
          <w:rFonts w:hint="eastAsia"/>
          <w:sz w:val="24"/>
          <w:szCs w:val="24"/>
          <w:lang w:val="zh-CN"/>
        </w:rPr>
        <w:t>，</w:t>
      </w:r>
      <w:r w:rsidRPr="001D0A0E">
        <w:rPr>
          <w:rFonts w:hint="eastAsia"/>
          <w:sz w:val="24"/>
          <w:szCs w:val="24"/>
          <w:lang w:val="zh-CN"/>
        </w:rPr>
        <w:t>科咨机构还不妨向缔约方大会提出建议</w:t>
      </w:r>
      <w:r w:rsidRPr="00D32234">
        <w:rPr>
          <w:rFonts w:hint="eastAsia"/>
          <w:sz w:val="24"/>
          <w:szCs w:val="24"/>
          <w:lang w:val="zh-CN"/>
        </w:rPr>
        <w:t>，</w:t>
      </w:r>
      <w:r w:rsidRPr="001D0A0E">
        <w:rPr>
          <w:rFonts w:hint="eastAsia"/>
          <w:sz w:val="24"/>
          <w:szCs w:val="24"/>
          <w:lang w:val="zh-CN"/>
        </w:rPr>
        <w:t>以便更好地协调科咨机构授权的工作领域</w:t>
      </w:r>
      <w:r w:rsidRPr="00D32234">
        <w:rPr>
          <w:rFonts w:hint="eastAsia"/>
          <w:sz w:val="24"/>
          <w:szCs w:val="24"/>
          <w:lang w:val="zh-CN"/>
        </w:rPr>
        <w:t>，</w:t>
      </w:r>
      <w:r w:rsidRPr="001D0A0E">
        <w:rPr>
          <w:rFonts w:hint="eastAsia"/>
          <w:sz w:val="24"/>
          <w:szCs w:val="24"/>
          <w:lang w:val="zh-CN"/>
        </w:rPr>
        <w:t>同时考虑到这些领域与</w:t>
      </w:r>
      <w:r w:rsidR="00575276">
        <w:rPr>
          <w:rFonts w:hint="eastAsia"/>
          <w:sz w:val="24"/>
          <w:szCs w:val="24"/>
          <w:lang w:val="zh-CN"/>
        </w:rPr>
        <w:t>《昆蒙框架》</w:t>
      </w:r>
      <w:r w:rsidRPr="001D0A0E">
        <w:rPr>
          <w:rFonts w:hint="eastAsia"/>
          <w:sz w:val="24"/>
          <w:szCs w:val="24"/>
          <w:lang w:val="zh-CN"/>
        </w:rPr>
        <w:t>的相关性和一致性。相关工作领域包括：农业生物多样性；气候变化与生物多样性；缺水和半湿润地区生物多样性；生态系统方法；森林生物多样性；全球植物保护战略；全球生物分类倡议；健康与生物多样性；内陆水域生物多样性；外来入侵物种；山区生物多样性；规划、监测、报告和审查；生物多样性的可持续利用；可持续野生生物管理；合成生物学。</w:t>
      </w:r>
    </w:p>
    <w:p w14:paraId="32EA97D7" w14:textId="67A83AA0"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科咨机构还不妨建议缔约方大会在其多年期工作方案框架下</w:t>
      </w:r>
      <w:r w:rsidRPr="00D32234">
        <w:rPr>
          <w:rFonts w:hint="eastAsia"/>
          <w:sz w:val="24"/>
          <w:szCs w:val="24"/>
          <w:lang w:val="zh-CN"/>
        </w:rPr>
        <w:t>，</w:t>
      </w:r>
      <w:r w:rsidRPr="001D0A0E">
        <w:rPr>
          <w:rFonts w:hint="eastAsia"/>
          <w:sz w:val="24"/>
          <w:szCs w:val="24"/>
          <w:lang w:val="zh-CN"/>
        </w:rPr>
        <w:t>并根据为执行《公约》和</w:t>
      </w:r>
      <w:r w:rsidR="00575276">
        <w:rPr>
          <w:rFonts w:hint="eastAsia"/>
          <w:sz w:val="24"/>
          <w:szCs w:val="24"/>
          <w:lang w:val="zh-CN"/>
        </w:rPr>
        <w:t>《昆蒙框架》</w:t>
      </w:r>
      <w:r w:rsidRPr="001D0A0E">
        <w:rPr>
          <w:rFonts w:hint="eastAsia"/>
          <w:sz w:val="24"/>
          <w:szCs w:val="24"/>
          <w:lang w:val="zh-CN"/>
        </w:rPr>
        <w:t>而确定的不断变化的需求</w:t>
      </w:r>
      <w:r w:rsidRPr="00D32234">
        <w:rPr>
          <w:rFonts w:hint="eastAsia"/>
          <w:sz w:val="24"/>
          <w:szCs w:val="24"/>
          <w:lang w:val="zh-CN"/>
        </w:rPr>
        <w:t>，</w:t>
      </w:r>
      <w:r w:rsidRPr="001D0A0E">
        <w:rPr>
          <w:rFonts w:hint="eastAsia"/>
          <w:sz w:val="24"/>
          <w:szCs w:val="24"/>
          <w:lang w:val="zh-CN"/>
        </w:rPr>
        <w:t>通过一项滚动时间表</w:t>
      </w:r>
      <w:r w:rsidRPr="00D32234">
        <w:rPr>
          <w:rFonts w:hint="eastAsia"/>
          <w:sz w:val="24"/>
          <w:szCs w:val="24"/>
          <w:lang w:val="zh-CN"/>
        </w:rPr>
        <w:t>，</w:t>
      </w:r>
      <w:r w:rsidRPr="001D0A0E">
        <w:rPr>
          <w:rFonts w:hint="eastAsia"/>
          <w:sz w:val="24"/>
          <w:szCs w:val="24"/>
          <w:lang w:val="zh-CN"/>
        </w:rPr>
        <w:t>以审查和更新这些工作领域。</w:t>
      </w:r>
    </w:p>
    <w:p w14:paraId="6CCFD63D" w14:textId="204F9846" w:rsidR="006B4506" w:rsidRPr="00D32234"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lang w:val="zh-CN"/>
        </w:rPr>
      </w:pPr>
      <w:r w:rsidRPr="001D0A0E">
        <w:rPr>
          <w:rFonts w:hint="eastAsia"/>
          <w:sz w:val="24"/>
          <w:szCs w:val="24"/>
          <w:lang w:val="zh-CN"/>
        </w:rPr>
        <w:t>科学、技术和工艺咨询附属机构不妨要求执行秘书提请执行问题附属机构注意供其审议的战略审查和分析结果</w:t>
      </w:r>
      <w:r w:rsidRPr="00D32234">
        <w:rPr>
          <w:rFonts w:hint="eastAsia"/>
          <w:sz w:val="24"/>
          <w:szCs w:val="24"/>
          <w:lang w:val="zh-CN"/>
        </w:rPr>
        <w:t>，</w:t>
      </w:r>
      <w:r w:rsidRPr="001D0A0E">
        <w:rPr>
          <w:rFonts w:hint="eastAsia"/>
          <w:sz w:val="24"/>
          <w:szCs w:val="24"/>
          <w:lang w:val="zh-CN"/>
        </w:rPr>
        <w:t>特别是涉及其任务授权下的工作领域的结果</w:t>
      </w:r>
      <w:r w:rsidRPr="00D32234">
        <w:rPr>
          <w:rFonts w:hint="eastAsia"/>
          <w:sz w:val="24"/>
          <w:szCs w:val="24"/>
          <w:lang w:val="zh-CN"/>
        </w:rPr>
        <w:t>，</w:t>
      </w:r>
      <w:r w:rsidRPr="001D0A0E">
        <w:rPr>
          <w:rFonts w:hint="eastAsia"/>
          <w:sz w:val="24"/>
          <w:szCs w:val="24"/>
          <w:lang w:val="zh-CN"/>
        </w:rPr>
        <w:t>包括生物多样性促进发展</w:t>
      </w:r>
      <w:r w:rsidRPr="00D32234">
        <w:rPr>
          <w:rFonts w:hint="eastAsia"/>
          <w:sz w:val="24"/>
          <w:szCs w:val="24"/>
          <w:lang w:val="zh-CN"/>
        </w:rPr>
        <w:t>；</w:t>
      </w:r>
      <w:r w:rsidR="00575276">
        <w:rPr>
          <w:rFonts w:hint="eastAsia"/>
          <w:sz w:val="24"/>
          <w:szCs w:val="24"/>
          <w:lang w:val="zh-CN"/>
        </w:rPr>
        <w:t>企业</w:t>
      </w:r>
      <w:r w:rsidRPr="001D0A0E">
        <w:rPr>
          <w:rFonts w:hint="eastAsia"/>
          <w:sz w:val="24"/>
          <w:szCs w:val="24"/>
          <w:lang w:val="zh-CN"/>
        </w:rPr>
        <w:t>参与</w:t>
      </w:r>
      <w:r w:rsidRPr="00D32234">
        <w:rPr>
          <w:rFonts w:hint="eastAsia"/>
          <w:sz w:val="24"/>
          <w:szCs w:val="24"/>
          <w:lang w:val="zh-CN"/>
        </w:rPr>
        <w:t>；</w:t>
      </w:r>
      <w:r w:rsidRPr="001D0A0E">
        <w:rPr>
          <w:rFonts w:hint="eastAsia"/>
          <w:sz w:val="24"/>
          <w:szCs w:val="24"/>
          <w:lang w:val="zh-CN"/>
        </w:rPr>
        <w:t>能力建设</w:t>
      </w:r>
      <w:r w:rsidRPr="00D32234">
        <w:rPr>
          <w:rFonts w:hint="eastAsia"/>
          <w:sz w:val="24"/>
          <w:szCs w:val="24"/>
          <w:lang w:val="zh-CN"/>
        </w:rPr>
        <w:t>；</w:t>
      </w:r>
      <w:r w:rsidRPr="001D0A0E">
        <w:rPr>
          <w:rFonts w:hint="eastAsia"/>
          <w:sz w:val="24"/>
          <w:szCs w:val="24"/>
          <w:lang w:val="zh-CN"/>
        </w:rPr>
        <w:t>传播、教育和公众意识</w:t>
      </w:r>
      <w:r w:rsidRPr="00D32234">
        <w:rPr>
          <w:rFonts w:hint="eastAsia"/>
          <w:sz w:val="24"/>
          <w:szCs w:val="24"/>
          <w:lang w:val="zh-CN"/>
        </w:rPr>
        <w:t>；</w:t>
      </w:r>
      <w:r w:rsidRPr="001D0A0E">
        <w:rPr>
          <w:rFonts w:hint="eastAsia"/>
          <w:sz w:val="24"/>
          <w:szCs w:val="24"/>
          <w:lang w:val="zh-CN"/>
        </w:rPr>
        <w:t>经济、贸易和激励措施</w:t>
      </w:r>
      <w:r w:rsidRPr="00D32234">
        <w:rPr>
          <w:rFonts w:hint="eastAsia"/>
          <w:sz w:val="24"/>
          <w:szCs w:val="24"/>
          <w:lang w:val="zh-CN"/>
        </w:rPr>
        <w:t>；</w:t>
      </w:r>
      <w:r w:rsidRPr="001D0A0E">
        <w:rPr>
          <w:rFonts w:hint="eastAsia"/>
          <w:sz w:val="24"/>
          <w:szCs w:val="24"/>
          <w:lang w:val="zh-CN"/>
        </w:rPr>
        <w:t>财务机制</w:t>
      </w:r>
      <w:r w:rsidRPr="00D32234">
        <w:rPr>
          <w:rFonts w:hint="eastAsia"/>
          <w:sz w:val="24"/>
          <w:szCs w:val="24"/>
          <w:lang w:val="zh-CN"/>
        </w:rPr>
        <w:t>；</w:t>
      </w:r>
      <w:r w:rsidRPr="001D0A0E">
        <w:rPr>
          <w:rFonts w:hint="eastAsia"/>
          <w:sz w:val="24"/>
          <w:szCs w:val="24"/>
          <w:lang w:val="zh-CN"/>
        </w:rPr>
        <w:t>性别平等与生物多样性</w:t>
      </w:r>
      <w:r w:rsidRPr="00D32234">
        <w:rPr>
          <w:rFonts w:hint="eastAsia"/>
          <w:sz w:val="24"/>
          <w:szCs w:val="24"/>
          <w:lang w:val="zh-CN"/>
        </w:rPr>
        <w:t>；</w:t>
      </w:r>
      <w:r w:rsidRPr="001D0A0E">
        <w:rPr>
          <w:rFonts w:hint="eastAsia"/>
          <w:sz w:val="24"/>
          <w:szCs w:val="24"/>
          <w:lang w:val="zh-CN"/>
        </w:rPr>
        <w:t>主流化</w:t>
      </w:r>
      <w:r w:rsidRPr="00D32234">
        <w:rPr>
          <w:rFonts w:hint="eastAsia"/>
          <w:sz w:val="24"/>
          <w:szCs w:val="24"/>
          <w:lang w:val="zh-CN"/>
        </w:rPr>
        <w:t>；</w:t>
      </w:r>
      <w:r w:rsidRPr="001D0A0E">
        <w:rPr>
          <w:rFonts w:hint="eastAsia"/>
          <w:sz w:val="24"/>
          <w:szCs w:val="24"/>
          <w:lang w:val="zh-CN"/>
        </w:rPr>
        <w:t>资源调动</w:t>
      </w:r>
      <w:r w:rsidRPr="00D32234">
        <w:rPr>
          <w:rFonts w:hint="eastAsia"/>
          <w:sz w:val="24"/>
          <w:szCs w:val="24"/>
          <w:lang w:val="zh-CN"/>
        </w:rPr>
        <w:t>；</w:t>
      </w:r>
      <w:r w:rsidRPr="001D0A0E">
        <w:rPr>
          <w:rFonts w:hint="eastAsia"/>
          <w:sz w:val="24"/>
          <w:szCs w:val="24"/>
          <w:lang w:val="zh-CN"/>
        </w:rPr>
        <w:t>科技合作</w:t>
      </w:r>
      <w:r w:rsidRPr="00D32234">
        <w:rPr>
          <w:rFonts w:hint="eastAsia"/>
          <w:sz w:val="24"/>
          <w:szCs w:val="24"/>
          <w:lang w:val="zh-CN"/>
        </w:rPr>
        <w:t>；</w:t>
      </w:r>
      <w:r w:rsidRPr="001D0A0E">
        <w:rPr>
          <w:rFonts w:hint="eastAsia"/>
          <w:sz w:val="24"/>
          <w:szCs w:val="24"/>
          <w:lang w:val="zh-CN"/>
        </w:rPr>
        <w:t>技术转让</w:t>
      </w:r>
      <w:r w:rsidRPr="00D32234">
        <w:rPr>
          <w:rFonts w:hint="eastAsia"/>
          <w:sz w:val="24"/>
          <w:szCs w:val="24"/>
          <w:lang w:val="zh-CN"/>
        </w:rPr>
        <w:t>；</w:t>
      </w:r>
      <w:r w:rsidRPr="001D0A0E">
        <w:rPr>
          <w:rFonts w:hint="eastAsia"/>
          <w:sz w:val="24"/>
          <w:szCs w:val="24"/>
          <w:lang w:val="zh-CN"/>
        </w:rPr>
        <w:t>旅游与生物多样性。</w:t>
      </w:r>
    </w:p>
    <w:p w14:paraId="7C5AD8C5" w14:textId="77777777" w:rsidR="006B4506" w:rsidRPr="001D0A0E" w:rsidRDefault="006B4506" w:rsidP="00D32234">
      <w:pPr>
        <w:pStyle w:val="CBDNormalNumber"/>
        <w:numPr>
          <w:ilvl w:val="0"/>
          <w:numId w:val="12"/>
        </w:numPr>
        <w:tabs>
          <w:tab w:val="clear" w:pos="567"/>
          <w:tab w:val="clear" w:pos="1134"/>
          <w:tab w:val="clear" w:pos="1701"/>
          <w:tab w:val="clear" w:pos="2268"/>
          <w:tab w:val="clear" w:pos="2835"/>
          <w:tab w:val="clear" w:pos="3402"/>
          <w:tab w:val="clear" w:pos="3969"/>
        </w:tabs>
        <w:ind w:left="490" w:firstLine="0"/>
        <w:rPr>
          <w:sz w:val="24"/>
          <w:szCs w:val="24"/>
        </w:rPr>
      </w:pPr>
      <w:r w:rsidRPr="001D0A0E">
        <w:rPr>
          <w:rFonts w:hint="eastAsia"/>
          <w:sz w:val="24"/>
          <w:szCs w:val="24"/>
          <w:lang w:val="zh-CN"/>
        </w:rPr>
        <w:t>科学、技术和工艺咨询附属机构还不妨要求执行秘书将战略审查和分析提交给</w:t>
      </w:r>
      <w:r w:rsidRPr="00D32234">
        <w:rPr>
          <w:rFonts w:hint="eastAsia"/>
          <w:sz w:val="24"/>
          <w:szCs w:val="24"/>
          <w:lang w:val="zh-CN"/>
        </w:rPr>
        <w:t>生物</w:t>
      </w:r>
      <w:r w:rsidRPr="001D0A0E">
        <w:rPr>
          <w:rFonts w:hint="eastAsia"/>
          <w:color w:val="000000"/>
          <w:sz w:val="24"/>
          <w:szCs w:val="24"/>
          <w:lang w:val="zh-CN"/>
        </w:rPr>
        <w:t>多样性公约关于土著人民和地方社区的第</w:t>
      </w:r>
      <w:r w:rsidRPr="001D0A0E">
        <w:rPr>
          <w:color w:val="000000"/>
          <w:sz w:val="24"/>
          <w:szCs w:val="24"/>
        </w:rPr>
        <w:t xml:space="preserve"> 8(j)</w:t>
      </w:r>
      <w:r w:rsidRPr="001D0A0E">
        <w:rPr>
          <w:rFonts w:hint="eastAsia"/>
          <w:color w:val="000000"/>
          <w:sz w:val="24"/>
          <w:szCs w:val="24"/>
          <w:lang w:val="zh-CN"/>
        </w:rPr>
        <w:t>条和其他条款附属机构</w:t>
      </w:r>
      <w:r w:rsidRPr="001D0A0E">
        <w:rPr>
          <w:rFonts w:hint="eastAsia"/>
          <w:color w:val="000000"/>
          <w:sz w:val="24"/>
          <w:szCs w:val="24"/>
        </w:rPr>
        <w:t>，</w:t>
      </w:r>
      <w:r w:rsidRPr="001D0A0E">
        <w:rPr>
          <w:rFonts w:hint="eastAsia"/>
          <w:sz w:val="24"/>
          <w:szCs w:val="24"/>
          <w:lang w:val="zh-CN"/>
        </w:rPr>
        <w:t>供其审议与生物多样性和文化多样性以及传统知识、创新和做法有关的要素。</w:t>
      </w:r>
    </w:p>
    <w:p w14:paraId="443AEC16" w14:textId="77777777" w:rsidR="006B4506" w:rsidRPr="001D0A0E" w:rsidRDefault="006B4506">
      <w:pPr>
        <w:jc w:val="center"/>
        <w:rPr>
          <w:sz w:val="24"/>
          <w:szCs w:val="24"/>
        </w:rPr>
      </w:pPr>
      <w:r w:rsidRPr="001D0A0E">
        <w:rPr>
          <w:sz w:val="24"/>
          <w:szCs w:val="24"/>
        </w:rPr>
        <w:t>__________</w:t>
      </w:r>
    </w:p>
    <w:sectPr w:rsidR="006B4506" w:rsidRPr="001D0A0E" w:rsidSect="006B4506">
      <w:headerReference w:type="even" r:id="rId25"/>
      <w:headerReference w:type="default" r:id="rId26"/>
      <w:footerReference w:type="even" r:id="rId27"/>
      <w:footerReference w:type="default" r:id="rId28"/>
      <w:headerReference w:type="first" r:id="rId2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75E8" w14:textId="77777777" w:rsidR="00E801B3" w:rsidRDefault="00E801B3">
      <w:pPr>
        <w:rPr>
          <w:szCs w:val="24"/>
        </w:rPr>
      </w:pPr>
      <w:r>
        <w:rPr>
          <w:szCs w:val="24"/>
        </w:rPr>
        <w:separator/>
      </w:r>
    </w:p>
  </w:endnote>
  <w:endnote w:type="continuationSeparator" w:id="0">
    <w:p w14:paraId="3EA5A521" w14:textId="77777777" w:rsidR="00E801B3" w:rsidRDefault="00E801B3">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Univers">
    <w:altName w:val="Arial"/>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BDF92" w14:textId="77777777" w:rsidR="006B4506" w:rsidRDefault="006B4506">
    <w:pPr>
      <w:pStyle w:val="Footer"/>
      <w:jc w:val="left"/>
      <w:rPr>
        <w:szCs w:val="24"/>
      </w:rPr>
    </w:pPr>
    <w:r>
      <w:rPr>
        <w:szCs w:val="24"/>
      </w:rPr>
      <w:fldChar w:fldCharType="begin"/>
    </w:r>
    <w:r>
      <w:rPr>
        <w:szCs w:val="24"/>
      </w:rPr>
      <w:instrText xml:space="preserve"> PAGE </w:instrText>
    </w:r>
    <w:r>
      <w:rPr>
        <w:szCs w:val="24"/>
      </w:rPr>
      <w:fldChar w:fldCharType="separate"/>
    </w:r>
    <w:r w:rsidR="00015CEE">
      <w:rPr>
        <w:noProof/>
        <w:szCs w:val="24"/>
      </w:rPr>
      <w:t>6</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sidR="00015CEE">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0D1C" w14:textId="77777777" w:rsidR="006B4506" w:rsidRDefault="006B4506">
    <w:pPr>
      <w:pStyle w:val="Footer"/>
      <w:jc w:val="right"/>
      <w:rPr>
        <w:szCs w:val="24"/>
      </w:rPr>
    </w:pPr>
    <w:r>
      <w:rPr>
        <w:szCs w:val="24"/>
      </w:rPr>
      <w:fldChar w:fldCharType="begin"/>
    </w:r>
    <w:r>
      <w:rPr>
        <w:szCs w:val="24"/>
      </w:rPr>
      <w:instrText xml:space="preserve"> PAGE </w:instrText>
    </w:r>
    <w:r>
      <w:rPr>
        <w:szCs w:val="24"/>
      </w:rPr>
      <w:fldChar w:fldCharType="separate"/>
    </w:r>
    <w:r w:rsidR="00015CEE">
      <w:rPr>
        <w:noProof/>
        <w:szCs w:val="24"/>
      </w:rPr>
      <w:t>5</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sidR="00015CEE">
      <w:rPr>
        <w:noProof/>
        <w:szCs w:val="24"/>
      </w:rPr>
      <w:t>5</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1E06D" w14:textId="77777777" w:rsidR="00E801B3" w:rsidRDefault="00E801B3">
      <w:pPr>
        <w:rPr>
          <w:szCs w:val="24"/>
        </w:rPr>
      </w:pPr>
      <w:r>
        <w:rPr>
          <w:szCs w:val="24"/>
        </w:rPr>
        <w:separator/>
      </w:r>
    </w:p>
  </w:footnote>
  <w:footnote w:type="continuationSeparator" w:id="0">
    <w:p w14:paraId="11EF9B1C" w14:textId="77777777" w:rsidR="00E801B3" w:rsidRDefault="00E801B3">
      <w:pPr>
        <w:rPr>
          <w:szCs w:val="24"/>
        </w:rPr>
      </w:pPr>
      <w:r>
        <w:rPr>
          <w:szCs w:val="24"/>
        </w:rPr>
        <w:continuationSeparator/>
      </w:r>
    </w:p>
  </w:footnote>
  <w:footnote w:id="1">
    <w:p w14:paraId="154100EC" w14:textId="3684BAE2" w:rsidR="006B4506" w:rsidRPr="00082989" w:rsidRDefault="006B4506" w:rsidP="00082989">
      <w:pPr>
        <w:pStyle w:val="FootnoteText"/>
        <w:spacing w:after="60"/>
        <w:rPr>
          <w:sz w:val="20"/>
        </w:rPr>
      </w:pPr>
      <w:r w:rsidRPr="00082989">
        <w:rPr>
          <w:rStyle w:val="FootnoteReference"/>
          <w:sz w:val="20"/>
        </w:rPr>
        <w:t>*</w:t>
      </w:r>
      <w:r w:rsidRPr="00082989">
        <w:rPr>
          <w:sz w:val="20"/>
        </w:rPr>
        <w:t xml:space="preserve"> </w:t>
      </w:r>
      <w:hyperlink r:id="rId1" w:history="1">
        <w:r w:rsidRPr="00082989">
          <w:rPr>
            <w:rStyle w:val="Hyperlink"/>
            <w:sz w:val="20"/>
            <w:lang w:val="en-US"/>
          </w:rPr>
          <w:t>CBD/SBSTTA/27/1</w:t>
        </w:r>
      </w:hyperlink>
      <w:r w:rsidRPr="00082989">
        <w:rPr>
          <w:rFonts w:hAnsi="SimSun" w:hint="eastAsia"/>
          <w:sz w:val="20"/>
          <w:lang w:val="zh-CN"/>
        </w:rPr>
        <w:t>。</w:t>
      </w:r>
    </w:p>
  </w:footnote>
  <w:footnote w:id="2">
    <w:p w14:paraId="79CD249D" w14:textId="77777777" w:rsidR="006B4506" w:rsidRDefault="006B4506" w:rsidP="00082989">
      <w:pPr>
        <w:pStyle w:val="FootnoteText"/>
        <w:spacing w:after="60"/>
      </w:pPr>
      <w:r w:rsidRPr="00082989">
        <w:rPr>
          <w:rStyle w:val="FootnoteReference"/>
          <w:sz w:val="20"/>
        </w:rPr>
        <w:footnoteRef/>
      </w:r>
      <w:r w:rsidRPr="00082989">
        <w:rPr>
          <w:sz w:val="20"/>
        </w:rPr>
        <w:t xml:space="preserve"> </w:t>
      </w:r>
      <w:r w:rsidRPr="00082989">
        <w:rPr>
          <w:rFonts w:hAnsi="SimSun" w:hint="eastAsia"/>
          <w:sz w:val="20"/>
          <w:lang w:val="zh-CN"/>
        </w:rPr>
        <w:t>如下文第</w:t>
      </w:r>
      <w:r w:rsidRPr="00082989">
        <w:rPr>
          <w:sz w:val="20"/>
          <w:lang w:val="zh-CN"/>
        </w:rPr>
        <w:t>12</w:t>
      </w:r>
      <w:r w:rsidRPr="00082989">
        <w:rPr>
          <w:rFonts w:hAnsi="SimSun" w:hint="eastAsia"/>
          <w:sz w:val="20"/>
          <w:lang w:val="zh-CN"/>
        </w:rPr>
        <w:t>段所述，战略审查和分析不同于秘书处的职能审查。</w:t>
      </w:r>
    </w:p>
  </w:footnote>
  <w:footnote w:id="3">
    <w:p w14:paraId="4E0294CB" w14:textId="77777777" w:rsidR="006B4506" w:rsidRPr="00082989" w:rsidRDefault="006B4506" w:rsidP="00082989">
      <w:pPr>
        <w:pStyle w:val="FootnoteText"/>
        <w:spacing w:after="60"/>
        <w:rPr>
          <w:sz w:val="20"/>
        </w:rPr>
      </w:pPr>
      <w:r w:rsidRPr="00082989">
        <w:rPr>
          <w:rStyle w:val="FootnoteReference"/>
          <w:sz w:val="20"/>
        </w:rPr>
        <w:footnoteRef/>
      </w:r>
      <w:r w:rsidRPr="00082989">
        <w:rPr>
          <w:sz w:val="20"/>
        </w:rPr>
        <w:t xml:space="preserve"> </w:t>
      </w:r>
      <w:r w:rsidRPr="00082989">
        <w:rPr>
          <w:sz w:val="20"/>
          <w:lang w:val="zh-CN"/>
        </w:rPr>
        <w:t>见科咨机构主席团</w:t>
      </w:r>
      <w:smartTag w:uri="urn:schemas-microsoft-com:office:smarttags" w:element="chsdate">
        <w:smartTagPr>
          <w:attr w:name="Year" w:val="2025"/>
          <w:attr w:name="Month" w:val="4"/>
          <w:attr w:name="Day" w:val="1"/>
          <w:attr w:name="IsLunarDate" w:val="False"/>
          <w:attr w:name="IsROCDate" w:val="False"/>
        </w:smartTagPr>
        <w:r w:rsidRPr="00082989">
          <w:rPr>
            <w:sz w:val="20"/>
            <w:lang w:val="en-US"/>
          </w:rPr>
          <w:t>2025</w:t>
        </w:r>
        <w:r w:rsidRPr="00082989">
          <w:rPr>
            <w:sz w:val="20"/>
            <w:lang w:val="zh-CN"/>
          </w:rPr>
          <w:t>年</w:t>
        </w:r>
        <w:r w:rsidRPr="00082989">
          <w:rPr>
            <w:sz w:val="20"/>
            <w:lang w:val="en-US"/>
          </w:rPr>
          <w:t>4</w:t>
        </w:r>
        <w:r w:rsidRPr="00082989">
          <w:rPr>
            <w:sz w:val="20"/>
            <w:lang w:val="zh-CN"/>
          </w:rPr>
          <w:t>月</w:t>
        </w:r>
        <w:r w:rsidRPr="00082989">
          <w:rPr>
            <w:sz w:val="20"/>
            <w:lang w:val="en-US"/>
          </w:rPr>
          <w:t>1</w:t>
        </w:r>
        <w:r w:rsidRPr="00082989">
          <w:rPr>
            <w:sz w:val="20"/>
            <w:lang w:val="zh-CN"/>
          </w:rPr>
          <w:t>日</w:t>
        </w:r>
      </w:smartTag>
      <w:r w:rsidRPr="00082989">
        <w:rPr>
          <w:sz w:val="20"/>
          <w:lang w:val="zh-CN"/>
        </w:rPr>
        <w:t>至</w:t>
      </w:r>
      <w:r w:rsidRPr="00082989">
        <w:rPr>
          <w:sz w:val="20"/>
          <w:lang w:val="en-US"/>
        </w:rPr>
        <w:t>3</w:t>
      </w:r>
      <w:r w:rsidRPr="00082989">
        <w:rPr>
          <w:sz w:val="20"/>
          <w:lang w:val="zh-CN"/>
        </w:rPr>
        <w:t>日举行的会议的会议报告</w:t>
      </w:r>
      <w:r w:rsidRPr="00082989">
        <w:rPr>
          <w:sz w:val="20"/>
          <w:lang w:val="en-US"/>
        </w:rPr>
        <w:t>：</w:t>
      </w:r>
      <w:hyperlink r:id="rId2" w:history="1">
        <w:r w:rsidRPr="00082989">
          <w:rPr>
            <w:rStyle w:val="Hyperlink"/>
            <w:sz w:val="20"/>
            <w:lang w:val="en-US"/>
          </w:rPr>
          <w:t>www.cbd.int/doc/meetings/sbstta-bureau/sbstta-bur-2025-04-01-03-en.pdf</w:t>
        </w:r>
      </w:hyperlink>
      <w:r w:rsidRPr="00082989">
        <w:rPr>
          <w:sz w:val="20"/>
          <w:lang w:val="zh-CN"/>
        </w:rPr>
        <w:t>。</w:t>
      </w:r>
    </w:p>
  </w:footnote>
  <w:footnote w:id="4">
    <w:p w14:paraId="54131007" w14:textId="77777777" w:rsidR="006B4506" w:rsidRPr="00082989" w:rsidRDefault="006B4506" w:rsidP="00082989">
      <w:pPr>
        <w:pStyle w:val="FootnoteText"/>
        <w:spacing w:after="60"/>
        <w:rPr>
          <w:sz w:val="20"/>
        </w:rPr>
      </w:pPr>
      <w:r w:rsidRPr="00082989">
        <w:rPr>
          <w:rStyle w:val="FootnoteReference"/>
          <w:sz w:val="20"/>
        </w:rPr>
        <w:footnoteRef/>
      </w:r>
      <w:r w:rsidRPr="00082989">
        <w:rPr>
          <w:sz w:val="20"/>
        </w:rPr>
        <w:t xml:space="preserve"> </w:t>
      </w:r>
      <w:r w:rsidRPr="00082989">
        <w:rPr>
          <w:rFonts w:hAnsi="SimSun" w:hint="eastAsia"/>
          <w:sz w:val="20"/>
          <w:lang w:val="zh-CN"/>
        </w:rPr>
        <w:t>农业生物多样性、缺水和半湿润土地生物多样性、森林生物多样性、内陆水域生物多样性、岛屿生物多样性、海洋和沿海生物多样性、山区生物多样性和保护区。</w:t>
      </w:r>
    </w:p>
  </w:footnote>
  <w:footnote w:id="5">
    <w:p w14:paraId="7A5AC60A" w14:textId="77777777" w:rsidR="006B4506" w:rsidRPr="00082989" w:rsidRDefault="006B4506" w:rsidP="00082989">
      <w:pPr>
        <w:pStyle w:val="FootnoteText"/>
        <w:spacing w:after="60"/>
        <w:rPr>
          <w:sz w:val="20"/>
        </w:rPr>
      </w:pPr>
      <w:r w:rsidRPr="00082989">
        <w:rPr>
          <w:rStyle w:val="FootnoteReference"/>
          <w:sz w:val="20"/>
        </w:rPr>
        <w:footnoteRef/>
      </w:r>
      <w:r w:rsidRPr="00082989">
        <w:rPr>
          <w:sz w:val="20"/>
        </w:rPr>
        <w:t xml:space="preserve"> </w:t>
      </w:r>
      <w:hyperlink r:id="rId3" w:history="1">
        <w:r w:rsidRPr="00082989">
          <w:rPr>
            <w:rStyle w:val="Hyperlink"/>
            <w:sz w:val="20"/>
          </w:rPr>
          <w:t>www.cbd.int/sbi/terms-of-reference</w:t>
        </w:r>
      </w:hyperlink>
      <w:r w:rsidRPr="00082989">
        <w:rPr>
          <w:rFonts w:hAnsi="SimSun" w:hint="eastAsia"/>
          <w:sz w:val="20"/>
          <w:lang w:val="zh-CN"/>
        </w:rPr>
        <w:t>。</w:t>
      </w:r>
    </w:p>
  </w:footnote>
  <w:footnote w:id="6">
    <w:p w14:paraId="076C6440" w14:textId="77777777" w:rsidR="006B4506" w:rsidRDefault="006B4506" w:rsidP="00082989">
      <w:pPr>
        <w:pStyle w:val="FootnoteText"/>
        <w:spacing w:after="60"/>
      </w:pPr>
      <w:r w:rsidRPr="00082989">
        <w:rPr>
          <w:rStyle w:val="FootnoteReference"/>
          <w:sz w:val="20"/>
        </w:rPr>
        <w:footnoteRef/>
      </w:r>
      <w:r w:rsidRPr="00082989">
        <w:rPr>
          <w:sz w:val="20"/>
        </w:rPr>
        <w:t xml:space="preserve"> </w:t>
      </w:r>
      <w:r w:rsidRPr="00082989">
        <w:rPr>
          <w:rFonts w:hAnsi="SimSun" w:hint="eastAsia"/>
          <w:sz w:val="20"/>
          <w:lang w:val="zh-CN"/>
        </w:rPr>
        <w:t>农业生物多样性；传播；教育和公众意识；森林生物多样性；性别平等与生物多样性；健康与生物多样性；内陆水域生物多样性；外来入侵物种；岛屿生物多样性；责任与补救；海洋和沿海生物多样性；监测、报告和审查；规划；保护区；合成生物学；传统知识、创新和做法（《公约》第</w:t>
      </w:r>
      <w:r w:rsidRPr="00082989">
        <w:rPr>
          <w:sz w:val="20"/>
          <w:lang w:val="zh-CN"/>
        </w:rPr>
        <w:t xml:space="preserve"> 8</w:t>
      </w:r>
      <w:r w:rsidRPr="00082989">
        <w:rPr>
          <w:rFonts w:hAnsi="SimSun" w:hint="eastAsia"/>
          <w:sz w:val="20"/>
          <w:lang w:val="zh-CN"/>
        </w:rPr>
        <w:t>（</w:t>
      </w:r>
      <w:r w:rsidRPr="00082989">
        <w:rPr>
          <w:sz w:val="20"/>
          <w:lang w:val="zh-CN"/>
        </w:rPr>
        <w:t>j</w:t>
      </w:r>
      <w:r w:rsidRPr="00082989">
        <w:rPr>
          <w:rFonts w:hAnsi="SimSun" w:hint="eastAsia"/>
          <w:sz w:val="20"/>
          <w:lang w:val="zh-CN"/>
        </w:rPr>
        <w:t>）条）。</w:t>
      </w:r>
    </w:p>
  </w:footnote>
  <w:footnote w:id="7">
    <w:p w14:paraId="644E8D0A" w14:textId="61B3F48F" w:rsidR="006B4506" w:rsidRPr="00082989" w:rsidRDefault="006B4506" w:rsidP="00082989">
      <w:pPr>
        <w:pStyle w:val="FootnoteText"/>
        <w:spacing w:after="60"/>
        <w:rPr>
          <w:sz w:val="20"/>
        </w:rPr>
      </w:pPr>
      <w:r w:rsidRPr="00082989">
        <w:rPr>
          <w:rStyle w:val="FootnoteReference"/>
          <w:sz w:val="20"/>
        </w:rPr>
        <w:footnoteRef/>
      </w:r>
      <w:r w:rsidRPr="00082989">
        <w:rPr>
          <w:sz w:val="20"/>
        </w:rPr>
        <w:t xml:space="preserve"> </w:t>
      </w:r>
      <w:r w:rsidR="00082989">
        <w:rPr>
          <w:rFonts w:hAnsi="SimSun" w:hint="eastAsia"/>
          <w:sz w:val="20"/>
        </w:rPr>
        <w:t>企业</w:t>
      </w:r>
      <w:r w:rsidRPr="00082989">
        <w:rPr>
          <w:rFonts w:hAnsi="SimSun" w:hint="eastAsia"/>
          <w:sz w:val="20"/>
          <w:lang w:val="zh-CN"/>
        </w:rPr>
        <w:t>参与；能力建设；气候变化和生物多样性；遗传资源数字序列信息；经济、贸易和激励措施；生态系统恢复；金融机制；全球植物保护战略；主流化；资源调动；生物多样性的可持续利用；可持续野生生物管理；科技合作；技术转让；旅游和生物多样性。</w:t>
      </w:r>
    </w:p>
  </w:footnote>
  <w:footnote w:id="8">
    <w:p w14:paraId="3485B5C4" w14:textId="77777777" w:rsidR="006B4506" w:rsidRPr="00082989" w:rsidRDefault="006B4506" w:rsidP="00082989">
      <w:pPr>
        <w:pStyle w:val="FootnoteText"/>
        <w:spacing w:after="60"/>
        <w:rPr>
          <w:sz w:val="20"/>
        </w:rPr>
      </w:pPr>
      <w:r w:rsidRPr="00082989">
        <w:rPr>
          <w:rStyle w:val="FootnoteReference"/>
          <w:sz w:val="20"/>
        </w:rPr>
        <w:footnoteRef/>
      </w:r>
      <w:r w:rsidRPr="00082989">
        <w:rPr>
          <w:sz w:val="20"/>
        </w:rPr>
        <w:t xml:space="preserve"> </w:t>
      </w:r>
      <w:r w:rsidRPr="00082989">
        <w:rPr>
          <w:rFonts w:hAnsi="SimSun" w:hint="eastAsia"/>
          <w:sz w:val="20"/>
          <w:lang w:val="zh-CN"/>
        </w:rPr>
        <w:t>生物多样性和文化多样性、促进发展的生物多样性、缺水和半湿润地区生物多样性、生态系统方法、全球生物分类倡议、影响评估和山区生物多样性。</w:t>
      </w:r>
    </w:p>
  </w:footnote>
  <w:footnote w:id="9">
    <w:p w14:paraId="089AE0B8" w14:textId="77777777" w:rsidR="006B4506" w:rsidRPr="00082989" w:rsidRDefault="006B4506" w:rsidP="00082989">
      <w:pPr>
        <w:pStyle w:val="FootnoteText"/>
        <w:spacing w:after="60"/>
        <w:rPr>
          <w:sz w:val="20"/>
        </w:rPr>
      </w:pPr>
      <w:r w:rsidRPr="00082989">
        <w:rPr>
          <w:rStyle w:val="FootnoteReference"/>
          <w:sz w:val="20"/>
        </w:rPr>
        <w:footnoteRef/>
      </w:r>
      <w:r w:rsidRPr="00082989">
        <w:rPr>
          <w:sz w:val="20"/>
        </w:rPr>
        <w:t xml:space="preserve"> </w:t>
      </w:r>
      <w:r w:rsidRPr="00082989">
        <w:rPr>
          <w:rFonts w:hAnsi="SimSun" w:hint="eastAsia"/>
          <w:sz w:val="20"/>
          <w:lang w:val="zh-CN"/>
        </w:rPr>
        <w:t>阿根廷、比利时、巴西、加拿大、哥伦比亚、欧盟及其成员国、德国、日本、墨西哥、荷兰王国、波兰、西班牙、瑞典和瑞士。</w:t>
      </w:r>
    </w:p>
  </w:footnote>
  <w:footnote w:id="10">
    <w:p w14:paraId="38ABB561" w14:textId="77777777" w:rsidR="006B4506" w:rsidRDefault="006B4506" w:rsidP="00082989">
      <w:pPr>
        <w:pStyle w:val="FootnoteText"/>
        <w:spacing w:after="60"/>
      </w:pPr>
      <w:r w:rsidRPr="00082989">
        <w:rPr>
          <w:rStyle w:val="FootnoteReference"/>
          <w:sz w:val="20"/>
        </w:rPr>
        <w:footnoteRef/>
      </w:r>
      <w:r w:rsidRPr="00082989">
        <w:rPr>
          <w:sz w:val="20"/>
        </w:rPr>
        <w:t xml:space="preserve"> </w:t>
      </w:r>
      <w:r w:rsidRPr="00082989">
        <w:rPr>
          <w:rFonts w:hAnsi="SimSun" w:hint="eastAsia"/>
          <w:sz w:val="20"/>
          <w:lang w:val="zh-CN"/>
        </w:rPr>
        <w:t>巴科埃纳皇家理事会、国际植物园保护组织、国际环境法比较中心、安第斯可持续生态发展联盟、联合国粮食及农业组织（提交两份文件）、全球山区生物多样性评估、全球青年生物多样性网络、国际山地综合发展中心、山地伙伴关系秘书处、国家土著妇女论坛、皇家鸟类保护协会、大自然保护协会和联合国环境规划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8C085" w14:textId="77777777" w:rsidR="006B4506" w:rsidRDefault="006B4506">
    <w:pPr>
      <w:pStyle w:val="Header"/>
      <w:rPr>
        <w:szCs w:val="24"/>
        <w:lang w:val="en-US"/>
      </w:rPr>
    </w:pPr>
    <w:r>
      <w:rPr>
        <w:szCs w:val="24"/>
        <w:lang w:val="en-US"/>
      </w:rPr>
      <w:t>CBD/SBSTTA/27/5/Add.1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7CA9" w14:textId="77777777" w:rsidR="006B4506" w:rsidRDefault="006B4506">
    <w:pPr>
      <w:pStyle w:val="Header"/>
      <w:jc w:val="right"/>
      <w:rPr>
        <w:szCs w:val="24"/>
        <w:lang w:val="en-US"/>
      </w:rPr>
    </w:pPr>
    <w:r>
      <w:rPr>
        <w:szCs w:val="24"/>
        <w:lang w:val="en-US"/>
      </w:rPr>
      <w:t>CBD/SBSTTA/27/5/Add.1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712E" w14:textId="77777777" w:rsidR="006B4506" w:rsidRDefault="006B4506">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4EC5FBA"/>
    <w:lvl w:ilvl="0">
      <w:start w:val="1"/>
      <w:numFmt w:val="decimal"/>
      <w:pStyle w:val="CBDNormalNumber"/>
      <w:lvlText w:val="%1."/>
      <w:lvlJc w:val="left"/>
      <w:pPr>
        <w:tabs>
          <w:tab w:val="num" w:pos="1209"/>
        </w:tabs>
        <w:ind w:left="1209" w:hanging="360"/>
      </w:pPr>
      <w:rPr>
        <w:rFonts w:cs="Times New Roman"/>
      </w:rPr>
    </w:lvl>
  </w:abstractNum>
  <w:abstractNum w:abstractNumId="2" w15:restartNumberingAfterBreak="0">
    <w:nsid w:val="FFFFFF80"/>
    <w:multiLevelType w:val="singleLevel"/>
    <w:tmpl w:val="2E8628BA"/>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F334C9C6"/>
    <w:lvl w:ilvl="0">
      <w:start w:val="1"/>
      <w:numFmt w:val="bullet"/>
      <w:pStyle w:val="ListBullet3"/>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6342F88"/>
    <w:lvl w:ilvl="0">
      <w:start w:val="1"/>
      <w:numFmt w:val="bullet"/>
      <w:pStyle w:val="ListBullet2"/>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D206D0A"/>
    <w:lvl w:ilvl="0">
      <w:start w:val="1"/>
      <w:numFmt w:val="bullet"/>
      <w:pStyle w:val="List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EC63D5E"/>
    <w:lvl w:ilvl="0">
      <w:start w:val="1"/>
      <w:numFmt w:val="decimal"/>
      <w:pStyle w:val="ListBullet5"/>
      <w:lvlText w:val="%1."/>
      <w:lvlJc w:val="left"/>
      <w:pPr>
        <w:tabs>
          <w:tab w:val="num" w:pos="360"/>
        </w:tabs>
        <w:ind w:left="360" w:hanging="360"/>
      </w:pPr>
      <w:rPr>
        <w:rFonts w:cs="Times New Roman"/>
      </w:rPr>
    </w:lvl>
  </w:abstractNum>
  <w:abstractNum w:abstractNumId="7" w15:restartNumberingAfterBreak="0">
    <w:nsid w:val="FFFFFF89"/>
    <w:multiLevelType w:val="singleLevel"/>
    <w:tmpl w:val="7B20F29A"/>
    <w:lvl w:ilvl="0">
      <w:start w:val="1"/>
      <w:numFmt w:val="bullet"/>
      <w:pStyle w:val="ListNumber2"/>
      <w:lvlText w:val=""/>
      <w:lvlJc w:val="left"/>
      <w:pPr>
        <w:tabs>
          <w:tab w:val="num" w:pos="360"/>
        </w:tabs>
        <w:ind w:left="360" w:hanging="360"/>
      </w:pPr>
      <w:rPr>
        <w:rFonts w:ascii="Symbol" w:hAnsi="Symbol" w:hint="default"/>
      </w:rPr>
    </w:lvl>
  </w:abstractNum>
  <w:abstractNum w:abstractNumId="8"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 w15:restartNumberingAfterBreak="0">
    <w:nsid w:val="5D943BEE"/>
    <w:multiLevelType w:val="multilevel"/>
    <w:tmpl w:val="222A08B4"/>
    <w:numStyleLink w:val="ListCBD"/>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226916854">
    <w:abstractNumId w:val="5"/>
  </w:num>
  <w:num w:numId="2" w16cid:durableId="762645971">
    <w:abstractNumId w:val="4"/>
  </w:num>
  <w:num w:numId="3" w16cid:durableId="640308393">
    <w:abstractNumId w:val="3"/>
  </w:num>
  <w:num w:numId="4" w16cid:durableId="1676834614">
    <w:abstractNumId w:val="2"/>
  </w:num>
  <w:num w:numId="5" w16cid:durableId="1570771653">
    <w:abstractNumId w:val="6"/>
  </w:num>
  <w:num w:numId="6" w16cid:durableId="166865415">
    <w:abstractNumId w:val="1"/>
  </w:num>
  <w:num w:numId="7" w16cid:durableId="1512525553">
    <w:abstractNumId w:val="0"/>
  </w:num>
  <w:num w:numId="8" w16cid:durableId="591428869">
    <w:abstractNumId w:val="7"/>
  </w:num>
  <w:num w:numId="9" w16cid:durableId="550921046">
    <w:abstractNumId w:val="11"/>
  </w:num>
  <w:num w:numId="10" w16cid:durableId="484860337">
    <w:abstractNumId w:val="8"/>
  </w:num>
  <w:num w:numId="11" w16cid:durableId="921910793">
    <w:abstractNumId w:val="10"/>
  </w:num>
  <w:num w:numId="12" w16cid:durableId="111289779">
    <w:abstractNumId w:val="9"/>
  </w:num>
  <w:num w:numId="13" w16cid:durableId="808982145">
    <w:abstractNumId w:val="1"/>
  </w:num>
  <w:num w:numId="14" w16cid:durableId="597756324">
    <w:abstractNumId w:val="1"/>
  </w:num>
  <w:num w:numId="15" w16cid:durableId="1415785949">
    <w:abstractNumId w:val="1"/>
  </w:num>
  <w:num w:numId="16" w16cid:durableId="127096170">
    <w:abstractNumId w:val="1"/>
  </w:num>
  <w:num w:numId="17" w16cid:durableId="1921212064">
    <w:abstractNumId w:val="1"/>
  </w:num>
  <w:num w:numId="18" w16cid:durableId="364521555">
    <w:abstractNumId w:val="1"/>
  </w:num>
  <w:num w:numId="19" w16cid:durableId="224070975">
    <w:abstractNumId w:val="1"/>
  </w:num>
  <w:num w:numId="20" w16cid:durableId="1696154479">
    <w:abstractNumId w:val="1"/>
  </w:num>
  <w:num w:numId="21" w16cid:durableId="873273737">
    <w:abstractNumId w:val="1"/>
  </w:num>
  <w:num w:numId="22" w16cid:durableId="1453666942">
    <w:abstractNumId w:val="1"/>
  </w:num>
  <w:num w:numId="23" w16cid:durableId="1334451667">
    <w:abstractNumId w:val="1"/>
  </w:num>
  <w:num w:numId="24" w16cid:durableId="1589071986">
    <w:abstractNumId w:val="1"/>
  </w:num>
  <w:num w:numId="25" w16cid:durableId="1373264640">
    <w:abstractNumId w:val="1"/>
  </w:num>
  <w:num w:numId="26" w16cid:durableId="1070809894">
    <w:abstractNumId w:val="1"/>
  </w:num>
  <w:num w:numId="27" w16cid:durableId="2065063547">
    <w:abstractNumId w:val="1"/>
  </w:num>
  <w:num w:numId="28" w16cid:durableId="37141999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oNotTrackMoves/>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F1219"/>
    <w:rsid w:val="00002902"/>
    <w:rsid w:val="00003DFC"/>
    <w:rsid w:val="000041E6"/>
    <w:rsid w:val="00004364"/>
    <w:rsid w:val="000052E7"/>
    <w:rsid w:val="000060CC"/>
    <w:rsid w:val="000066B3"/>
    <w:rsid w:val="00010560"/>
    <w:rsid w:val="000120CD"/>
    <w:rsid w:val="000148CE"/>
    <w:rsid w:val="00015CEE"/>
    <w:rsid w:val="0001674E"/>
    <w:rsid w:val="00021991"/>
    <w:rsid w:val="00024ABF"/>
    <w:rsid w:val="000252ED"/>
    <w:rsid w:val="00026EAA"/>
    <w:rsid w:val="000274CE"/>
    <w:rsid w:val="00031028"/>
    <w:rsid w:val="000318B3"/>
    <w:rsid w:val="00032032"/>
    <w:rsid w:val="000328E2"/>
    <w:rsid w:val="000375F3"/>
    <w:rsid w:val="00037BB1"/>
    <w:rsid w:val="00042642"/>
    <w:rsid w:val="000435CA"/>
    <w:rsid w:val="0004363A"/>
    <w:rsid w:val="000503F2"/>
    <w:rsid w:val="00051855"/>
    <w:rsid w:val="00055B13"/>
    <w:rsid w:val="00061BC4"/>
    <w:rsid w:val="0006312F"/>
    <w:rsid w:val="00063847"/>
    <w:rsid w:val="0006526C"/>
    <w:rsid w:val="000653FB"/>
    <w:rsid w:val="0007034D"/>
    <w:rsid w:val="00071D7F"/>
    <w:rsid w:val="00072532"/>
    <w:rsid w:val="00073637"/>
    <w:rsid w:val="00073E77"/>
    <w:rsid w:val="000743E8"/>
    <w:rsid w:val="0007507E"/>
    <w:rsid w:val="00075FBD"/>
    <w:rsid w:val="00076E54"/>
    <w:rsid w:val="000773CD"/>
    <w:rsid w:val="0008049F"/>
    <w:rsid w:val="00082989"/>
    <w:rsid w:val="000833F3"/>
    <w:rsid w:val="00085779"/>
    <w:rsid w:val="00086182"/>
    <w:rsid w:val="00086625"/>
    <w:rsid w:val="000908C9"/>
    <w:rsid w:val="000910A1"/>
    <w:rsid w:val="0009199D"/>
    <w:rsid w:val="000919E0"/>
    <w:rsid w:val="00091CBA"/>
    <w:rsid w:val="00092772"/>
    <w:rsid w:val="00092FCD"/>
    <w:rsid w:val="00093636"/>
    <w:rsid w:val="00093FBF"/>
    <w:rsid w:val="00094FFF"/>
    <w:rsid w:val="00095E1E"/>
    <w:rsid w:val="00096054"/>
    <w:rsid w:val="00096252"/>
    <w:rsid w:val="000A02E8"/>
    <w:rsid w:val="000A172B"/>
    <w:rsid w:val="000A25CB"/>
    <w:rsid w:val="000A2AF6"/>
    <w:rsid w:val="000A4A7A"/>
    <w:rsid w:val="000A4E6E"/>
    <w:rsid w:val="000A4FF5"/>
    <w:rsid w:val="000A58F1"/>
    <w:rsid w:val="000A6444"/>
    <w:rsid w:val="000B0265"/>
    <w:rsid w:val="000B1B34"/>
    <w:rsid w:val="000B1CFB"/>
    <w:rsid w:val="000B45AB"/>
    <w:rsid w:val="000B7DEA"/>
    <w:rsid w:val="000B7EC6"/>
    <w:rsid w:val="000C2F8C"/>
    <w:rsid w:val="000C343E"/>
    <w:rsid w:val="000C3B42"/>
    <w:rsid w:val="000C50BE"/>
    <w:rsid w:val="000C51EC"/>
    <w:rsid w:val="000C6BFC"/>
    <w:rsid w:val="000C75C1"/>
    <w:rsid w:val="000D2B32"/>
    <w:rsid w:val="000D4EED"/>
    <w:rsid w:val="000D5C27"/>
    <w:rsid w:val="000E27F0"/>
    <w:rsid w:val="000E4B43"/>
    <w:rsid w:val="000E65B1"/>
    <w:rsid w:val="000E74E4"/>
    <w:rsid w:val="000F074F"/>
    <w:rsid w:val="000F3B6F"/>
    <w:rsid w:val="00105DA4"/>
    <w:rsid w:val="001065E9"/>
    <w:rsid w:val="0010768B"/>
    <w:rsid w:val="001107FB"/>
    <w:rsid w:val="001110B5"/>
    <w:rsid w:val="00112A93"/>
    <w:rsid w:val="00114F07"/>
    <w:rsid w:val="001159FB"/>
    <w:rsid w:val="00115A21"/>
    <w:rsid w:val="00117F0F"/>
    <w:rsid w:val="00122F39"/>
    <w:rsid w:val="001245F1"/>
    <w:rsid w:val="001272E6"/>
    <w:rsid w:val="0013566F"/>
    <w:rsid w:val="00141386"/>
    <w:rsid w:val="00141D91"/>
    <w:rsid w:val="00142ED2"/>
    <w:rsid w:val="00143DAF"/>
    <w:rsid w:val="00144ECB"/>
    <w:rsid w:val="0014662D"/>
    <w:rsid w:val="00150154"/>
    <w:rsid w:val="001504D4"/>
    <w:rsid w:val="001530FF"/>
    <w:rsid w:val="0015402A"/>
    <w:rsid w:val="001604C4"/>
    <w:rsid w:val="00162703"/>
    <w:rsid w:val="00162A3C"/>
    <w:rsid w:val="001639BF"/>
    <w:rsid w:val="001663F6"/>
    <w:rsid w:val="001713B2"/>
    <w:rsid w:val="0018193C"/>
    <w:rsid w:val="0018233C"/>
    <w:rsid w:val="00183C90"/>
    <w:rsid w:val="001904D0"/>
    <w:rsid w:val="00190861"/>
    <w:rsid w:val="00195044"/>
    <w:rsid w:val="001979D1"/>
    <w:rsid w:val="00197FCD"/>
    <w:rsid w:val="001A0674"/>
    <w:rsid w:val="001A0B29"/>
    <w:rsid w:val="001A1812"/>
    <w:rsid w:val="001A1BE8"/>
    <w:rsid w:val="001A35FB"/>
    <w:rsid w:val="001A469A"/>
    <w:rsid w:val="001A4CED"/>
    <w:rsid w:val="001A5A37"/>
    <w:rsid w:val="001A5BE9"/>
    <w:rsid w:val="001A655F"/>
    <w:rsid w:val="001B5695"/>
    <w:rsid w:val="001B6E8F"/>
    <w:rsid w:val="001B7F5E"/>
    <w:rsid w:val="001C0D29"/>
    <w:rsid w:val="001C7C4F"/>
    <w:rsid w:val="001D0A0E"/>
    <w:rsid w:val="001D2B89"/>
    <w:rsid w:val="001D385F"/>
    <w:rsid w:val="001D4136"/>
    <w:rsid w:val="001E0352"/>
    <w:rsid w:val="001E14B7"/>
    <w:rsid w:val="001E18CF"/>
    <w:rsid w:val="001E2953"/>
    <w:rsid w:val="001E4596"/>
    <w:rsid w:val="001E5417"/>
    <w:rsid w:val="001F255F"/>
    <w:rsid w:val="001F2685"/>
    <w:rsid w:val="001F5E1E"/>
    <w:rsid w:val="00200268"/>
    <w:rsid w:val="00200703"/>
    <w:rsid w:val="00203137"/>
    <w:rsid w:val="00211141"/>
    <w:rsid w:val="00213C19"/>
    <w:rsid w:val="00215EB7"/>
    <w:rsid w:val="0021651B"/>
    <w:rsid w:val="00221649"/>
    <w:rsid w:val="00222098"/>
    <w:rsid w:val="00222A48"/>
    <w:rsid w:val="00224106"/>
    <w:rsid w:val="002303F8"/>
    <w:rsid w:val="00231115"/>
    <w:rsid w:val="002326B0"/>
    <w:rsid w:val="0023789E"/>
    <w:rsid w:val="00237A0F"/>
    <w:rsid w:val="00243969"/>
    <w:rsid w:val="00243E31"/>
    <w:rsid w:val="0026658B"/>
    <w:rsid w:val="00266847"/>
    <w:rsid w:val="00267E20"/>
    <w:rsid w:val="00270D90"/>
    <w:rsid w:val="00274332"/>
    <w:rsid w:val="00275936"/>
    <w:rsid w:val="00280661"/>
    <w:rsid w:val="002826B8"/>
    <w:rsid w:val="002827AA"/>
    <w:rsid w:val="00283957"/>
    <w:rsid w:val="00283DED"/>
    <w:rsid w:val="00285303"/>
    <w:rsid w:val="00285C1F"/>
    <w:rsid w:val="002902C1"/>
    <w:rsid w:val="00290EDB"/>
    <w:rsid w:val="00294959"/>
    <w:rsid w:val="0029537D"/>
    <w:rsid w:val="00295C9A"/>
    <w:rsid w:val="00295F45"/>
    <w:rsid w:val="002974E9"/>
    <w:rsid w:val="00297B6B"/>
    <w:rsid w:val="002A6CEB"/>
    <w:rsid w:val="002A76A6"/>
    <w:rsid w:val="002B03A0"/>
    <w:rsid w:val="002B3C9E"/>
    <w:rsid w:val="002B4BC2"/>
    <w:rsid w:val="002B53CD"/>
    <w:rsid w:val="002C1391"/>
    <w:rsid w:val="002C2886"/>
    <w:rsid w:val="002C2AFF"/>
    <w:rsid w:val="002C3E41"/>
    <w:rsid w:val="002C5CA2"/>
    <w:rsid w:val="002C6B69"/>
    <w:rsid w:val="002D0C0E"/>
    <w:rsid w:val="002D4588"/>
    <w:rsid w:val="002D4741"/>
    <w:rsid w:val="002E1A5C"/>
    <w:rsid w:val="002E2964"/>
    <w:rsid w:val="002E2B1F"/>
    <w:rsid w:val="002E343B"/>
    <w:rsid w:val="002E43BF"/>
    <w:rsid w:val="002E4E01"/>
    <w:rsid w:val="002F09A4"/>
    <w:rsid w:val="002F0C30"/>
    <w:rsid w:val="002F2C33"/>
    <w:rsid w:val="003015A5"/>
    <w:rsid w:val="00301ACA"/>
    <w:rsid w:val="00303A80"/>
    <w:rsid w:val="0030654E"/>
    <w:rsid w:val="00306718"/>
    <w:rsid w:val="00307DBE"/>
    <w:rsid w:val="00311BCE"/>
    <w:rsid w:val="003141FF"/>
    <w:rsid w:val="003144CE"/>
    <w:rsid w:val="00314E59"/>
    <w:rsid w:val="003170A1"/>
    <w:rsid w:val="00322C0B"/>
    <w:rsid w:val="00326F3F"/>
    <w:rsid w:val="003312CF"/>
    <w:rsid w:val="00333B7C"/>
    <w:rsid w:val="003346F6"/>
    <w:rsid w:val="003354BA"/>
    <w:rsid w:val="00337598"/>
    <w:rsid w:val="00343B55"/>
    <w:rsid w:val="00344B33"/>
    <w:rsid w:val="00345D7F"/>
    <w:rsid w:val="003468F2"/>
    <w:rsid w:val="003469C2"/>
    <w:rsid w:val="003506E3"/>
    <w:rsid w:val="0035176F"/>
    <w:rsid w:val="003535A1"/>
    <w:rsid w:val="00353ADB"/>
    <w:rsid w:val="003559EC"/>
    <w:rsid w:val="003611EB"/>
    <w:rsid w:val="003622D3"/>
    <w:rsid w:val="00365E07"/>
    <w:rsid w:val="003663D8"/>
    <w:rsid w:val="003725B4"/>
    <w:rsid w:val="003752FD"/>
    <w:rsid w:val="00376266"/>
    <w:rsid w:val="00380A18"/>
    <w:rsid w:val="00383F23"/>
    <w:rsid w:val="00384C1A"/>
    <w:rsid w:val="003851D2"/>
    <w:rsid w:val="00387B00"/>
    <w:rsid w:val="00387C6B"/>
    <w:rsid w:val="00387EAE"/>
    <w:rsid w:val="003927B7"/>
    <w:rsid w:val="00392BB4"/>
    <w:rsid w:val="003930BF"/>
    <w:rsid w:val="003941CC"/>
    <w:rsid w:val="003A0032"/>
    <w:rsid w:val="003A105B"/>
    <w:rsid w:val="003A12AE"/>
    <w:rsid w:val="003A3429"/>
    <w:rsid w:val="003A4546"/>
    <w:rsid w:val="003A49CB"/>
    <w:rsid w:val="003A50CB"/>
    <w:rsid w:val="003A6BB1"/>
    <w:rsid w:val="003B064E"/>
    <w:rsid w:val="003B142B"/>
    <w:rsid w:val="003B142D"/>
    <w:rsid w:val="003B3B5F"/>
    <w:rsid w:val="003B42B9"/>
    <w:rsid w:val="003C0079"/>
    <w:rsid w:val="003C5CC0"/>
    <w:rsid w:val="003D3818"/>
    <w:rsid w:val="003D44D3"/>
    <w:rsid w:val="003D4CEA"/>
    <w:rsid w:val="003D6945"/>
    <w:rsid w:val="003E0627"/>
    <w:rsid w:val="003E1A80"/>
    <w:rsid w:val="003E42C7"/>
    <w:rsid w:val="003E6CFD"/>
    <w:rsid w:val="003E71AE"/>
    <w:rsid w:val="003F054E"/>
    <w:rsid w:val="003F0C73"/>
    <w:rsid w:val="003F104D"/>
    <w:rsid w:val="003F2A04"/>
    <w:rsid w:val="003F2B37"/>
    <w:rsid w:val="003F4CBF"/>
    <w:rsid w:val="003F7026"/>
    <w:rsid w:val="004025C9"/>
    <w:rsid w:val="00405014"/>
    <w:rsid w:val="00405932"/>
    <w:rsid w:val="00405CFC"/>
    <w:rsid w:val="004062EB"/>
    <w:rsid w:val="004076F9"/>
    <w:rsid w:val="00407A6A"/>
    <w:rsid w:val="00407BA9"/>
    <w:rsid w:val="00410981"/>
    <w:rsid w:val="004120A3"/>
    <w:rsid w:val="00415D6C"/>
    <w:rsid w:val="004213E8"/>
    <w:rsid w:val="00422165"/>
    <w:rsid w:val="00426DCB"/>
    <w:rsid w:val="004300E1"/>
    <w:rsid w:val="004303A8"/>
    <w:rsid w:val="0043481D"/>
    <w:rsid w:val="00436B4C"/>
    <w:rsid w:val="0044423B"/>
    <w:rsid w:val="00446DB8"/>
    <w:rsid w:val="0045012E"/>
    <w:rsid w:val="00450DCB"/>
    <w:rsid w:val="004516F6"/>
    <w:rsid w:val="00455AD1"/>
    <w:rsid w:val="00457312"/>
    <w:rsid w:val="004576B3"/>
    <w:rsid w:val="00457723"/>
    <w:rsid w:val="00460CCB"/>
    <w:rsid w:val="00462174"/>
    <w:rsid w:val="004708B8"/>
    <w:rsid w:val="004759E1"/>
    <w:rsid w:val="00476301"/>
    <w:rsid w:val="00476729"/>
    <w:rsid w:val="004771A5"/>
    <w:rsid w:val="004771E6"/>
    <w:rsid w:val="0048090C"/>
    <w:rsid w:val="004838BD"/>
    <w:rsid w:val="00484245"/>
    <w:rsid w:val="0048473B"/>
    <w:rsid w:val="00484F09"/>
    <w:rsid w:val="004852B0"/>
    <w:rsid w:val="004859FC"/>
    <w:rsid w:val="00486EDE"/>
    <w:rsid w:val="00487C62"/>
    <w:rsid w:val="0049205A"/>
    <w:rsid w:val="00493390"/>
    <w:rsid w:val="00493B6E"/>
    <w:rsid w:val="00494221"/>
    <w:rsid w:val="00494D00"/>
    <w:rsid w:val="00496CE0"/>
    <w:rsid w:val="004A18CD"/>
    <w:rsid w:val="004A1C1A"/>
    <w:rsid w:val="004A3CC4"/>
    <w:rsid w:val="004A58FE"/>
    <w:rsid w:val="004A7044"/>
    <w:rsid w:val="004A7B2A"/>
    <w:rsid w:val="004A7EAE"/>
    <w:rsid w:val="004B063E"/>
    <w:rsid w:val="004B1FF7"/>
    <w:rsid w:val="004B313A"/>
    <w:rsid w:val="004B438A"/>
    <w:rsid w:val="004B614E"/>
    <w:rsid w:val="004B68A4"/>
    <w:rsid w:val="004B729A"/>
    <w:rsid w:val="004B75A3"/>
    <w:rsid w:val="004C0820"/>
    <w:rsid w:val="004C2983"/>
    <w:rsid w:val="004C78F7"/>
    <w:rsid w:val="004C7BE5"/>
    <w:rsid w:val="004D0F1A"/>
    <w:rsid w:val="004D1A00"/>
    <w:rsid w:val="004D3777"/>
    <w:rsid w:val="004D3BA9"/>
    <w:rsid w:val="004D46CF"/>
    <w:rsid w:val="004D5CD7"/>
    <w:rsid w:val="004D7345"/>
    <w:rsid w:val="004D7AF6"/>
    <w:rsid w:val="004E0246"/>
    <w:rsid w:val="004E6B6C"/>
    <w:rsid w:val="004F00C7"/>
    <w:rsid w:val="004F1219"/>
    <w:rsid w:val="004F4E62"/>
    <w:rsid w:val="004F54EF"/>
    <w:rsid w:val="004F5710"/>
    <w:rsid w:val="004F62D9"/>
    <w:rsid w:val="004F65F9"/>
    <w:rsid w:val="004F6B32"/>
    <w:rsid w:val="004F6CF7"/>
    <w:rsid w:val="005012FC"/>
    <w:rsid w:val="005018A4"/>
    <w:rsid w:val="00502552"/>
    <w:rsid w:val="005048E5"/>
    <w:rsid w:val="005069F9"/>
    <w:rsid w:val="005076F8"/>
    <w:rsid w:val="0051094E"/>
    <w:rsid w:val="00515F80"/>
    <w:rsid w:val="00517B83"/>
    <w:rsid w:val="00517ED2"/>
    <w:rsid w:val="005224BA"/>
    <w:rsid w:val="0052354B"/>
    <w:rsid w:val="0052355E"/>
    <w:rsid w:val="00524434"/>
    <w:rsid w:val="00524A93"/>
    <w:rsid w:val="005269D0"/>
    <w:rsid w:val="00526EF3"/>
    <w:rsid w:val="00530E43"/>
    <w:rsid w:val="0053164B"/>
    <w:rsid w:val="00531E4D"/>
    <w:rsid w:val="005325C5"/>
    <w:rsid w:val="005326BA"/>
    <w:rsid w:val="0053341D"/>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60E7"/>
    <w:rsid w:val="00567EFA"/>
    <w:rsid w:val="0057063E"/>
    <w:rsid w:val="005745E8"/>
    <w:rsid w:val="00575276"/>
    <w:rsid w:val="0057595B"/>
    <w:rsid w:val="00576FE9"/>
    <w:rsid w:val="00577B85"/>
    <w:rsid w:val="00580DD2"/>
    <w:rsid w:val="00582993"/>
    <w:rsid w:val="0058327C"/>
    <w:rsid w:val="00583CF5"/>
    <w:rsid w:val="00584052"/>
    <w:rsid w:val="0058430A"/>
    <w:rsid w:val="0058490B"/>
    <w:rsid w:val="00584CBD"/>
    <w:rsid w:val="00584E13"/>
    <w:rsid w:val="00585737"/>
    <w:rsid w:val="00587D57"/>
    <w:rsid w:val="00593D25"/>
    <w:rsid w:val="00593D71"/>
    <w:rsid w:val="005956A4"/>
    <w:rsid w:val="00596DAE"/>
    <w:rsid w:val="005972AE"/>
    <w:rsid w:val="005A197B"/>
    <w:rsid w:val="005A2F0E"/>
    <w:rsid w:val="005A51A1"/>
    <w:rsid w:val="005A524A"/>
    <w:rsid w:val="005A6EBF"/>
    <w:rsid w:val="005A76B9"/>
    <w:rsid w:val="005B3523"/>
    <w:rsid w:val="005B5BCA"/>
    <w:rsid w:val="005B63CB"/>
    <w:rsid w:val="005B7D44"/>
    <w:rsid w:val="005C04AB"/>
    <w:rsid w:val="005C0A85"/>
    <w:rsid w:val="005C327A"/>
    <w:rsid w:val="005C5D46"/>
    <w:rsid w:val="005C71ED"/>
    <w:rsid w:val="005C789B"/>
    <w:rsid w:val="005C7E61"/>
    <w:rsid w:val="005D2DC3"/>
    <w:rsid w:val="005D34BB"/>
    <w:rsid w:val="005E06B7"/>
    <w:rsid w:val="005E4D35"/>
    <w:rsid w:val="005E5D06"/>
    <w:rsid w:val="005E7993"/>
    <w:rsid w:val="005F1DC1"/>
    <w:rsid w:val="005F2ED4"/>
    <w:rsid w:val="005F2FAF"/>
    <w:rsid w:val="005F333A"/>
    <w:rsid w:val="005F5054"/>
    <w:rsid w:val="005F530C"/>
    <w:rsid w:val="00611B71"/>
    <w:rsid w:val="0061393B"/>
    <w:rsid w:val="006143F4"/>
    <w:rsid w:val="00616A3B"/>
    <w:rsid w:val="0061764F"/>
    <w:rsid w:val="00620F6D"/>
    <w:rsid w:val="00620FAB"/>
    <w:rsid w:val="00623396"/>
    <w:rsid w:val="006238F7"/>
    <w:rsid w:val="00634FA3"/>
    <w:rsid w:val="006354D8"/>
    <w:rsid w:val="00637FA0"/>
    <w:rsid w:val="00640DAE"/>
    <w:rsid w:val="006410CF"/>
    <w:rsid w:val="006426B3"/>
    <w:rsid w:val="00645673"/>
    <w:rsid w:val="00645D7B"/>
    <w:rsid w:val="00647656"/>
    <w:rsid w:val="00653176"/>
    <w:rsid w:val="006542E3"/>
    <w:rsid w:val="00657C17"/>
    <w:rsid w:val="006605AE"/>
    <w:rsid w:val="00660CAF"/>
    <w:rsid w:val="0066174F"/>
    <w:rsid w:val="00663A91"/>
    <w:rsid w:val="00666B37"/>
    <w:rsid w:val="006701F6"/>
    <w:rsid w:val="00670A8B"/>
    <w:rsid w:val="00671D84"/>
    <w:rsid w:val="0067347B"/>
    <w:rsid w:val="00676CA4"/>
    <w:rsid w:val="0068145E"/>
    <w:rsid w:val="00682A88"/>
    <w:rsid w:val="00685AB6"/>
    <w:rsid w:val="00686C3B"/>
    <w:rsid w:val="006908AF"/>
    <w:rsid w:val="006921BB"/>
    <w:rsid w:val="00692251"/>
    <w:rsid w:val="006964FB"/>
    <w:rsid w:val="006975DA"/>
    <w:rsid w:val="006A2623"/>
    <w:rsid w:val="006A31A9"/>
    <w:rsid w:val="006A5414"/>
    <w:rsid w:val="006A7476"/>
    <w:rsid w:val="006B24C7"/>
    <w:rsid w:val="006B261F"/>
    <w:rsid w:val="006B266E"/>
    <w:rsid w:val="006B34A6"/>
    <w:rsid w:val="006B35D8"/>
    <w:rsid w:val="006B3FFD"/>
    <w:rsid w:val="006B4506"/>
    <w:rsid w:val="006B6D3E"/>
    <w:rsid w:val="006B709B"/>
    <w:rsid w:val="006B7E6C"/>
    <w:rsid w:val="006C2DA8"/>
    <w:rsid w:val="006D0BE1"/>
    <w:rsid w:val="006D1708"/>
    <w:rsid w:val="006D2293"/>
    <w:rsid w:val="006D357F"/>
    <w:rsid w:val="006D53AA"/>
    <w:rsid w:val="006D56F6"/>
    <w:rsid w:val="006D66FF"/>
    <w:rsid w:val="006D7777"/>
    <w:rsid w:val="006E2538"/>
    <w:rsid w:val="006E399E"/>
    <w:rsid w:val="006E66B7"/>
    <w:rsid w:val="006E703C"/>
    <w:rsid w:val="006E73CF"/>
    <w:rsid w:val="006F0628"/>
    <w:rsid w:val="006F0B8F"/>
    <w:rsid w:val="006F105B"/>
    <w:rsid w:val="006F3B4E"/>
    <w:rsid w:val="006F50E6"/>
    <w:rsid w:val="006F7141"/>
    <w:rsid w:val="007036B0"/>
    <w:rsid w:val="0070752E"/>
    <w:rsid w:val="00707D67"/>
    <w:rsid w:val="00713D81"/>
    <w:rsid w:val="007141D4"/>
    <w:rsid w:val="007152E5"/>
    <w:rsid w:val="007161A1"/>
    <w:rsid w:val="00720FA2"/>
    <w:rsid w:val="007236DB"/>
    <w:rsid w:val="007245B5"/>
    <w:rsid w:val="007250B9"/>
    <w:rsid w:val="0072789B"/>
    <w:rsid w:val="00727D30"/>
    <w:rsid w:val="00736E15"/>
    <w:rsid w:val="00737790"/>
    <w:rsid w:val="007378E8"/>
    <w:rsid w:val="007402BE"/>
    <w:rsid w:val="00741E74"/>
    <w:rsid w:val="00744EF6"/>
    <w:rsid w:val="00751289"/>
    <w:rsid w:val="007531E1"/>
    <w:rsid w:val="00756A6C"/>
    <w:rsid w:val="00756B77"/>
    <w:rsid w:val="00757CF1"/>
    <w:rsid w:val="00763442"/>
    <w:rsid w:val="00766EA1"/>
    <w:rsid w:val="00767C4C"/>
    <w:rsid w:val="007700D1"/>
    <w:rsid w:val="00771B98"/>
    <w:rsid w:val="00772882"/>
    <w:rsid w:val="00772D52"/>
    <w:rsid w:val="00772F56"/>
    <w:rsid w:val="00772FC1"/>
    <w:rsid w:val="00775047"/>
    <w:rsid w:val="00781660"/>
    <w:rsid w:val="007826F3"/>
    <w:rsid w:val="00782A72"/>
    <w:rsid w:val="00782DD4"/>
    <w:rsid w:val="007845D1"/>
    <w:rsid w:val="00784CB2"/>
    <w:rsid w:val="007859F2"/>
    <w:rsid w:val="0078723D"/>
    <w:rsid w:val="00787F36"/>
    <w:rsid w:val="00790141"/>
    <w:rsid w:val="00793071"/>
    <w:rsid w:val="00793C39"/>
    <w:rsid w:val="00794114"/>
    <w:rsid w:val="0079585C"/>
    <w:rsid w:val="00795F41"/>
    <w:rsid w:val="007A1F82"/>
    <w:rsid w:val="007A4503"/>
    <w:rsid w:val="007A7AA0"/>
    <w:rsid w:val="007B0D9A"/>
    <w:rsid w:val="007B2C89"/>
    <w:rsid w:val="007C0F34"/>
    <w:rsid w:val="007C0F38"/>
    <w:rsid w:val="007C1356"/>
    <w:rsid w:val="007C160E"/>
    <w:rsid w:val="007C2BF9"/>
    <w:rsid w:val="007C3FC3"/>
    <w:rsid w:val="007C4D77"/>
    <w:rsid w:val="007C53FF"/>
    <w:rsid w:val="007C618E"/>
    <w:rsid w:val="007D2E89"/>
    <w:rsid w:val="007D35F2"/>
    <w:rsid w:val="007D610E"/>
    <w:rsid w:val="007D64FB"/>
    <w:rsid w:val="007E1D15"/>
    <w:rsid w:val="007E2390"/>
    <w:rsid w:val="007E5C19"/>
    <w:rsid w:val="007E6E1E"/>
    <w:rsid w:val="007E7048"/>
    <w:rsid w:val="007F28C9"/>
    <w:rsid w:val="007F317B"/>
    <w:rsid w:val="007F39AA"/>
    <w:rsid w:val="007F464D"/>
    <w:rsid w:val="007F7FB5"/>
    <w:rsid w:val="00800A08"/>
    <w:rsid w:val="0080134B"/>
    <w:rsid w:val="008023D7"/>
    <w:rsid w:val="00802BB2"/>
    <w:rsid w:val="008046B1"/>
    <w:rsid w:val="008120FA"/>
    <w:rsid w:val="00812601"/>
    <w:rsid w:val="00812828"/>
    <w:rsid w:val="008138DF"/>
    <w:rsid w:val="008149D5"/>
    <w:rsid w:val="008174AA"/>
    <w:rsid w:val="0081785D"/>
    <w:rsid w:val="00817937"/>
    <w:rsid w:val="008232D3"/>
    <w:rsid w:val="00825F91"/>
    <w:rsid w:val="00826191"/>
    <w:rsid w:val="00830CF1"/>
    <w:rsid w:val="00833AB2"/>
    <w:rsid w:val="00834763"/>
    <w:rsid w:val="00834804"/>
    <w:rsid w:val="00836181"/>
    <w:rsid w:val="008373BD"/>
    <w:rsid w:val="00837BDF"/>
    <w:rsid w:val="008403B9"/>
    <w:rsid w:val="00841451"/>
    <w:rsid w:val="00846629"/>
    <w:rsid w:val="00846FB5"/>
    <w:rsid w:val="008472FD"/>
    <w:rsid w:val="0084750D"/>
    <w:rsid w:val="00847EC6"/>
    <w:rsid w:val="00850FE0"/>
    <w:rsid w:val="00857645"/>
    <w:rsid w:val="00863D70"/>
    <w:rsid w:val="00865B18"/>
    <w:rsid w:val="00866870"/>
    <w:rsid w:val="00867A09"/>
    <w:rsid w:val="00867FCA"/>
    <w:rsid w:val="0087565B"/>
    <w:rsid w:val="00875B68"/>
    <w:rsid w:val="0087634F"/>
    <w:rsid w:val="008773BA"/>
    <w:rsid w:val="00880490"/>
    <w:rsid w:val="00881968"/>
    <w:rsid w:val="008825F0"/>
    <w:rsid w:val="00883A98"/>
    <w:rsid w:val="0088478D"/>
    <w:rsid w:val="00884C9B"/>
    <w:rsid w:val="0088619D"/>
    <w:rsid w:val="00886304"/>
    <w:rsid w:val="00890D20"/>
    <w:rsid w:val="00893BCB"/>
    <w:rsid w:val="00896ECF"/>
    <w:rsid w:val="0089798E"/>
    <w:rsid w:val="008A554D"/>
    <w:rsid w:val="008A714A"/>
    <w:rsid w:val="008B2C84"/>
    <w:rsid w:val="008B5F5E"/>
    <w:rsid w:val="008B7454"/>
    <w:rsid w:val="008C2949"/>
    <w:rsid w:val="008D259C"/>
    <w:rsid w:val="008D51F3"/>
    <w:rsid w:val="008D6407"/>
    <w:rsid w:val="008E064A"/>
    <w:rsid w:val="008E08BC"/>
    <w:rsid w:val="008E0B07"/>
    <w:rsid w:val="008E68CF"/>
    <w:rsid w:val="008E7481"/>
    <w:rsid w:val="008F016D"/>
    <w:rsid w:val="008F065F"/>
    <w:rsid w:val="008F4676"/>
    <w:rsid w:val="008F6764"/>
    <w:rsid w:val="008F72DA"/>
    <w:rsid w:val="00900ADA"/>
    <w:rsid w:val="00905E28"/>
    <w:rsid w:val="009078C9"/>
    <w:rsid w:val="00910D41"/>
    <w:rsid w:val="009156DF"/>
    <w:rsid w:val="009179A1"/>
    <w:rsid w:val="0092024D"/>
    <w:rsid w:val="00921A61"/>
    <w:rsid w:val="0092481D"/>
    <w:rsid w:val="009261CB"/>
    <w:rsid w:val="00927FF8"/>
    <w:rsid w:val="00931567"/>
    <w:rsid w:val="00931A03"/>
    <w:rsid w:val="00931F81"/>
    <w:rsid w:val="00933750"/>
    <w:rsid w:val="009341FC"/>
    <w:rsid w:val="00934797"/>
    <w:rsid w:val="009347F7"/>
    <w:rsid w:val="00934DC5"/>
    <w:rsid w:val="009379B8"/>
    <w:rsid w:val="00940039"/>
    <w:rsid w:val="00941401"/>
    <w:rsid w:val="009421AB"/>
    <w:rsid w:val="009451EF"/>
    <w:rsid w:val="00945655"/>
    <w:rsid w:val="00954CD5"/>
    <w:rsid w:val="009607FE"/>
    <w:rsid w:val="0096179A"/>
    <w:rsid w:val="00962822"/>
    <w:rsid w:val="00964621"/>
    <w:rsid w:val="00967D11"/>
    <w:rsid w:val="00971121"/>
    <w:rsid w:val="00971A4B"/>
    <w:rsid w:val="009739F8"/>
    <w:rsid w:val="00974EF6"/>
    <w:rsid w:val="009759C6"/>
    <w:rsid w:val="009762F0"/>
    <w:rsid w:val="00976CC8"/>
    <w:rsid w:val="009778AC"/>
    <w:rsid w:val="00977F0B"/>
    <w:rsid w:val="0098081F"/>
    <w:rsid w:val="009861BC"/>
    <w:rsid w:val="00992148"/>
    <w:rsid w:val="0099498B"/>
    <w:rsid w:val="00994B1C"/>
    <w:rsid w:val="00994D74"/>
    <w:rsid w:val="00994D80"/>
    <w:rsid w:val="0099747A"/>
    <w:rsid w:val="009A080F"/>
    <w:rsid w:val="009A09AE"/>
    <w:rsid w:val="009A1DD8"/>
    <w:rsid w:val="009A27A1"/>
    <w:rsid w:val="009A469C"/>
    <w:rsid w:val="009A7EDC"/>
    <w:rsid w:val="009B125E"/>
    <w:rsid w:val="009B1582"/>
    <w:rsid w:val="009B20A7"/>
    <w:rsid w:val="009B60C9"/>
    <w:rsid w:val="009B7845"/>
    <w:rsid w:val="009C024B"/>
    <w:rsid w:val="009C0BBB"/>
    <w:rsid w:val="009C5367"/>
    <w:rsid w:val="009C6FDF"/>
    <w:rsid w:val="009D17FA"/>
    <w:rsid w:val="009D23F5"/>
    <w:rsid w:val="009D62A7"/>
    <w:rsid w:val="009E0036"/>
    <w:rsid w:val="009E073C"/>
    <w:rsid w:val="009E24DD"/>
    <w:rsid w:val="009E3735"/>
    <w:rsid w:val="009E44BD"/>
    <w:rsid w:val="009E4C87"/>
    <w:rsid w:val="009E6425"/>
    <w:rsid w:val="009E7F7E"/>
    <w:rsid w:val="009F092A"/>
    <w:rsid w:val="009F3B30"/>
    <w:rsid w:val="009F457E"/>
    <w:rsid w:val="009F64C0"/>
    <w:rsid w:val="009F67EB"/>
    <w:rsid w:val="009F6FA0"/>
    <w:rsid w:val="00A00C43"/>
    <w:rsid w:val="00A02C1F"/>
    <w:rsid w:val="00A056F0"/>
    <w:rsid w:val="00A06220"/>
    <w:rsid w:val="00A13F79"/>
    <w:rsid w:val="00A148DC"/>
    <w:rsid w:val="00A20654"/>
    <w:rsid w:val="00A21BDC"/>
    <w:rsid w:val="00A21FE5"/>
    <w:rsid w:val="00A22BFB"/>
    <w:rsid w:val="00A231B8"/>
    <w:rsid w:val="00A240B7"/>
    <w:rsid w:val="00A24895"/>
    <w:rsid w:val="00A26795"/>
    <w:rsid w:val="00A26986"/>
    <w:rsid w:val="00A279F9"/>
    <w:rsid w:val="00A3153B"/>
    <w:rsid w:val="00A3169D"/>
    <w:rsid w:val="00A31CDF"/>
    <w:rsid w:val="00A31E49"/>
    <w:rsid w:val="00A32431"/>
    <w:rsid w:val="00A36EEB"/>
    <w:rsid w:val="00A45719"/>
    <w:rsid w:val="00A508B2"/>
    <w:rsid w:val="00A5278D"/>
    <w:rsid w:val="00A55038"/>
    <w:rsid w:val="00A5503C"/>
    <w:rsid w:val="00A560D1"/>
    <w:rsid w:val="00A615EF"/>
    <w:rsid w:val="00A659CF"/>
    <w:rsid w:val="00A66A26"/>
    <w:rsid w:val="00A67014"/>
    <w:rsid w:val="00A67604"/>
    <w:rsid w:val="00A7545F"/>
    <w:rsid w:val="00A82AD1"/>
    <w:rsid w:val="00A858B2"/>
    <w:rsid w:val="00A944FE"/>
    <w:rsid w:val="00A9665A"/>
    <w:rsid w:val="00A96F6E"/>
    <w:rsid w:val="00AA0D3F"/>
    <w:rsid w:val="00AA55AC"/>
    <w:rsid w:val="00AB04B9"/>
    <w:rsid w:val="00AB5CC7"/>
    <w:rsid w:val="00AB71F8"/>
    <w:rsid w:val="00AC0ACA"/>
    <w:rsid w:val="00AC1073"/>
    <w:rsid w:val="00AC3801"/>
    <w:rsid w:val="00AC6D7B"/>
    <w:rsid w:val="00AD0CC2"/>
    <w:rsid w:val="00AD2D7D"/>
    <w:rsid w:val="00AD3071"/>
    <w:rsid w:val="00AD34D2"/>
    <w:rsid w:val="00AD60ED"/>
    <w:rsid w:val="00AD6117"/>
    <w:rsid w:val="00AD79BD"/>
    <w:rsid w:val="00AE2829"/>
    <w:rsid w:val="00AE3AD1"/>
    <w:rsid w:val="00AE5506"/>
    <w:rsid w:val="00AF0E84"/>
    <w:rsid w:val="00AF49FD"/>
    <w:rsid w:val="00AF56B1"/>
    <w:rsid w:val="00AF6937"/>
    <w:rsid w:val="00AF7C7F"/>
    <w:rsid w:val="00AF7E07"/>
    <w:rsid w:val="00B00535"/>
    <w:rsid w:val="00B01658"/>
    <w:rsid w:val="00B0582E"/>
    <w:rsid w:val="00B05873"/>
    <w:rsid w:val="00B104A5"/>
    <w:rsid w:val="00B11270"/>
    <w:rsid w:val="00B12782"/>
    <w:rsid w:val="00B1361D"/>
    <w:rsid w:val="00B1537B"/>
    <w:rsid w:val="00B158FA"/>
    <w:rsid w:val="00B15BCC"/>
    <w:rsid w:val="00B2007B"/>
    <w:rsid w:val="00B2013E"/>
    <w:rsid w:val="00B242F9"/>
    <w:rsid w:val="00B25BA0"/>
    <w:rsid w:val="00B26ABF"/>
    <w:rsid w:val="00B340FA"/>
    <w:rsid w:val="00B34D1E"/>
    <w:rsid w:val="00B35335"/>
    <w:rsid w:val="00B409BE"/>
    <w:rsid w:val="00B42161"/>
    <w:rsid w:val="00B46DC9"/>
    <w:rsid w:val="00B52F4F"/>
    <w:rsid w:val="00B53BF3"/>
    <w:rsid w:val="00B53D45"/>
    <w:rsid w:val="00B56327"/>
    <w:rsid w:val="00B576CB"/>
    <w:rsid w:val="00B57E48"/>
    <w:rsid w:val="00B612A8"/>
    <w:rsid w:val="00B62965"/>
    <w:rsid w:val="00B63BD3"/>
    <w:rsid w:val="00B64B49"/>
    <w:rsid w:val="00B6579F"/>
    <w:rsid w:val="00B6595E"/>
    <w:rsid w:val="00B714BA"/>
    <w:rsid w:val="00B71E8A"/>
    <w:rsid w:val="00B7499B"/>
    <w:rsid w:val="00B75319"/>
    <w:rsid w:val="00B75A66"/>
    <w:rsid w:val="00B75B99"/>
    <w:rsid w:val="00B77901"/>
    <w:rsid w:val="00B825F0"/>
    <w:rsid w:val="00B83FCD"/>
    <w:rsid w:val="00B8562C"/>
    <w:rsid w:val="00B85677"/>
    <w:rsid w:val="00B85EDB"/>
    <w:rsid w:val="00B87A10"/>
    <w:rsid w:val="00B87AC6"/>
    <w:rsid w:val="00B916B9"/>
    <w:rsid w:val="00B91979"/>
    <w:rsid w:val="00B94190"/>
    <w:rsid w:val="00B97745"/>
    <w:rsid w:val="00BA1614"/>
    <w:rsid w:val="00BA3B8C"/>
    <w:rsid w:val="00BA586D"/>
    <w:rsid w:val="00BB0F9A"/>
    <w:rsid w:val="00BB1B69"/>
    <w:rsid w:val="00BB259E"/>
    <w:rsid w:val="00BB279C"/>
    <w:rsid w:val="00BB310A"/>
    <w:rsid w:val="00BC04E3"/>
    <w:rsid w:val="00BC060F"/>
    <w:rsid w:val="00BC0946"/>
    <w:rsid w:val="00BC50A1"/>
    <w:rsid w:val="00BD1EA0"/>
    <w:rsid w:val="00BD29D5"/>
    <w:rsid w:val="00BD2E37"/>
    <w:rsid w:val="00BD4C6B"/>
    <w:rsid w:val="00BE2BD4"/>
    <w:rsid w:val="00BE3CBE"/>
    <w:rsid w:val="00BE5E1D"/>
    <w:rsid w:val="00BE76F2"/>
    <w:rsid w:val="00BF0424"/>
    <w:rsid w:val="00BF2C95"/>
    <w:rsid w:val="00BF3600"/>
    <w:rsid w:val="00C051AE"/>
    <w:rsid w:val="00C052A5"/>
    <w:rsid w:val="00C06833"/>
    <w:rsid w:val="00C118A3"/>
    <w:rsid w:val="00C12C6B"/>
    <w:rsid w:val="00C14546"/>
    <w:rsid w:val="00C167E4"/>
    <w:rsid w:val="00C16A2B"/>
    <w:rsid w:val="00C16B73"/>
    <w:rsid w:val="00C174F5"/>
    <w:rsid w:val="00C20672"/>
    <w:rsid w:val="00C2081C"/>
    <w:rsid w:val="00C218F3"/>
    <w:rsid w:val="00C22887"/>
    <w:rsid w:val="00C260C5"/>
    <w:rsid w:val="00C27787"/>
    <w:rsid w:val="00C27E3E"/>
    <w:rsid w:val="00C30152"/>
    <w:rsid w:val="00C319D0"/>
    <w:rsid w:val="00C32F93"/>
    <w:rsid w:val="00C338E1"/>
    <w:rsid w:val="00C35908"/>
    <w:rsid w:val="00C363AD"/>
    <w:rsid w:val="00C4092B"/>
    <w:rsid w:val="00C414AE"/>
    <w:rsid w:val="00C4219E"/>
    <w:rsid w:val="00C432AB"/>
    <w:rsid w:val="00C44BAB"/>
    <w:rsid w:val="00C4502C"/>
    <w:rsid w:val="00C5182E"/>
    <w:rsid w:val="00C52503"/>
    <w:rsid w:val="00C57C5D"/>
    <w:rsid w:val="00C57D96"/>
    <w:rsid w:val="00C63DA3"/>
    <w:rsid w:val="00C65862"/>
    <w:rsid w:val="00C67744"/>
    <w:rsid w:val="00C72499"/>
    <w:rsid w:val="00C72B5B"/>
    <w:rsid w:val="00C76CAA"/>
    <w:rsid w:val="00C8306E"/>
    <w:rsid w:val="00C86353"/>
    <w:rsid w:val="00C86B9E"/>
    <w:rsid w:val="00C877BB"/>
    <w:rsid w:val="00C87A36"/>
    <w:rsid w:val="00C96111"/>
    <w:rsid w:val="00C96482"/>
    <w:rsid w:val="00C96FE4"/>
    <w:rsid w:val="00CA10FF"/>
    <w:rsid w:val="00CA1A41"/>
    <w:rsid w:val="00CA1D37"/>
    <w:rsid w:val="00CA2641"/>
    <w:rsid w:val="00CA3CDC"/>
    <w:rsid w:val="00CA6C51"/>
    <w:rsid w:val="00CA6D5E"/>
    <w:rsid w:val="00CA77D7"/>
    <w:rsid w:val="00CB0932"/>
    <w:rsid w:val="00CB14CC"/>
    <w:rsid w:val="00CB1679"/>
    <w:rsid w:val="00CB32BF"/>
    <w:rsid w:val="00CB73A8"/>
    <w:rsid w:val="00CC013E"/>
    <w:rsid w:val="00CC1278"/>
    <w:rsid w:val="00CC3DCF"/>
    <w:rsid w:val="00CC47B5"/>
    <w:rsid w:val="00CC4DD9"/>
    <w:rsid w:val="00CD079C"/>
    <w:rsid w:val="00CD11A3"/>
    <w:rsid w:val="00CD34AD"/>
    <w:rsid w:val="00CD6A6A"/>
    <w:rsid w:val="00CD6E21"/>
    <w:rsid w:val="00CD7275"/>
    <w:rsid w:val="00CD7972"/>
    <w:rsid w:val="00CE033D"/>
    <w:rsid w:val="00CE422C"/>
    <w:rsid w:val="00CE535F"/>
    <w:rsid w:val="00CE6CCE"/>
    <w:rsid w:val="00CE726A"/>
    <w:rsid w:val="00D00342"/>
    <w:rsid w:val="00D01051"/>
    <w:rsid w:val="00D0129C"/>
    <w:rsid w:val="00D06E8A"/>
    <w:rsid w:val="00D07BA3"/>
    <w:rsid w:val="00D07FF0"/>
    <w:rsid w:val="00D10DB6"/>
    <w:rsid w:val="00D1262F"/>
    <w:rsid w:val="00D1555F"/>
    <w:rsid w:val="00D177A9"/>
    <w:rsid w:val="00D17F4C"/>
    <w:rsid w:val="00D215F3"/>
    <w:rsid w:val="00D227D9"/>
    <w:rsid w:val="00D26A8D"/>
    <w:rsid w:val="00D2700E"/>
    <w:rsid w:val="00D30FBE"/>
    <w:rsid w:val="00D315B1"/>
    <w:rsid w:val="00D32234"/>
    <w:rsid w:val="00D3263C"/>
    <w:rsid w:val="00D361EF"/>
    <w:rsid w:val="00D36C4B"/>
    <w:rsid w:val="00D37667"/>
    <w:rsid w:val="00D426A5"/>
    <w:rsid w:val="00D436C8"/>
    <w:rsid w:val="00D44AC3"/>
    <w:rsid w:val="00D53612"/>
    <w:rsid w:val="00D540D9"/>
    <w:rsid w:val="00D54FA8"/>
    <w:rsid w:val="00D55224"/>
    <w:rsid w:val="00D565A1"/>
    <w:rsid w:val="00D56C83"/>
    <w:rsid w:val="00D60A09"/>
    <w:rsid w:val="00D60E40"/>
    <w:rsid w:val="00D630BB"/>
    <w:rsid w:val="00D633C9"/>
    <w:rsid w:val="00D66EBE"/>
    <w:rsid w:val="00D70A4B"/>
    <w:rsid w:val="00D70B0C"/>
    <w:rsid w:val="00D712D9"/>
    <w:rsid w:val="00D74C1A"/>
    <w:rsid w:val="00D7594B"/>
    <w:rsid w:val="00D802EE"/>
    <w:rsid w:val="00D81041"/>
    <w:rsid w:val="00D83855"/>
    <w:rsid w:val="00D83E3E"/>
    <w:rsid w:val="00D900FB"/>
    <w:rsid w:val="00D90776"/>
    <w:rsid w:val="00D907A7"/>
    <w:rsid w:val="00D90B93"/>
    <w:rsid w:val="00D93385"/>
    <w:rsid w:val="00D956A0"/>
    <w:rsid w:val="00D95DC3"/>
    <w:rsid w:val="00D97E96"/>
    <w:rsid w:val="00D97F19"/>
    <w:rsid w:val="00DA0024"/>
    <w:rsid w:val="00DA07F7"/>
    <w:rsid w:val="00DA0CCB"/>
    <w:rsid w:val="00DA4234"/>
    <w:rsid w:val="00DA4324"/>
    <w:rsid w:val="00DA4730"/>
    <w:rsid w:val="00DA7B7E"/>
    <w:rsid w:val="00DB5462"/>
    <w:rsid w:val="00DB599E"/>
    <w:rsid w:val="00DB7659"/>
    <w:rsid w:val="00DC0A52"/>
    <w:rsid w:val="00DC1DE6"/>
    <w:rsid w:val="00DC265F"/>
    <w:rsid w:val="00DC30E7"/>
    <w:rsid w:val="00DC5089"/>
    <w:rsid w:val="00DC5F95"/>
    <w:rsid w:val="00DC6268"/>
    <w:rsid w:val="00DC7D87"/>
    <w:rsid w:val="00DD09B2"/>
    <w:rsid w:val="00DD0DB8"/>
    <w:rsid w:val="00DD393E"/>
    <w:rsid w:val="00DD5C56"/>
    <w:rsid w:val="00DD6947"/>
    <w:rsid w:val="00DE1558"/>
    <w:rsid w:val="00DE5BC8"/>
    <w:rsid w:val="00DF03A6"/>
    <w:rsid w:val="00DF07F2"/>
    <w:rsid w:val="00DF2C5D"/>
    <w:rsid w:val="00DF40AD"/>
    <w:rsid w:val="00DF4E56"/>
    <w:rsid w:val="00E04BD3"/>
    <w:rsid w:val="00E0528E"/>
    <w:rsid w:val="00E053B2"/>
    <w:rsid w:val="00E05CB7"/>
    <w:rsid w:val="00E07A55"/>
    <w:rsid w:val="00E10944"/>
    <w:rsid w:val="00E115BB"/>
    <w:rsid w:val="00E134D3"/>
    <w:rsid w:val="00E14248"/>
    <w:rsid w:val="00E1522A"/>
    <w:rsid w:val="00E17330"/>
    <w:rsid w:val="00E20F7E"/>
    <w:rsid w:val="00E24058"/>
    <w:rsid w:val="00E246EE"/>
    <w:rsid w:val="00E27468"/>
    <w:rsid w:val="00E32970"/>
    <w:rsid w:val="00E349BF"/>
    <w:rsid w:val="00E35921"/>
    <w:rsid w:val="00E36E90"/>
    <w:rsid w:val="00E36F37"/>
    <w:rsid w:val="00E41427"/>
    <w:rsid w:val="00E47814"/>
    <w:rsid w:val="00E52C15"/>
    <w:rsid w:val="00E53F33"/>
    <w:rsid w:val="00E5464E"/>
    <w:rsid w:val="00E55946"/>
    <w:rsid w:val="00E57EFB"/>
    <w:rsid w:val="00E604A9"/>
    <w:rsid w:val="00E623E2"/>
    <w:rsid w:val="00E629C0"/>
    <w:rsid w:val="00E64C7A"/>
    <w:rsid w:val="00E6536C"/>
    <w:rsid w:val="00E65615"/>
    <w:rsid w:val="00E67B87"/>
    <w:rsid w:val="00E700EE"/>
    <w:rsid w:val="00E73AC2"/>
    <w:rsid w:val="00E749A3"/>
    <w:rsid w:val="00E75723"/>
    <w:rsid w:val="00E8008B"/>
    <w:rsid w:val="00E801B3"/>
    <w:rsid w:val="00E812B1"/>
    <w:rsid w:val="00E81652"/>
    <w:rsid w:val="00E83193"/>
    <w:rsid w:val="00E84075"/>
    <w:rsid w:val="00E84850"/>
    <w:rsid w:val="00E94F73"/>
    <w:rsid w:val="00E953CA"/>
    <w:rsid w:val="00E964FD"/>
    <w:rsid w:val="00E97853"/>
    <w:rsid w:val="00EA0C08"/>
    <w:rsid w:val="00EA1835"/>
    <w:rsid w:val="00EA7B6C"/>
    <w:rsid w:val="00EB3469"/>
    <w:rsid w:val="00EB49FB"/>
    <w:rsid w:val="00EB63F3"/>
    <w:rsid w:val="00EC0112"/>
    <w:rsid w:val="00EC3C96"/>
    <w:rsid w:val="00EC63CE"/>
    <w:rsid w:val="00EC7564"/>
    <w:rsid w:val="00EC7E4B"/>
    <w:rsid w:val="00ED0EC9"/>
    <w:rsid w:val="00ED697A"/>
    <w:rsid w:val="00EE4EA2"/>
    <w:rsid w:val="00EE6392"/>
    <w:rsid w:val="00EE774B"/>
    <w:rsid w:val="00EF093D"/>
    <w:rsid w:val="00EF25AE"/>
    <w:rsid w:val="00EF35C0"/>
    <w:rsid w:val="00EF4C52"/>
    <w:rsid w:val="00EF5833"/>
    <w:rsid w:val="00EF6AC1"/>
    <w:rsid w:val="00EF6AEC"/>
    <w:rsid w:val="00F0319D"/>
    <w:rsid w:val="00F036B6"/>
    <w:rsid w:val="00F050B7"/>
    <w:rsid w:val="00F06525"/>
    <w:rsid w:val="00F0767F"/>
    <w:rsid w:val="00F103CB"/>
    <w:rsid w:val="00F12D90"/>
    <w:rsid w:val="00F12FB6"/>
    <w:rsid w:val="00F1571B"/>
    <w:rsid w:val="00F20E10"/>
    <w:rsid w:val="00F227D3"/>
    <w:rsid w:val="00F2286A"/>
    <w:rsid w:val="00F239BA"/>
    <w:rsid w:val="00F27B19"/>
    <w:rsid w:val="00F27B4C"/>
    <w:rsid w:val="00F30CDB"/>
    <w:rsid w:val="00F32D7D"/>
    <w:rsid w:val="00F35C9B"/>
    <w:rsid w:val="00F35FED"/>
    <w:rsid w:val="00F37A29"/>
    <w:rsid w:val="00F37B65"/>
    <w:rsid w:val="00F40063"/>
    <w:rsid w:val="00F438BB"/>
    <w:rsid w:val="00F451B5"/>
    <w:rsid w:val="00F463B1"/>
    <w:rsid w:val="00F47A6A"/>
    <w:rsid w:val="00F52BAB"/>
    <w:rsid w:val="00F52DCE"/>
    <w:rsid w:val="00F54B0D"/>
    <w:rsid w:val="00F56FFF"/>
    <w:rsid w:val="00F57D41"/>
    <w:rsid w:val="00F6332A"/>
    <w:rsid w:val="00F641AB"/>
    <w:rsid w:val="00F664E0"/>
    <w:rsid w:val="00F721DC"/>
    <w:rsid w:val="00F73079"/>
    <w:rsid w:val="00F738A7"/>
    <w:rsid w:val="00F764A9"/>
    <w:rsid w:val="00F765AC"/>
    <w:rsid w:val="00F77116"/>
    <w:rsid w:val="00F772A6"/>
    <w:rsid w:val="00F814CD"/>
    <w:rsid w:val="00F82860"/>
    <w:rsid w:val="00F83D73"/>
    <w:rsid w:val="00F872D4"/>
    <w:rsid w:val="00F876AA"/>
    <w:rsid w:val="00F90661"/>
    <w:rsid w:val="00F90787"/>
    <w:rsid w:val="00F91BAD"/>
    <w:rsid w:val="00F92658"/>
    <w:rsid w:val="00F9277C"/>
    <w:rsid w:val="00F94013"/>
    <w:rsid w:val="00F943CF"/>
    <w:rsid w:val="00FA1A1F"/>
    <w:rsid w:val="00FA1D06"/>
    <w:rsid w:val="00FA3603"/>
    <w:rsid w:val="00FB02B0"/>
    <w:rsid w:val="00FB0BB2"/>
    <w:rsid w:val="00FB357D"/>
    <w:rsid w:val="00FB5AEB"/>
    <w:rsid w:val="00FC12A2"/>
    <w:rsid w:val="00FC5A37"/>
    <w:rsid w:val="00FD4229"/>
    <w:rsid w:val="00FD7D17"/>
    <w:rsid w:val="00FE3A78"/>
    <w:rsid w:val="00FE643C"/>
    <w:rsid w:val="00FF0219"/>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4:docId w14:val="0FF883F6"/>
  <w15:docId w15:val="{87EA5DD8-D6C1-42B2-9361-D1BC426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11"/>
      </w:numPr>
      <w:spacing w:before="240" w:after="120"/>
      <w:jc w:val="left"/>
      <w:outlineLvl w:val="0"/>
    </w:pPr>
    <w:rPr>
      <w:b/>
      <w:bCs/>
      <w:kern w:val="2"/>
      <w:sz w:val="28"/>
      <w:szCs w:val="32"/>
    </w:rPr>
  </w:style>
  <w:style w:type="paragraph" w:styleId="Heading2">
    <w:name w:val="heading 2"/>
    <w:basedOn w:val="Normal"/>
    <w:next w:val="CBDNormalNumber"/>
    <w:uiPriority w:val="99"/>
    <w:qFormat/>
    <w:pPr>
      <w:keepNext/>
      <w:keepLines/>
      <w:numPr>
        <w:ilvl w:val="1"/>
        <w:numId w:val="11"/>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1"/>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11"/>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11"/>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9"/>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uiPriority w:val="99"/>
    <w:locked/>
    <w:rPr>
      <w:rFonts w:ascii="Times New Roman Bold" w:eastAsia="Times New Roman" w:hAnsi="Times New Roman Bold" w:cs="Times New Roman"/>
      <w:b/>
      <w:sz w:val="26"/>
      <w:szCs w:val="26"/>
      <w:lang w:val="en-GB" w:bidi="ar-SA"/>
    </w:rPr>
  </w:style>
  <w:style w:type="character" w:customStyle="1" w:styleId="Heading3Char">
    <w:name w:val="Heading 3 Char"/>
    <w:link w:val="Heading3"/>
    <w:uiPriority w:val="99"/>
    <w:locked/>
    <w:rPr>
      <w:b/>
      <w:bCs/>
      <w:sz w:val="22"/>
      <w:szCs w:val="22"/>
      <w:lang w:val="en-GB"/>
    </w:rPr>
  </w:style>
  <w:style w:type="character" w:customStyle="1" w:styleId="Heading4Char">
    <w:name w:val="Heading 4 Char"/>
    <w:link w:val="Heading4"/>
    <w:uiPriority w:val="99"/>
    <w:locked/>
    <w:rPr>
      <w:b/>
      <w:bCs/>
      <w:sz w:val="22"/>
      <w:szCs w:val="22"/>
      <w:lang w:val="en-GB"/>
    </w:rPr>
  </w:style>
  <w:style w:type="character" w:customStyle="1" w:styleId="Heading5Char">
    <w:name w:val="Heading 5 Char"/>
    <w:link w:val="Heading5"/>
    <w:uiPriority w:val="99"/>
    <w:locked/>
    <w:rPr>
      <w:i/>
      <w:iCs/>
      <w:sz w:val="22"/>
      <w:szCs w:val="22"/>
      <w:lang w:val="en-GB"/>
    </w:rPr>
  </w:style>
  <w:style w:type="character" w:customStyle="1" w:styleId="Heading6Char">
    <w:name w:val="Heading 6 Char"/>
    <w:link w:val="Heading6"/>
    <w:uiPriority w:val="99"/>
    <w:locked/>
    <w:rPr>
      <w:bCs/>
      <w:sz w:val="24"/>
      <w:szCs w:val="22"/>
      <w:lang w:val="en-GB"/>
    </w:rPr>
  </w:style>
  <w:style w:type="character" w:customStyle="1" w:styleId="Heading7Char">
    <w:name w:val="Heading 7 Char"/>
    <w:link w:val="Heading7"/>
    <w:uiPriority w:val="99"/>
    <w:locked/>
    <w:rPr>
      <w:b/>
      <w:sz w:val="22"/>
      <w:szCs w:val="22"/>
      <w:u w:val="single"/>
      <w:lang w:val="en-GB"/>
    </w:rPr>
  </w:style>
  <w:style w:type="character" w:customStyle="1" w:styleId="Heading8Char">
    <w:name w:val="Heading 8 Char"/>
    <w:link w:val="Heading8"/>
    <w:uiPriority w:val="99"/>
    <w:locked/>
    <w:rPr>
      <w:b/>
      <w:sz w:val="22"/>
      <w:szCs w:val="22"/>
      <w:u w:val="single"/>
      <w:lang w:val="en-GB"/>
    </w:rPr>
  </w:style>
  <w:style w:type="character" w:customStyle="1" w:styleId="Heading9Char">
    <w:name w:val="Heading 9 Char"/>
    <w:link w:val="Heading9"/>
    <w:uiPriority w:val="99"/>
    <w:locked/>
    <w:rPr>
      <w:sz w:val="22"/>
      <w:szCs w:val="22"/>
      <w:u w:val="single"/>
      <w:lang w:val="en-GB"/>
    </w:rPr>
  </w:style>
  <w:style w:type="paragraph" w:styleId="Title">
    <w:name w:val="Title"/>
    <w:basedOn w:val="Normal"/>
    <w:next w:val="Normal"/>
    <w:link w:val="TitleChar"/>
    <w:uiPriority w:val="99"/>
    <w:qFormat/>
    <w:pPr>
      <w:spacing w:after="80"/>
      <w:contextualSpacing/>
    </w:pPr>
    <w:rPr>
      <w:spacing w:val="-10"/>
      <w:kern w:val="28"/>
      <w:sz w:val="56"/>
      <w:szCs w:val="56"/>
    </w:rPr>
  </w:style>
  <w:style w:type="character" w:customStyle="1" w:styleId="TitleChar">
    <w:name w:val="Title Char"/>
    <w:link w:val="Title"/>
    <w:uiPriority w:val="99"/>
    <w:locked/>
    <w:rPr>
      <w:rFonts w:ascii="Times New Roman" w:eastAsia="Times New Roman" w:hAnsi="Times New Roman" w:cs="Times New Roman"/>
      <w:spacing w:val="-10"/>
      <w:kern w:val="28"/>
      <w:sz w:val="56"/>
      <w:szCs w:val="56"/>
      <w:lang w:val="en-GB"/>
    </w:rPr>
  </w:style>
  <w:style w:type="paragraph" w:styleId="Subtitle">
    <w:name w:val="Subtitle"/>
    <w:basedOn w:val="Normal"/>
    <w:next w:val="Normal"/>
    <w:link w:val="SubtitleChar"/>
    <w:uiPriority w:val="99"/>
    <w:qFormat/>
    <w:pPr>
      <w:numPr>
        <w:ilvl w:val="1"/>
      </w:numPr>
    </w:pPr>
    <w:rPr>
      <w:color w:val="595959"/>
      <w:spacing w:val="15"/>
      <w:sz w:val="28"/>
      <w:szCs w:val="28"/>
    </w:rPr>
  </w:style>
  <w:style w:type="character" w:customStyle="1" w:styleId="SubtitleChar">
    <w:name w:val="Subtitle Char"/>
    <w:link w:val="Subtitle"/>
    <w:uiPriority w:val="99"/>
    <w:locked/>
    <w:rPr>
      <w:rFonts w:ascii="Times New Roman" w:eastAsia="Times New Roman" w:hAnsi="Times New Roman" w:cs="Times New Roman"/>
      <w:color w:val="595959"/>
      <w:spacing w:val="15"/>
      <w:kern w:val="0"/>
      <w:sz w:val="28"/>
      <w:szCs w:val="28"/>
      <w:lang w:val="en-GB"/>
    </w:rPr>
  </w:style>
  <w:style w:type="paragraph" w:styleId="Quote">
    <w:name w:val="Quote"/>
    <w:basedOn w:val="Normal"/>
    <w:next w:val="Normal"/>
    <w:link w:val="QuoteChar"/>
    <w:uiPriority w:val="99"/>
    <w:qFormat/>
    <w:pPr>
      <w:spacing w:before="160"/>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kern w:val="0"/>
      <w:sz w:val="22"/>
      <w:szCs w:val="22"/>
      <w:lang w:val="en-GB"/>
    </w:rPr>
  </w:style>
  <w:style w:type="paragraph" w:styleId="ListParagraph">
    <w:name w:val="List Paragraph"/>
    <w:basedOn w:val="Normal"/>
    <w:uiPriority w:val="99"/>
    <w:qFormat/>
    <w:pPr>
      <w:ind w:left="720"/>
      <w:contextualSpacing/>
    </w:pPr>
  </w:style>
  <w:style w:type="character" w:styleId="IntenseEmphasis">
    <w:name w:val="Intense Emphasis"/>
    <w:uiPriority w:val="99"/>
    <w:qFormat/>
    <w:rPr>
      <w:rFonts w:cs="Times New Roman"/>
      <w:i/>
      <w:iCs/>
      <w:color w:val="0F4761"/>
      <w:lang w:val="en-GB"/>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Pr>
      <w:rFonts w:ascii="Times New Roman" w:eastAsia="Times New Roman" w:hAnsi="Times New Roman" w:cs="Times New Roman"/>
      <w:i/>
      <w:iCs/>
      <w:color w:val="0F4761"/>
      <w:kern w:val="0"/>
      <w:sz w:val="22"/>
      <w:szCs w:val="22"/>
      <w:lang w:val="en-GB"/>
    </w:rPr>
  </w:style>
  <w:style w:type="character" w:styleId="IntenseReference">
    <w:name w:val="Intense Reference"/>
    <w:uiPriority w:val="99"/>
    <w:qFormat/>
    <w:rPr>
      <w:rFonts w:cs="Times New Roman"/>
      <w:b/>
      <w:bCs/>
      <w:smallCaps/>
      <w:color w:val="0F4761"/>
      <w:spacing w:val="5"/>
      <w:lang w:val="en-GB"/>
    </w:rPr>
  </w:style>
  <w:style w:type="paragraph" w:styleId="Revision">
    <w:name w:val="Revision"/>
    <w:hidden/>
    <w:uiPriority w:val="99"/>
    <w:semiHidden/>
    <w:rPr>
      <w:noProof/>
      <w:sz w:val="24"/>
      <w:szCs w:val="24"/>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character" w:styleId="FootnoteReference">
    <w:name w:val="footnote reference"/>
    <w:uiPriority w:val="99"/>
    <w:semiHidden/>
    <w:rPr>
      <w:rFonts w:cs="Times New Roman"/>
      <w:vertAlign w:val="superscript"/>
      <w:lang w:val="en-GB"/>
    </w:rPr>
  </w:style>
  <w:style w:type="paragraph" w:customStyle="1" w:styleId="Footnote">
    <w:name w:val="Footnote"/>
    <w:basedOn w:val="FootnoteText"/>
    <w:uiPriority w:val="99"/>
    <w:semiHidden/>
    <w:rPr>
      <w:szCs w:val="18"/>
    </w:rPr>
  </w:style>
  <w:style w:type="paragraph" w:styleId="Header">
    <w:name w:val="header"/>
    <w:basedOn w:val="Normal"/>
    <w:link w:val="HeaderChar"/>
    <w:uiPriority w:val="99"/>
    <w:semiHidden/>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semiHidden/>
    <w:locked/>
    <w:rPr>
      <w:rFonts w:ascii="Times New Roman" w:eastAsia="Times New Roman" w:hAnsi="Times New Roman" w:cs="Times New Roman"/>
      <w:kern w:val="0"/>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kern w:val="0"/>
      <w:sz w:val="22"/>
      <w:szCs w:val="22"/>
      <w:lang w:val="en-GB"/>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6"/>
      </w:num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FootnoteText">
    <w:name w:val="footnote text"/>
    <w:basedOn w:val="Normal"/>
    <w:link w:val="FootnoteTextChar"/>
    <w:uiPriority w:val="99"/>
    <w:semiHidden/>
    <w:pPr>
      <w:jc w:val="left"/>
    </w:pPr>
    <w:rPr>
      <w:sz w:val="18"/>
      <w:szCs w:val="20"/>
    </w:rPr>
  </w:style>
  <w:style w:type="character" w:customStyle="1" w:styleId="FootnoteTextChar">
    <w:name w:val="Footnote Text Char"/>
    <w:link w:val="FootnoteText"/>
    <w:uiPriority w:val="99"/>
    <w:semiHidden/>
    <w:locked/>
    <w:rPr>
      <w:rFonts w:ascii="Times New Roman" w:eastAsia="Times New Roman" w:hAnsi="Times New Roman" w:cs="Times New Roman"/>
      <w:kern w:val="0"/>
      <w:sz w:val="20"/>
      <w:szCs w:val="20"/>
      <w:lang w:val="en-GB"/>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link w:val="BodyText"/>
    <w:uiPriority w:val="99"/>
    <w:semiHidden/>
    <w:locked/>
    <w:rPr>
      <w:rFonts w:eastAsia="SimSun" w:cs="Times New Roman"/>
      <w:b/>
      <w:snapToGrid w:val="0"/>
      <w:sz w:val="22"/>
      <w:szCs w:val="22"/>
      <w:u w:val="single"/>
      <w:lang w:val="en-GB" w:bidi="ar-SA"/>
    </w:rPr>
  </w:style>
  <w:style w:type="character" w:styleId="CommentReference">
    <w:name w:val="annotation reference"/>
    <w:uiPriority w:val="99"/>
    <w:semiHidden/>
    <w:locked/>
    <w:rPr>
      <w:rFonts w:eastAsia="Times New Roman" w:cs="Times New Roman"/>
      <w:b/>
      <w:bCs/>
      <w:snapToGrid w:val="0"/>
      <w:kern w:val="2"/>
      <w:sz w:val="32"/>
      <w:szCs w:val="32"/>
      <w:lang w:val="en-GB" w:bidi="ar-SA"/>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kern w:val="0"/>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uiPriority w:val="99"/>
    <w:rPr>
      <w:rFonts w:ascii="Times New Roman" w:hAnsi="Times New Roman" w:cs="Times New Roman"/>
      <w:color w:val="467886"/>
      <w:u w:val="single"/>
      <w:lang w:val="en-GB"/>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numPr>
        <w:numId w:val="0"/>
      </w:numPr>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kern w:val="0"/>
      <w:sz w:val="18"/>
      <w:szCs w:val="18"/>
      <w:lang w:val="en-G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156082"/>
        <w:left w:val="single" w:sz="2" w:space="10" w:color="156082"/>
        <w:bottom w:val="single" w:sz="2" w:space="10" w:color="156082"/>
        <w:right w:val="single" w:sz="2" w:space="10" w:color="156082"/>
      </w:pBdr>
      <w:ind w:left="1152" w:right="1152"/>
    </w:pPr>
    <w:rPr>
      <w:i/>
      <w:iCs/>
      <w:color w:val="156082"/>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kern w:val="0"/>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kern w:val="0"/>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b/>
      <w:snapToGrid w:val="0"/>
      <w:kern w:val="0"/>
      <w:sz w:val="22"/>
      <w:szCs w:val="22"/>
      <w:u w:val="single"/>
      <w:lang w:val="en-GB" w:bidi="ar-SA"/>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locked/>
    <w:rPr>
      <w:rFonts w:ascii="Times New Roman" w:eastAsia="Times New Roma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pPr>
      <w:spacing w:after="0"/>
      <w:ind w:left="360" w:firstLine="360"/>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kern w:val="0"/>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kern w:val="0"/>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kern w:val="0"/>
      <w:sz w:val="16"/>
      <w:szCs w:val="16"/>
      <w:lang w:val="en-GB"/>
    </w:rPr>
  </w:style>
  <w:style w:type="character" w:styleId="BookTitle">
    <w:name w:val="Book Title"/>
    <w:uiPriority w:val="99"/>
    <w:qFormat/>
    <w:rPr>
      <w:rFonts w:cs="Times New Roman"/>
      <w:b/>
      <w:bCs/>
      <w:i/>
      <w:iCs/>
      <w:spacing w:val="5"/>
      <w:lang w:val="en-GB"/>
    </w:rPr>
  </w:style>
  <w:style w:type="paragraph" w:styleId="Caption">
    <w:name w:val="caption"/>
    <w:basedOn w:val="Normal"/>
    <w:next w:val="Normal"/>
    <w:uiPriority w:val="99"/>
    <w:qFormat/>
    <w:pPr>
      <w:spacing w:after="200"/>
    </w:pPr>
    <w:rPr>
      <w:i/>
      <w:iCs/>
      <w:color w:val="0E2841"/>
      <w:sz w:val="18"/>
      <w:szCs w:val="18"/>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kern w:val="0"/>
      <w:sz w:val="22"/>
      <w:szCs w:val="22"/>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C1E4F5"/>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AE2D5"/>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C1F0C7"/>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CAEDFB"/>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F2CEED"/>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D9F2D0"/>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0F2FA"/>
    </w:tcPr>
  </w:style>
  <w:style w:type="table" w:styleId="ColorfulList-Accent2">
    <w:name w:val="Colorful List Accent 2"/>
    <w:basedOn w:val="TableNormal"/>
    <w:uiPriority w:val="99"/>
    <w:semiHidden/>
    <w:rPr>
      <w:color w:val="000000"/>
    </w:rPr>
    <w:tblPr/>
    <w:tcPr>
      <w:shd w:val="clear" w:color="auto" w:fill="FCF0EA"/>
    </w:tcPr>
  </w:style>
  <w:style w:type="table" w:styleId="ColorfulList-Accent3">
    <w:name w:val="Colorful List Accent 3"/>
    <w:basedOn w:val="TableNormal"/>
    <w:uiPriority w:val="99"/>
    <w:semiHidden/>
    <w:rPr>
      <w:color w:val="000000"/>
    </w:rPr>
    <w:tblPr/>
    <w:tcPr>
      <w:shd w:val="clear" w:color="auto" w:fill="E0F8E3"/>
    </w:tcPr>
  </w:style>
  <w:style w:type="table" w:styleId="ColorfulList-Accent4">
    <w:name w:val="Colorful List Accent 4"/>
    <w:basedOn w:val="TableNormal"/>
    <w:uiPriority w:val="99"/>
    <w:semiHidden/>
    <w:rPr>
      <w:color w:val="000000"/>
    </w:rPr>
    <w:tblPr/>
    <w:tcPr>
      <w:shd w:val="clear" w:color="auto" w:fill="E5F6FD"/>
    </w:tcPr>
  </w:style>
  <w:style w:type="table" w:styleId="ColorfulList-Accent5">
    <w:name w:val="Colorful List Accent 5"/>
    <w:basedOn w:val="TableNormal"/>
    <w:uiPriority w:val="99"/>
    <w:semiHidden/>
    <w:rPr>
      <w:color w:val="000000"/>
    </w:rPr>
    <w:tblPr/>
    <w:tcPr>
      <w:shd w:val="clear" w:color="auto" w:fill="F8E7F6"/>
    </w:tcPr>
  </w:style>
  <w:style w:type="table" w:styleId="ColorfulList-Accent6">
    <w:name w:val="Colorful List Accent 6"/>
    <w:basedOn w:val="TableNormal"/>
    <w:uiPriority w:val="99"/>
    <w:semiHidden/>
    <w:rPr>
      <w:color w:val="000000"/>
    </w:rPr>
    <w:tblPr/>
    <w:tcPr>
      <w:shd w:val="clear" w:color="auto" w:fill="ECF8E8"/>
    </w:tcPr>
  </w:style>
  <w:style w:type="table" w:styleId="ColorfulShading">
    <w:name w:val="Colorful Shading"/>
    <w:basedOn w:val="TableNormal"/>
    <w:uiPriority w:val="99"/>
    <w:semiHidden/>
    <w:rPr>
      <w:color w:val="000000"/>
    </w:rPr>
    <w:tblPr>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style>
  <w:style w:type="table" w:styleId="ColorfulShading-Accent2">
    <w:name w:val="Colorful Shading Accent 2"/>
    <w:basedOn w:val="TableNormal"/>
    <w:uiPriority w:val="99"/>
    <w:semiHidden/>
    <w:rPr>
      <w:color w:val="000000"/>
    </w:rPr>
    <w:tblPr>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style>
  <w:style w:type="table" w:styleId="ColorfulShading-Accent3">
    <w:name w:val="Colorful Shading Accent 3"/>
    <w:basedOn w:val="TableNormal"/>
    <w:uiPriority w:val="99"/>
    <w:semiHidden/>
    <w:rPr>
      <w:color w:val="000000"/>
    </w:rPr>
    <w:tblPr>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style>
  <w:style w:type="table" w:styleId="ColorfulShading-Accent4">
    <w:name w:val="Colorful Shading Accent 4"/>
    <w:basedOn w:val="TableNormal"/>
    <w:uiPriority w:val="99"/>
    <w:semiHidden/>
    <w:rPr>
      <w:color w:val="000000"/>
    </w:rPr>
    <w:tblPr>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style>
  <w:style w:type="table" w:styleId="ColorfulShading-Accent5">
    <w:name w:val="Colorful Shading Accent 5"/>
    <w:basedOn w:val="TableNormal"/>
    <w:uiPriority w:val="99"/>
    <w:semiHidden/>
    <w:rPr>
      <w:color w:val="000000"/>
    </w:rPr>
    <w:tblPr>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style>
  <w:style w:type="table" w:styleId="ColorfulShading-Accent6">
    <w:name w:val="Colorful Shading Accent 6"/>
    <w:basedOn w:val="TableNormal"/>
    <w:uiPriority w:val="99"/>
    <w:semiHidden/>
    <w:rPr>
      <w:color w:val="000000"/>
    </w:rPr>
    <w:tblPr>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156082"/>
    </w:tcPr>
  </w:style>
  <w:style w:type="table" w:styleId="DarkList-Accent2">
    <w:name w:val="Dark List Accent 2"/>
    <w:basedOn w:val="TableNormal"/>
    <w:uiPriority w:val="99"/>
    <w:semiHidden/>
    <w:rPr>
      <w:color w:val="FFFFFF"/>
    </w:rPr>
    <w:tblPr/>
    <w:tcPr>
      <w:shd w:val="clear" w:color="auto" w:fill="E97132"/>
    </w:tcPr>
  </w:style>
  <w:style w:type="table" w:styleId="DarkList-Accent3">
    <w:name w:val="Dark List Accent 3"/>
    <w:basedOn w:val="TableNormal"/>
    <w:uiPriority w:val="99"/>
    <w:semiHidden/>
    <w:rPr>
      <w:color w:val="FFFFFF"/>
    </w:rPr>
    <w:tblPr/>
    <w:tcPr>
      <w:shd w:val="clear" w:color="auto" w:fill="196B24"/>
    </w:tcPr>
  </w:style>
  <w:style w:type="table" w:styleId="DarkList-Accent4">
    <w:name w:val="Dark List Accent 4"/>
    <w:basedOn w:val="TableNormal"/>
    <w:uiPriority w:val="99"/>
    <w:semiHidden/>
    <w:rPr>
      <w:color w:val="FFFFFF"/>
    </w:rPr>
    <w:tblPr/>
    <w:tcPr>
      <w:shd w:val="clear" w:color="auto" w:fill="0F9ED5"/>
    </w:tcPr>
  </w:style>
  <w:style w:type="table" w:styleId="DarkList-Accent5">
    <w:name w:val="Dark List Accent 5"/>
    <w:basedOn w:val="TableNormal"/>
    <w:uiPriority w:val="99"/>
    <w:semiHidden/>
    <w:rPr>
      <w:color w:val="FFFFFF"/>
    </w:rPr>
    <w:tblPr/>
    <w:tcPr>
      <w:shd w:val="clear" w:color="auto" w:fill="A02B93"/>
    </w:tcPr>
  </w:style>
  <w:style w:type="table" w:styleId="DarkList-Accent6">
    <w:name w:val="Dark List Accent 6"/>
    <w:basedOn w:val="TableNormal"/>
    <w:uiPriority w:val="99"/>
    <w:semiHidden/>
    <w:rPr>
      <w:color w:val="FFFFFF"/>
    </w:rPr>
    <w:tblPr/>
    <w:tcPr>
      <w:shd w:val="clear" w:color="auto" w:fill="4EA72E"/>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kern w:val="0"/>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kern w:val="0"/>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kern w:val="0"/>
      <w:sz w:val="22"/>
      <w:szCs w:val="22"/>
      <w:lang w:val="en-GB"/>
    </w:rPr>
  </w:style>
  <w:style w:type="character" w:styleId="Emphasis">
    <w:name w:val="Emphasis"/>
    <w:uiPriority w:val="99"/>
    <w:qFormat/>
    <w:rPr>
      <w:rFonts w:cs="Times New Roman"/>
      <w:i/>
      <w:iCs/>
      <w:lang w:val="en-GB"/>
    </w:rPr>
  </w:style>
  <w:style w:type="character" w:styleId="EndnoteReference">
    <w:name w:val="endnote reference"/>
    <w:uiPriority w:val="99"/>
    <w:semiHidden/>
    <w:locked/>
    <w:rPr>
      <w:rFonts w:ascii="Times New Roman Bold" w:eastAsia="Times New Roman" w:hAnsi="Times New Roman Bold" w:cs="Times New Roman"/>
      <w:b/>
      <w:snapToGrid w:val="0"/>
      <w:sz w:val="26"/>
      <w:szCs w:val="26"/>
      <w:lang w:val="en-GB" w:bidi="ar-SA"/>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ascii="Times New Roman" w:eastAsia="Times New Roman" w:hAnsi="Times New Roman" w:cs="Times New Roman"/>
      <w:kern w:val="0"/>
      <w:sz w:val="20"/>
      <w:szCs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character" w:styleId="FollowedHyperlink">
    <w:name w:val="FollowedHyperlink"/>
    <w:uiPriority w:val="99"/>
    <w:semiHidden/>
    <w:locked/>
    <w:rPr>
      <w:rFonts w:eastAsia="Times New Roman" w:cs="Times New Roman"/>
      <w:b/>
      <w:bCs/>
      <w:snapToGrid w:val="0"/>
      <w:sz w:val="22"/>
      <w:szCs w:val="22"/>
      <w:lang w:val="en-GB" w:bidi="ar-SA"/>
    </w:rPr>
  </w:style>
  <w:style w:type="table" w:customStyle="1" w:styleId="GridTable1Light1">
    <w:name w:val="Grid Table 1 Light1"/>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tblPr>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GridTable1Light-Accent21">
    <w:name w:val="Grid Table 1 Light - Accent 21"/>
    <w:uiPriority w:val="99"/>
    <w:tblPr>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GridTable1Light-Accent31">
    <w:name w:val="Grid Table 1 Light - Accent 31"/>
    <w:uiPriority w:val="99"/>
    <w:tblPr>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GridTable1Light-Accent41">
    <w:name w:val="Grid Table 1 Light - Accent 41"/>
    <w:uiPriority w:val="99"/>
    <w:tblPr>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GridTable1Light-Accent51">
    <w:name w:val="Grid Table 1 Light - Accent 51"/>
    <w:uiPriority w:val="99"/>
    <w:tblPr>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GridTable1Light-Accent61">
    <w:name w:val="Grid Table 1 Light - Accent 61"/>
    <w:uiPriority w:val="99"/>
    <w:tblPr>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GridTable21">
    <w:name w:val="Grid Table 21"/>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tblPr>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GridTable2-Accent21">
    <w:name w:val="Grid Table 2 - Accent 21"/>
    <w:uiPriority w:val="99"/>
    <w:tblPr>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GridTable2-Accent31">
    <w:name w:val="Grid Table 2 - Accent 31"/>
    <w:uiPriority w:val="99"/>
    <w:tblPr>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GridTable2-Accent41">
    <w:name w:val="Grid Table 2 - Accent 41"/>
    <w:uiPriority w:val="99"/>
    <w:tblPr>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GridTable2-Accent51">
    <w:name w:val="Grid Table 2 - Accent 51"/>
    <w:uiPriority w:val="99"/>
    <w:tblPr>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GridTable2-Accent61">
    <w:name w:val="Grid Table 2 - Accent 61"/>
    <w:uiPriority w:val="99"/>
    <w:tblPr>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41">
    <w:name w:val="Grid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4-Accent21">
    <w:name w:val="Grid Table 4 - Accent 21"/>
    <w:uiPriority w:val="99"/>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4-Accent31">
    <w:name w:val="Grid Table 4 - Accent 31"/>
    <w:uiPriority w:val="99"/>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4-Accent41">
    <w:name w:val="Grid Table 4 - Accent 41"/>
    <w:uiPriority w:val="99"/>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4-Accent51">
    <w:name w:val="Grid Table 4 - Accent 51"/>
    <w:uiPriority w:val="99"/>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4-Accent61">
    <w:name w:val="Grid Table 4 - Accent 61"/>
    <w:uiPriority w:val="99"/>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5Dark1">
    <w:name w:val="Grid Table 5 Dark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GridTable5Dark-Accent21">
    <w:name w:val="Grid Table 5 Dark - Accent 2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GridTable5Dark-Accent31">
    <w:name w:val="Grid Table 5 Dark - Accent 3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GridTable5Dark-Accent41">
    <w:name w:val="Grid Table 5 Dark - Accent 4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GridTable5Dark-Accent51">
    <w:name w:val="Grid Table 5 Dark - Accent 5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GridTable5Dark-Accent61">
    <w:name w:val="Grid Table 5 Dark - Accent 6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0F4761"/>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6Colorful-Accent21">
    <w:name w:val="Grid Table 6 Colorful - Accent 21"/>
    <w:uiPriority w:val="99"/>
    <w:rPr>
      <w:color w:val="BF4E14"/>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6Colorful-Accent31">
    <w:name w:val="Grid Table 6 Colorful - Accent 31"/>
    <w:uiPriority w:val="99"/>
    <w:rPr>
      <w:color w:val="124F1A"/>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6Colorful-Accent41">
    <w:name w:val="Grid Table 6 Colorful - Accent 41"/>
    <w:uiPriority w:val="99"/>
    <w:rPr>
      <w:color w:val="0B769F"/>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6Colorful-Accent51">
    <w:name w:val="Grid Table 6 Colorful - Accent 51"/>
    <w:uiPriority w:val="99"/>
    <w:rPr>
      <w:color w:val="77206D"/>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6Colorful-Accent61">
    <w:name w:val="Grid Table 6 Colorful - Accent 61"/>
    <w:uiPriority w:val="99"/>
    <w:rPr>
      <w:color w:val="3A7C22"/>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0F4761"/>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7Colorful-Accent21">
    <w:name w:val="Grid Table 7 Colorful - Accent 21"/>
    <w:uiPriority w:val="99"/>
    <w:rPr>
      <w:color w:val="BF4E14"/>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7Colorful-Accent31">
    <w:name w:val="Grid Table 7 Colorful - Accent 31"/>
    <w:uiPriority w:val="99"/>
    <w:rPr>
      <w:color w:val="124F1A"/>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7Colorful-Accent41">
    <w:name w:val="Grid Table 7 Colorful - Accent 41"/>
    <w:uiPriority w:val="99"/>
    <w:rPr>
      <w:color w:val="0B769F"/>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7Colorful-Accent51">
    <w:name w:val="Grid Table 7 Colorful - Accent 51"/>
    <w:uiPriority w:val="99"/>
    <w:rPr>
      <w:color w:val="77206D"/>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7Colorful-Accent61">
    <w:name w:val="Grid Table 7 Colorful - Accent 61"/>
    <w:uiPriority w:val="99"/>
    <w:rPr>
      <w:color w:val="3A7C22"/>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kern w:val="0"/>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kern w:val="0"/>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style>
  <w:style w:type="table" w:styleId="LightGrid-Accent2">
    <w:name w:val="Light Grid Accent 2"/>
    <w:basedOn w:val="TableNormal"/>
    <w:uiPriority w:val="99"/>
    <w:semiHidden/>
    <w:tblPr>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style>
  <w:style w:type="table" w:styleId="LightGrid-Accent3">
    <w:name w:val="Light Grid Accent 3"/>
    <w:basedOn w:val="TableNormal"/>
    <w:uiPriority w:val="99"/>
    <w:semiHidden/>
    <w:tblPr>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style>
  <w:style w:type="table" w:styleId="LightGrid-Accent4">
    <w:name w:val="Light Grid Accent 4"/>
    <w:basedOn w:val="TableNormal"/>
    <w:uiPriority w:val="99"/>
    <w:semiHidden/>
    <w:tblPr>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style>
  <w:style w:type="table" w:styleId="LightGrid-Accent5">
    <w:name w:val="Light Grid Accent 5"/>
    <w:basedOn w:val="TableNormal"/>
    <w:uiPriority w:val="99"/>
    <w:semiHidden/>
    <w:tblPr>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style>
  <w:style w:type="table" w:styleId="LightGrid-Accent6">
    <w:name w:val="Light Grid Accent 6"/>
    <w:basedOn w:val="TableNormal"/>
    <w:uiPriority w:val="99"/>
    <w:semiHidden/>
    <w:tblPr>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156082"/>
        <w:left w:val="single" w:sz="8" w:space="0" w:color="156082"/>
        <w:bottom w:val="single" w:sz="8" w:space="0" w:color="156082"/>
        <w:right w:val="single" w:sz="8" w:space="0" w:color="156082"/>
      </w:tblBorders>
    </w:tblPr>
  </w:style>
  <w:style w:type="table" w:styleId="LightList-Accent2">
    <w:name w:val="Light List Accent 2"/>
    <w:basedOn w:val="TableNormal"/>
    <w:uiPriority w:val="99"/>
    <w:semiHidden/>
    <w:tblPr>
      <w:tblBorders>
        <w:top w:val="single" w:sz="8" w:space="0" w:color="E97132"/>
        <w:left w:val="single" w:sz="8" w:space="0" w:color="E97132"/>
        <w:bottom w:val="single" w:sz="8" w:space="0" w:color="E97132"/>
        <w:right w:val="single" w:sz="8" w:space="0" w:color="E97132"/>
      </w:tblBorders>
    </w:tblPr>
  </w:style>
  <w:style w:type="table" w:styleId="LightList-Accent3">
    <w:name w:val="Light List Accent 3"/>
    <w:basedOn w:val="TableNormal"/>
    <w:uiPriority w:val="99"/>
    <w:semiHidden/>
    <w:tblPr>
      <w:tblBorders>
        <w:top w:val="single" w:sz="8" w:space="0" w:color="196B24"/>
        <w:left w:val="single" w:sz="8" w:space="0" w:color="196B24"/>
        <w:bottom w:val="single" w:sz="8" w:space="0" w:color="196B24"/>
        <w:right w:val="single" w:sz="8" w:space="0" w:color="196B24"/>
      </w:tblBorders>
    </w:tblPr>
  </w:style>
  <w:style w:type="table" w:styleId="LightList-Accent4">
    <w:name w:val="Light List Accent 4"/>
    <w:basedOn w:val="TableNormal"/>
    <w:uiPriority w:val="99"/>
    <w:semiHidden/>
    <w:tblPr>
      <w:tblBorders>
        <w:top w:val="single" w:sz="8" w:space="0" w:color="0F9ED5"/>
        <w:left w:val="single" w:sz="8" w:space="0" w:color="0F9ED5"/>
        <w:bottom w:val="single" w:sz="8" w:space="0" w:color="0F9ED5"/>
        <w:right w:val="single" w:sz="8" w:space="0" w:color="0F9ED5"/>
      </w:tblBorders>
    </w:tblPr>
  </w:style>
  <w:style w:type="table" w:styleId="LightList-Accent5">
    <w:name w:val="Light List Accent 5"/>
    <w:basedOn w:val="TableNormal"/>
    <w:uiPriority w:val="99"/>
    <w:semiHidden/>
    <w:tblPr>
      <w:tblBorders>
        <w:top w:val="single" w:sz="8" w:space="0" w:color="A02B93"/>
        <w:left w:val="single" w:sz="8" w:space="0" w:color="A02B93"/>
        <w:bottom w:val="single" w:sz="8" w:space="0" w:color="A02B93"/>
        <w:right w:val="single" w:sz="8" w:space="0" w:color="A02B93"/>
      </w:tblBorders>
    </w:tblPr>
  </w:style>
  <w:style w:type="table" w:styleId="LightList-Accent6">
    <w:name w:val="Light List Accent 6"/>
    <w:basedOn w:val="TableNormal"/>
    <w:uiPriority w:val="99"/>
    <w:semiHidden/>
    <w:tblPr>
      <w:tblBorders>
        <w:top w:val="single" w:sz="8" w:space="0" w:color="4EA72E"/>
        <w:left w:val="single" w:sz="8" w:space="0" w:color="4EA72E"/>
        <w:bottom w:val="single" w:sz="8" w:space="0" w:color="4EA72E"/>
        <w:right w:val="single" w:sz="8" w:space="0" w:color="4EA72E"/>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0F4761"/>
    </w:rPr>
    <w:tblPr>
      <w:tblBorders>
        <w:top w:val="single" w:sz="8" w:space="0" w:color="156082"/>
        <w:bottom w:val="single" w:sz="8" w:space="0" w:color="156082"/>
      </w:tblBorders>
    </w:tblPr>
  </w:style>
  <w:style w:type="table" w:styleId="LightShading-Accent2">
    <w:name w:val="Light Shading Accent 2"/>
    <w:basedOn w:val="TableNormal"/>
    <w:uiPriority w:val="99"/>
    <w:semiHidden/>
    <w:rPr>
      <w:color w:val="BF4E14"/>
    </w:rPr>
    <w:tblPr>
      <w:tblBorders>
        <w:top w:val="single" w:sz="8" w:space="0" w:color="E97132"/>
        <w:bottom w:val="single" w:sz="8" w:space="0" w:color="E97132"/>
      </w:tblBorders>
    </w:tblPr>
  </w:style>
  <w:style w:type="table" w:styleId="LightShading-Accent3">
    <w:name w:val="Light Shading Accent 3"/>
    <w:basedOn w:val="TableNormal"/>
    <w:uiPriority w:val="99"/>
    <w:semiHidden/>
    <w:rPr>
      <w:color w:val="124F1A"/>
    </w:rPr>
    <w:tblPr>
      <w:tblBorders>
        <w:top w:val="single" w:sz="8" w:space="0" w:color="196B24"/>
        <w:bottom w:val="single" w:sz="8" w:space="0" w:color="196B24"/>
      </w:tblBorders>
    </w:tblPr>
  </w:style>
  <w:style w:type="table" w:styleId="LightShading-Accent4">
    <w:name w:val="Light Shading Accent 4"/>
    <w:basedOn w:val="TableNormal"/>
    <w:uiPriority w:val="99"/>
    <w:semiHidden/>
    <w:rPr>
      <w:color w:val="0B769F"/>
    </w:rPr>
    <w:tblPr>
      <w:tblBorders>
        <w:top w:val="single" w:sz="8" w:space="0" w:color="0F9ED5"/>
        <w:bottom w:val="single" w:sz="8" w:space="0" w:color="0F9ED5"/>
      </w:tblBorders>
    </w:tblPr>
  </w:style>
  <w:style w:type="table" w:styleId="LightShading-Accent5">
    <w:name w:val="Light Shading Accent 5"/>
    <w:basedOn w:val="TableNormal"/>
    <w:uiPriority w:val="99"/>
    <w:semiHidden/>
    <w:rPr>
      <w:color w:val="77206D"/>
    </w:rPr>
    <w:tblPr>
      <w:tblBorders>
        <w:top w:val="single" w:sz="8" w:space="0" w:color="A02B93"/>
        <w:bottom w:val="single" w:sz="8" w:space="0" w:color="A02B93"/>
      </w:tblBorders>
    </w:tblPr>
  </w:style>
  <w:style w:type="table" w:styleId="LightShading-Accent6">
    <w:name w:val="Light Shading Accent 6"/>
    <w:basedOn w:val="TableNormal"/>
    <w:uiPriority w:val="99"/>
    <w:semiHidden/>
    <w:rPr>
      <w:color w:val="3A7C22"/>
    </w:rPr>
    <w:tblPr>
      <w:tblBorders>
        <w:top w:val="single" w:sz="8" w:space="0" w:color="4EA72E"/>
        <w:bottom w:val="single" w:sz="8" w:space="0" w:color="4EA72E"/>
      </w:tblBorders>
    </w:tblPr>
  </w:style>
  <w:style w:type="character" w:styleId="LineNumber">
    <w:name w:val="line number"/>
    <w:uiPriority w:val="99"/>
    <w:semiHidden/>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numPr>
        <w:numId w:val="1"/>
      </w:numPr>
      <w:ind w:left="360"/>
      <w:contextualSpacing/>
    </w:pPr>
  </w:style>
  <w:style w:type="paragraph" w:styleId="ListBullet2">
    <w:name w:val="List Bullet 2"/>
    <w:basedOn w:val="Normal"/>
    <w:uiPriority w:val="99"/>
    <w:semiHidden/>
    <w:pPr>
      <w:numPr>
        <w:numId w:val="2"/>
      </w:numPr>
      <w:tabs>
        <w:tab w:val="num" w:pos="643"/>
      </w:tabs>
      <w:ind w:left="643"/>
      <w:contextualSpacing/>
    </w:pPr>
  </w:style>
  <w:style w:type="paragraph" w:styleId="ListBullet3">
    <w:name w:val="List Bullet 3"/>
    <w:basedOn w:val="Normal"/>
    <w:uiPriority w:val="99"/>
    <w:semiHidden/>
    <w:pPr>
      <w:numPr>
        <w:numId w:val="3"/>
      </w:numPr>
      <w:tabs>
        <w:tab w:val="num" w:pos="926"/>
      </w:tabs>
      <w:ind w:left="926"/>
      <w:contextualSpacing/>
    </w:pPr>
  </w:style>
  <w:style w:type="paragraph" w:styleId="ListBullet4">
    <w:name w:val="List Bullet 4"/>
    <w:basedOn w:val="Normal"/>
    <w:uiPriority w:val="99"/>
    <w:semiHidden/>
    <w:pPr>
      <w:numPr>
        <w:numId w:val="4"/>
      </w:numPr>
      <w:tabs>
        <w:tab w:val="num" w:pos="1209"/>
      </w:tabs>
      <w:ind w:left="1209"/>
      <w:contextualSpacing/>
    </w:pPr>
  </w:style>
  <w:style w:type="paragraph" w:styleId="ListBullet5">
    <w:name w:val="List Bullet 5"/>
    <w:basedOn w:val="Normal"/>
    <w:uiPriority w:val="99"/>
    <w:semiHidden/>
    <w:pPr>
      <w:numPr>
        <w:numId w:val="5"/>
      </w:numPr>
      <w:tabs>
        <w:tab w:val="clear" w:pos="360"/>
        <w:tab w:val="num" w:pos="1492"/>
      </w:tabs>
      <w:ind w:left="1492"/>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numPr>
        <w:numId w:val="7"/>
      </w:numPr>
      <w:ind w:left="360"/>
      <w:contextualSpacing/>
    </w:pPr>
  </w:style>
  <w:style w:type="paragraph" w:styleId="ListNumber2">
    <w:name w:val="List Number 2"/>
    <w:basedOn w:val="Normal"/>
    <w:uiPriority w:val="99"/>
    <w:semiHidden/>
    <w:pPr>
      <w:numPr>
        <w:numId w:val="8"/>
      </w:numPr>
      <w:tabs>
        <w:tab w:val="clear" w:pos="360"/>
        <w:tab w:val="num" w:pos="643"/>
        <w:tab w:val="num" w:pos="1247"/>
      </w:tabs>
      <w:ind w:left="643"/>
      <w:contextualSpacing/>
    </w:pPr>
  </w:style>
  <w:style w:type="paragraph" w:styleId="ListNumber3">
    <w:name w:val="List Number 3"/>
    <w:basedOn w:val="Normal"/>
    <w:uiPriority w:val="99"/>
    <w:semiHidden/>
    <w:pPr>
      <w:tabs>
        <w:tab w:val="num" w:pos="643"/>
        <w:tab w:val="num" w:pos="926"/>
      </w:tabs>
      <w:ind w:left="926" w:hanging="360"/>
      <w:contextualSpacing/>
    </w:pPr>
  </w:style>
  <w:style w:type="paragraph" w:styleId="ListNumber4">
    <w:name w:val="List Number 4"/>
    <w:basedOn w:val="Normal"/>
    <w:uiPriority w:val="99"/>
    <w:semiHidden/>
    <w:pPr>
      <w:tabs>
        <w:tab w:val="num" w:pos="643"/>
        <w:tab w:val="num" w:pos="926"/>
        <w:tab w:val="num" w:pos="1209"/>
      </w:tabs>
      <w:ind w:left="1209" w:hanging="360"/>
      <w:contextualSpacing/>
    </w:pPr>
  </w:style>
  <w:style w:type="paragraph" w:styleId="ListNumber5">
    <w:name w:val="List Number 5"/>
    <w:basedOn w:val="Normal"/>
    <w:uiPriority w:val="99"/>
    <w:semiHidden/>
    <w:pPr>
      <w:tabs>
        <w:tab w:val="num" w:pos="926"/>
        <w:tab w:val="num" w:pos="1209"/>
        <w:tab w:val="num" w:pos="1492"/>
      </w:tabs>
      <w:ind w:left="1492" w:hanging="360"/>
      <w:contextualSpacing/>
    </w:p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tblPr>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ListTable2-Accent21">
    <w:name w:val="List Table 2 - Accent 21"/>
    <w:uiPriority w:val="99"/>
    <w:tblPr>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ListTable2-Accent31">
    <w:name w:val="List Table 2 - Accent 31"/>
    <w:uiPriority w:val="99"/>
    <w:tblPr>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ListTable2-Accent41">
    <w:name w:val="List Table 2 - Accent 41"/>
    <w:uiPriority w:val="99"/>
    <w:tblPr>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ListTable2-Accent51">
    <w:name w:val="List Table 2 - Accent 51"/>
    <w:uiPriority w:val="99"/>
    <w:tblPr>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ListTable2-Accent61">
    <w:name w:val="List Table 2 - Accent 61"/>
    <w:uiPriority w:val="99"/>
    <w:tblPr>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ListTable3-Accent41">
    <w:name w:val="List Table 3 - Accent 41"/>
    <w:uiPriority w:val="99"/>
    <w:tblPr>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ListTable3-Accent51">
    <w:name w:val="List Table 3 - Accent 51"/>
    <w:uiPriority w:val="99"/>
    <w:tblPr>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ListTable3-Accent61">
    <w:name w:val="List Table 3 - Accent 61"/>
    <w:uiPriority w:val="99"/>
    <w:tblPr>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ListTable41">
    <w:name w:val="List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tblPr>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ListTable4-Accent21">
    <w:name w:val="List Table 4 - Accent 21"/>
    <w:uiPriority w:val="99"/>
    <w:tblPr>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ListTable4-Accent31">
    <w:name w:val="List Table 4 - Accent 31"/>
    <w:uiPriority w:val="99"/>
    <w:tblPr>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ListTable4-Accent41">
    <w:name w:val="List Table 4 - Accent 41"/>
    <w:uiPriority w:val="99"/>
    <w:tblPr>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ListTable4-Accent51">
    <w:name w:val="List Table 4 - Accent 51"/>
    <w:uiPriority w:val="99"/>
    <w:tblPr>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ListTable4-Accent61">
    <w:name w:val="List Table 4 - Accent 61"/>
    <w:uiPriority w:val="99"/>
    <w:tblPr>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rPr>
    <w:tblPr>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ListTable5Dark-Accent21">
    <w:name w:val="List Table 5 Dark - Accent 21"/>
    <w:uiPriority w:val="99"/>
    <w:rPr>
      <w:color w:val="FFFFFF"/>
    </w:rPr>
    <w:tblPr>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ListTable5Dark-Accent31">
    <w:name w:val="List Table 5 Dark - Accent 31"/>
    <w:uiPriority w:val="99"/>
    <w:rPr>
      <w:color w:val="FFFFFF"/>
    </w:rPr>
    <w:tblPr>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ListTable5Dark-Accent41">
    <w:name w:val="List Table 5 Dark - Accent 41"/>
    <w:uiPriority w:val="99"/>
    <w:rPr>
      <w:color w:val="FFFFFF"/>
    </w:rPr>
    <w:tblPr>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ListTable5Dark-Accent51">
    <w:name w:val="List Table 5 Dark - Accent 51"/>
    <w:uiPriority w:val="99"/>
    <w:rPr>
      <w:color w:val="FFFFFF"/>
    </w:rPr>
    <w:tblPr>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ListTable5Dark-Accent61">
    <w:name w:val="List Table 5 Dark - Accent 61"/>
    <w:uiPriority w:val="99"/>
    <w:rPr>
      <w:color w:val="FFFFFF"/>
    </w:rPr>
    <w:tblPr>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ListTable6Colorful1">
    <w:name w:val="List Table 6 Colorful1"/>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0F4761"/>
    </w:rPr>
    <w:tblPr>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ListTable6Colorful-Accent21">
    <w:name w:val="List Table 6 Colorful - Accent 21"/>
    <w:uiPriority w:val="99"/>
    <w:rPr>
      <w:color w:val="BF4E14"/>
    </w:rPr>
    <w:tblPr>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ListTable6Colorful-Accent31">
    <w:name w:val="List Table 6 Colorful - Accent 31"/>
    <w:uiPriority w:val="99"/>
    <w:rPr>
      <w:color w:val="124F1A"/>
    </w:rPr>
    <w:tblPr>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ListTable6Colorful-Accent41">
    <w:name w:val="List Table 6 Colorful - Accent 41"/>
    <w:uiPriority w:val="99"/>
    <w:rPr>
      <w:color w:val="0B769F"/>
    </w:rPr>
    <w:tblPr>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ListTable6Colorful-Accent51">
    <w:name w:val="List Table 6 Colorful - Accent 51"/>
    <w:uiPriority w:val="99"/>
    <w:rPr>
      <w:color w:val="77206D"/>
    </w:rPr>
    <w:tblPr>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ListTable6Colorful-Accent61">
    <w:name w:val="List Table 6 Colorful - Accent 61"/>
    <w:uiPriority w:val="99"/>
    <w:rPr>
      <w:color w:val="3A7C22"/>
    </w:rPr>
    <w:tblPr>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0F476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BF4E1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124F1A"/>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0B769F"/>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77206D"/>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3A7C22"/>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style>
  <w:style w:type="table" w:styleId="MediumGrid1-Accent2">
    <w:name w:val="Medium Grid 1 Accent 2"/>
    <w:basedOn w:val="TableNormal"/>
    <w:uiPriority w:val="99"/>
    <w:semiHidden/>
    <w:tblPr>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style>
  <w:style w:type="table" w:styleId="MediumGrid1-Accent3">
    <w:name w:val="Medium Grid 1 Accent 3"/>
    <w:basedOn w:val="TableNormal"/>
    <w:uiPriority w:val="99"/>
    <w:semiHidden/>
    <w:tblPr>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style>
  <w:style w:type="table" w:styleId="MediumGrid1-Accent4">
    <w:name w:val="Medium Grid 1 Accent 4"/>
    <w:basedOn w:val="TableNormal"/>
    <w:uiPriority w:val="99"/>
    <w:semiHidden/>
    <w:tblPr>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style>
  <w:style w:type="table" w:styleId="MediumGrid1-Accent5">
    <w:name w:val="Medium Grid 1 Accent 5"/>
    <w:basedOn w:val="TableNormal"/>
    <w:uiPriority w:val="99"/>
    <w:semiHidden/>
    <w:tblPr>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style>
  <w:style w:type="table" w:styleId="MediumGrid1-Accent6">
    <w:name w:val="Medium Grid 1 Accent 6"/>
    <w:basedOn w:val="TableNormal"/>
    <w:uiPriority w:val="99"/>
    <w:semiHidden/>
    <w:tblPr>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style>
  <w:style w:type="table" w:styleId="MediumGrid2-Accent2">
    <w:name w:val="Medium Grid 2 Accent 2"/>
    <w:basedOn w:val="TableNormal"/>
    <w:uiPriority w:val="99"/>
    <w:semiHidden/>
    <w:rPr>
      <w:color w:val="000000"/>
    </w:rPr>
    <w:tblPr>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style>
  <w:style w:type="table" w:styleId="MediumGrid2-Accent3">
    <w:name w:val="Medium Grid 2 Accent 3"/>
    <w:basedOn w:val="TableNormal"/>
    <w:uiPriority w:val="99"/>
    <w:semiHidden/>
    <w:rPr>
      <w:color w:val="000000"/>
    </w:rPr>
    <w:tblPr>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style>
  <w:style w:type="table" w:styleId="MediumGrid2-Accent4">
    <w:name w:val="Medium Grid 2 Accent 4"/>
    <w:basedOn w:val="TableNormal"/>
    <w:uiPriority w:val="99"/>
    <w:semiHidden/>
    <w:rPr>
      <w:color w:val="000000"/>
    </w:rPr>
    <w:tblPr>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style>
  <w:style w:type="table" w:styleId="MediumGrid2-Accent5">
    <w:name w:val="Medium Grid 2 Accent 5"/>
    <w:basedOn w:val="TableNormal"/>
    <w:uiPriority w:val="99"/>
    <w:semiHidden/>
    <w:rPr>
      <w:color w:val="000000"/>
    </w:rPr>
    <w:tblPr>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style>
  <w:style w:type="table" w:styleId="MediumGrid2-Accent6">
    <w:name w:val="Medium Grid 2 Accent 6"/>
    <w:basedOn w:val="TableNormal"/>
    <w:uiPriority w:val="99"/>
    <w:semiHidden/>
    <w:rPr>
      <w:color w:val="000000"/>
    </w:rPr>
    <w:tblPr>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156082"/>
        <w:bottom w:val="single" w:sz="8" w:space="0" w:color="156082"/>
      </w:tblBorders>
    </w:tblPr>
  </w:style>
  <w:style w:type="table" w:styleId="MediumList1-Accent2">
    <w:name w:val="Medium List 1 Accent 2"/>
    <w:basedOn w:val="TableNormal"/>
    <w:uiPriority w:val="99"/>
    <w:semiHidden/>
    <w:rPr>
      <w:color w:val="000000"/>
    </w:rPr>
    <w:tblPr>
      <w:tblBorders>
        <w:top w:val="single" w:sz="8" w:space="0" w:color="E97132"/>
        <w:bottom w:val="single" w:sz="8" w:space="0" w:color="E97132"/>
      </w:tblBorders>
    </w:tblPr>
  </w:style>
  <w:style w:type="table" w:styleId="MediumList1-Accent3">
    <w:name w:val="Medium List 1 Accent 3"/>
    <w:basedOn w:val="TableNormal"/>
    <w:uiPriority w:val="99"/>
    <w:semiHidden/>
    <w:rPr>
      <w:color w:val="000000"/>
    </w:rPr>
    <w:tblPr>
      <w:tblBorders>
        <w:top w:val="single" w:sz="8" w:space="0" w:color="196B24"/>
        <w:bottom w:val="single" w:sz="8" w:space="0" w:color="196B24"/>
      </w:tblBorders>
    </w:tblPr>
  </w:style>
  <w:style w:type="table" w:styleId="MediumList1-Accent4">
    <w:name w:val="Medium List 1 Accent 4"/>
    <w:basedOn w:val="TableNormal"/>
    <w:uiPriority w:val="99"/>
    <w:semiHidden/>
    <w:rPr>
      <w:color w:val="000000"/>
    </w:rPr>
    <w:tblPr>
      <w:tblBorders>
        <w:top w:val="single" w:sz="8" w:space="0" w:color="0F9ED5"/>
        <w:bottom w:val="single" w:sz="8" w:space="0" w:color="0F9ED5"/>
      </w:tblBorders>
    </w:tblPr>
  </w:style>
  <w:style w:type="table" w:styleId="MediumList1-Accent5">
    <w:name w:val="Medium List 1 Accent 5"/>
    <w:basedOn w:val="TableNormal"/>
    <w:uiPriority w:val="99"/>
    <w:semiHidden/>
    <w:rPr>
      <w:color w:val="000000"/>
    </w:rPr>
    <w:tblPr>
      <w:tblBorders>
        <w:top w:val="single" w:sz="8" w:space="0" w:color="A02B93"/>
        <w:bottom w:val="single" w:sz="8" w:space="0" w:color="A02B93"/>
      </w:tblBorders>
    </w:tblPr>
  </w:style>
  <w:style w:type="table" w:styleId="MediumList1-Accent6">
    <w:name w:val="Medium List 1 Accent 6"/>
    <w:basedOn w:val="TableNormal"/>
    <w:uiPriority w:val="99"/>
    <w:semiHidden/>
    <w:rPr>
      <w:color w:val="000000"/>
    </w:rPr>
    <w:tblPr>
      <w:tblBorders>
        <w:top w:val="single" w:sz="8" w:space="0" w:color="4EA72E"/>
        <w:bottom w:val="single" w:sz="8" w:space="0" w:color="4EA72E"/>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156082"/>
        <w:left w:val="single" w:sz="8" w:space="0" w:color="156082"/>
        <w:bottom w:val="single" w:sz="8" w:space="0" w:color="156082"/>
        <w:right w:val="single" w:sz="8" w:space="0" w:color="156082"/>
      </w:tblBorders>
    </w:tblPr>
  </w:style>
  <w:style w:type="table" w:styleId="MediumList2-Accent2">
    <w:name w:val="Medium List 2 Accent 2"/>
    <w:basedOn w:val="TableNormal"/>
    <w:uiPriority w:val="99"/>
    <w:semiHidden/>
    <w:rPr>
      <w:color w:val="000000"/>
    </w:rPr>
    <w:tblPr>
      <w:tblBorders>
        <w:top w:val="single" w:sz="8" w:space="0" w:color="E97132"/>
        <w:left w:val="single" w:sz="8" w:space="0" w:color="E97132"/>
        <w:bottom w:val="single" w:sz="8" w:space="0" w:color="E97132"/>
        <w:right w:val="single" w:sz="8" w:space="0" w:color="E97132"/>
      </w:tblBorders>
    </w:tblPr>
  </w:style>
  <w:style w:type="table" w:styleId="MediumList2-Accent3">
    <w:name w:val="Medium List 2 Accent 3"/>
    <w:basedOn w:val="TableNormal"/>
    <w:uiPriority w:val="99"/>
    <w:semiHidden/>
    <w:rPr>
      <w:color w:val="000000"/>
    </w:rPr>
    <w:tblPr>
      <w:tblBorders>
        <w:top w:val="single" w:sz="8" w:space="0" w:color="196B24"/>
        <w:left w:val="single" w:sz="8" w:space="0" w:color="196B24"/>
        <w:bottom w:val="single" w:sz="8" w:space="0" w:color="196B24"/>
        <w:right w:val="single" w:sz="8" w:space="0" w:color="196B24"/>
      </w:tblBorders>
    </w:tblPr>
  </w:style>
  <w:style w:type="table" w:styleId="MediumList2-Accent4">
    <w:name w:val="Medium List 2 Accent 4"/>
    <w:basedOn w:val="TableNormal"/>
    <w:uiPriority w:val="99"/>
    <w:semiHidden/>
    <w:rPr>
      <w:color w:val="000000"/>
    </w:rPr>
    <w:tblPr>
      <w:tblBorders>
        <w:top w:val="single" w:sz="8" w:space="0" w:color="0F9ED5"/>
        <w:left w:val="single" w:sz="8" w:space="0" w:color="0F9ED5"/>
        <w:bottom w:val="single" w:sz="8" w:space="0" w:color="0F9ED5"/>
        <w:right w:val="single" w:sz="8" w:space="0" w:color="0F9ED5"/>
      </w:tblBorders>
    </w:tblPr>
  </w:style>
  <w:style w:type="table" w:styleId="MediumList2-Accent5">
    <w:name w:val="Medium List 2 Accent 5"/>
    <w:basedOn w:val="TableNormal"/>
    <w:uiPriority w:val="99"/>
    <w:semiHidden/>
    <w:rPr>
      <w:color w:val="000000"/>
    </w:rPr>
    <w:tblPr>
      <w:tblBorders>
        <w:top w:val="single" w:sz="8" w:space="0" w:color="A02B93"/>
        <w:left w:val="single" w:sz="8" w:space="0" w:color="A02B93"/>
        <w:bottom w:val="single" w:sz="8" w:space="0" w:color="A02B93"/>
        <w:right w:val="single" w:sz="8" w:space="0" w:color="A02B93"/>
      </w:tblBorders>
    </w:tblPr>
  </w:style>
  <w:style w:type="table" w:styleId="MediumList2-Accent6">
    <w:name w:val="Medium List 2 Accent 6"/>
    <w:basedOn w:val="TableNormal"/>
    <w:uiPriority w:val="99"/>
    <w:semiHidden/>
    <w:rPr>
      <w:color w:val="000000"/>
    </w:rPr>
    <w:tblPr>
      <w:tblBorders>
        <w:top w:val="single" w:sz="8" w:space="0" w:color="4EA72E"/>
        <w:left w:val="single" w:sz="8" w:space="0" w:color="4EA72E"/>
        <w:bottom w:val="single" w:sz="8" w:space="0" w:color="4EA72E"/>
        <w:right w:val="single" w:sz="8" w:space="0" w:color="4EA72E"/>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2198CF"/>
        <w:left w:val="single" w:sz="8" w:space="0" w:color="2198CF"/>
        <w:bottom w:val="single" w:sz="8" w:space="0" w:color="2198CF"/>
        <w:right w:val="single" w:sz="8" w:space="0" w:color="2198CF"/>
        <w:insideH w:val="single" w:sz="8" w:space="0" w:color="2198CF"/>
      </w:tblBorders>
    </w:tblPr>
  </w:style>
  <w:style w:type="table" w:styleId="MediumShading1-Accent2">
    <w:name w:val="Medium Shading 1 Accent 2"/>
    <w:basedOn w:val="TableNormal"/>
    <w:uiPriority w:val="99"/>
    <w:semiHidden/>
    <w:tblPr>
      <w:tblBorders>
        <w:top w:val="single" w:sz="8" w:space="0" w:color="EE9465"/>
        <w:left w:val="single" w:sz="8" w:space="0" w:color="EE9465"/>
        <w:bottom w:val="single" w:sz="8" w:space="0" w:color="EE9465"/>
        <w:right w:val="single" w:sz="8" w:space="0" w:color="EE9465"/>
        <w:insideH w:val="single" w:sz="8" w:space="0" w:color="EE9465"/>
      </w:tblBorders>
    </w:tblPr>
  </w:style>
  <w:style w:type="table" w:styleId="MediumShading1-Accent3">
    <w:name w:val="Medium Shading 1 Accent 3"/>
    <w:basedOn w:val="TableNormal"/>
    <w:uiPriority w:val="99"/>
    <w:semiHidden/>
    <w:tblPr>
      <w:tblBorders>
        <w:top w:val="single" w:sz="8" w:space="0" w:color="2BB73D"/>
        <w:left w:val="single" w:sz="8" w:space="0" w:color="2BB73D"/>
        <w:bottom w:val="single" w:sz="8" w:space="0" w:color="2BB73D"/>
        <w:right w:val="single" w:sz="8" w:space="0" w:color="2BB73D"/>
        <w:insideH w:val="single" w:sz="8" w:space="0" w:color="2BB73D"/>
      </w:tblBorders>
    </w:tblPr>
  </w:style>
  <w:style w:type="table" w:styleId="MediumShading1-Accent4">
    <w:name w:val="Medium Shading 1 Accent 4"/>
    <w:basedOn w:val="TableNormal"/>
    <w:uiPriority w:val="99"/>
    <w:semiHidden/>
    <w:tblPr>
      <w:tblBorders>
        <w:top w:val="single" w:sz="8" w:space="0" w:color="39BEF1"/>
        <w:left w:val="single" w:sz="8" w:space="0" w:color="39BEF1"/>
        <w:bottom w:val="single" w:sz="8" w:space="0" w:color="39BEF1"/>
        <w:right w:val="single" w:sz="8" w:space="0" w:color="39BEF1"/>
        <w:insideH w:val="single" w:sz="8" w:space="0" w:color="39BEF1"/>
      </w:tblBorders>
    </w:tblPr>
  </w:style>
  <w:style w:type="table" w:styleId="MediumShading1-Accent5">
    <w:name w:val="Medium Shading 1 Accent 5"/>
    <w:basedOn w:val="TableNormal"/>
    <w:uiPriority w:val="99"/>
    <w:semiHidden/>
    <w:tblPr>
      <w:tblBorders>
        <w:top w:val="single" w:sz="8" w:space="0" w:color="CE49BF"/>
        <w:left w:val="single" w:sz="8" w:space="0" w:color="CE49BF"/>
        <w:bottom w:val="single" w:sz="8" w:space="0" w:color="CE49BF"/>
        <w:right w:val="single" w:sz="8" w:space="0" w:color="CE49BF"/>
        <w:insideH w:val="single" w:sz="8" w:space="0" w:color="CE49BF"/>
      </w:tblBorders>
    </w:tblPr>
  </w:style>
  <w:style w:type="table" w:styleId="MediumShading1-Accent6">
    <w:name w:val="Medium Shading 1 Accent 6"/>
    <w:basedOn w:val="TableNormal"/>
    <w:uiPriority w:val="99"/>
    <w:semiHidden/>
    <w:tblPr>
      <w:tblBorders>
        <w:top w:val="single" w:sz="8" w:space="0" w:color="71CF50"/>
        <w:left w:val="single" w:sz="8" w:space="0" w:color="71CF50"/>
        <w:bottom w:val="single" w:sz="8" w:space="0" w:color="71CF50"/>
        <w:right w:val="single" w:sz="8" w:space="0" w:color="71CF50"/>
        <w:insideH w:val="single" w:sz="8" w:space="0" w:color="71CF50"/>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kern w:val="0"/>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kern w:val="0"/>
      <w:sz w:val="22"/>
      <w:szCs w:val="22"/>
      <w:lang w:val="en-GB"/>
    </w:rPr>
  </w:style>
  <w:style w:type="character" w:styleId="PageNumber">
    <w:name w:val="page number"/>
    <w:uiPriority w:val="99"/>
    <w:semiHidden/>
    <w:rPr>
      <w:rFonts w:cs="Times New Roman"/>
      <w:lang w:val="en-GB"/>
    </w:rPr>
  </w:style>
  <w:style w:type="character" w:styleId="PlaceholderText">
    <w:name w:val="Placeholder Text"/>
    <w:uiPriority w:val="99"/>
    <w:semiHidden/>
    <w:rPr>
      <w:rFonts w:cs="Times New Roman"/>
      <w:color w:val="666666"/>
      <w:lang w:val="en-GB"/>
    </w:rPr>
  </w:style>
  <w:style w:type="table" w:customStyle="1" w:styleId="PlainTable11">
    <w:name w:val="Plain Table 1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locked/>
    <w:rPr>
      <w:rFonts w:ascii="Times New Roman Bold" w:hAnsi="Times New Roman Bold"/>
      <w:b/>
      <w:sz w:val="24"/>
      <w:szCs w:val="26"/>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kern w:val="0"/>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kern w:val="0"/>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locked/>
    <w:rPr>
      <w:rFonts w:eastAsia="Times New Roman" w:cs="Times New Roman"/>
      <w:b/>
      <w:bCs/>
      <w:snapToGrid w:val="0"/>
      <w:sz w:val="22"/>
      <w:szCs w:val="22"/>
      <w:lang w:val="en-GB" w:bidi="ar-SA"/>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b/>
      <w:bCs/>
      <w:sz w:val="24"/>
      <w:szCs w:val="24"/>
    </w: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0F476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character" w:customStyle="1" w:styleId="UnresolvedMention2">
    <w:name w:val="Unresolved Mention2"/>
    <w:uiPriority w:val="99"/>
    <w:semiHidden/>
    <w:rPr>
      <w:rFonts w:cs="Times New Roman"/>
      <w:color w:val="605E5C"/>
      <w:shd w:val="clear" w:color="auto" w:fill="E1DFDD"/>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E031FB"/>
    <w:pPr>
      <w:numPr>
        <w:numId w:val="10"/>
      </w:numPr>
    </w:pPr>
  </w:style>
  <w:style w:type="numbering" w:customStyle="1" w:styleId="CBDHeadings">
    <w:name w:val="CBD_Headings"/>
    <w:rsid w:val="00E031FB"/>
    <w:pPr>
      <w:numPr>
        <w:numId w:val="11"/>
      </w:numPr>
    </w:pPr>
  </w:style>
  <w:style w:type="character" w:customStyle="1" w:styleId="UnresolvedMention3">
    <w:name w:val="Unresolved Mention3"/>
    <w:uiPriority w:val="99"/>
    <w:semiHidden/>
    <w:unhideWhenUsed/>
    <w:rsid w:val="000B1C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cop/?m=cop-15" TargetMode="External"/><Relationship Id="rId18" Type="http://schemas.openxmlformats.org/officeDocument/2006/relationships/hyperlink" Target="https://www.cbd.int/documents/CBD/SBSTTA/26/INF/15"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cbd.int/decisions/cop/?m=cop-16" TargetMode="External"/><Relationship Id="rId7" Type="http://schemas.openxmlformats.org/officeDocument/2006/relationships/image" Target="media/image1.emf"/><Relationship Id="rId12" Type="http://schemas.openxmlformats.org/officeDocument/2006/relationships/hyperlink" Target="https://www.cbd.int/decisions/cop/?m=cop-15" TargetMode="External"/><Relationship Id="rId17" Type="http://schemas.openxmlformats.org/officeDocument/2006/relationships/hyperlink" Target="https://www.cbd.int/documents/CBD/SBSTTA/26/3"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bd.int/recommendations/sbstta/?m=sbstta-25" TargetMode="External"/><Relationship Id="rId20" Type="http://schemas.openxmlformats.org/officeDocument/2006/relationships/hyperlink" Target="https://www.cbd.int/documents/CBD/SBSTTA/26/3"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5" TargetMode="External"/><Relationship Id="rId24" Type="http://schemas.openxmlformats.org/officeDocument/2006/relationships/hyperlink" Target="https://www.cbd.int/notifications/2025-078" TargetMode="External"/><Relationship Id="rId5" Type="http://schemas.openxmlformats.org/officeDocument/2006/relationships/footnotes" Target="footnotes.xml"/><Relationship Id="rId15" Type="http://schemas.openxmlformats.org/officeDocument/2006/relationships/hyperlink" Target="https://www.cbd.int/documents/CBD/SBSTTA/25/INF/1" TargetMode="External"/><Relationship Id="rId23" Type="http://schemas.openxmlformats.org/officeDocument/2006/relationships/hyperlink" Target="https://www.cbd.int/decisions/cop/?m=cop-16" TargetMode="External"/><Relationship Id="rId28" Type="http://schemas.openxmlformats.org/officeDocument/2006/relationships/footer" Target="footer2.xml"/><Relationship Id="rId10" Type="http://schemas.openxmlformats.org/officeDocument/2006/relationships/hyperlink" Target="https://www.cbd.int/decisions/cop/?m=cop-15" TargetMode="Externa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uments/CBD/SBSTTA/25/4" TargetMode="External"/><Relationship Id="rId22" Type="http://schemas.openxmlformats.org/officeDocument/2006/relationships/hyperlink" Target="https://www.cbd.int/decisions/cop/?m=cop-15"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sbi/terms-of-reference" TargetMode="External"/><Relationship Id="rId2" Type="http://schemas.openxmlformats.org/officeDocument/2006/relationships/hyperlink" Target="https://www.cbd.int/doc/meetings/sbstta-bureau/sbstta-bur-2025-04-01-03-en.pdf" TargetMode="External"/><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sbstta-27-template-en.dotm</Template>
  <TotalTime>170</TotalTime>
  <Pages>6</Pages>
  <Words>929</Words>
  <Characters>5297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Strategic review and analysis of the programmes of work under the Convention in the context of the Framework</vt:lpstr>
    </vt:vector>
  </TitlesOfParts>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and analysis of the programmes of work under the Convention in the context of the Framework</dc:title>
  <dc:creator>Sakhile Silitshena</dc:creator>
  <cp:keywords>Subsidiary Body on Scientific, Technical and Technological Advice, twenty-seventh meeting</cp:keywords>
  <cp:lastModifiedBy>Mariko Nishi</cp:lastModifiedBy>
  <cp:revision>9</cp:revision>
  <cp:lastPrinted>2025-08-13T20:45:00Z</cp:lastPrinted>
  <dcterms:created xsi:type="dcterms:W3CDTF">2025-08-14T00:38:00Z</dcterms:created>
  <dcterms:modified xsi:type="dcterms:W3CDTF">2025-08-14T17:55:00Z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