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3"/>
        <w:tblW w:w="108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691"/>
      </w:tblGrid>
      <w:tr w:rsidR="005111BD" w:rsidRPr="00EE0850" w14:paraId="24E5303C" w14:textId="77777777" w:rsidTr="005111BD">
        <w:trPr>
          <w:trHeight w:val="709"/>
        </w:trPr>
        <w:tc>
          <w:tcPr>
            <w:tcW w:w="976" w:type="dxa"/>
            <w:tcBorders>
              <w:bottom w:val="single" w:sz="12" w:space="0" w:color="auto"/>
            </w:tcBorders>
          </w:tcPr>
          <w:p w14:paraId="645BDDE1" w14:textId="77777777" w:rsidR="005111BD" w:rsidRPr="00EE0850" w:rsidRDefault="005111BD" w:rsidP="00547CB8">
            <w:pPr>
              <w:rPr>
                <w:kern w:val="22"/>
              </w:rPr>
            </w:pPr>
            <w:bookmarkStart w:id="0" w:name="_GoBack"/>
            <w:bookmarkEnd w:id="0"/>
            <w:r w:rsidRPr="00EE0850">
              <w:rPr>
                <w:noProof/>
                <w:kern w:val="22"/>
                <w:lang w:eastAsia="en-CA"/>
              </w:rPr>
              <w:drawing>
                <wp:inline distT="0" distB="0" distL="0" distR="0" wp14:anchorId="077845C4" wp14:editId="2C192D1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35BDC87" w14:textId="77777777" w:rsidR="005111BD" w:rsidRPr="00EE0850" w:rsidRDefault="005111BD" w:rsidP="00547CB8">
            <w:pPr>
              <w:rPr>
                <w:kern w:val="22"/>
              </w:rPr>
            </w:pPr>
            <w:r w:rsidRPr="00EE0850">
              <w:rPr>
                <w:noProof/>
                <w:kern w:val="22"/>
                <w:lang w:eastAsia="en-CA"/>
              </w:rPr>
              <w:drawing>
                <wp:inline distT="0" distB="0" distL="0" distR="0" wp14:anchorId="5CE4CB96" wp14:editId="506324B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691" w:type="dxa"/>
            <w:tcBorders>
              <w:bottom w:val="single" w:sz="12" w:space="0" w:color="auto"/>
            </w:tcBorders>
          </w:tcPr>
          <w:p w14:paraId="6627EE13" w14:textId="77777777" w:rsidR="005111BD" w:rsidRPr="00EE0850" w:rsidRDefault="005111BD" w:rsidP="00547CB8">
            <w:pPr>
              <w:jc w:val="right"/>
              <w:rPr>
                <w:rFonts w:ascii="Arial" w:hAnsi="Arial" w:cs="Arial"/>
                <w:b/>
                <w:kern w:val="22"/>
                <w:sz w:val="32"/>
                <w:szCs w:val="32"/>
              </w:rPr>
            </w:pPr>
            <w:r w:rsidRPr="00EE0850">
              <w:rPr>
                <w:rFonts w:ascii="Arial" w:hAnsi="Arial" w:cs="Arial"/>
                <w:b/>
                <w:kern w:val="22"/>
                <w:sz w:val="32"/>
                <w:szCs w:val="32"/>
              </w:rPr>
              <w:t>CBD</w:t>
            </w:r>
          </w:p>
        </w:tc>
      </w:tr>
    </w:tbl>
    <w:tbl>
      <w:tblPr>
        <w:tblW w:w="10207" w:type="dxa"/>
        <w:tblInd w:w="-210" w:type="dxa"/>
        <w:tblLook w:val="04A0" w:firstRow="1" w:lastRow="0" w:firstColumn="1" w:lastColumn="0" w:noHBand="0" w:noVBand="1"/>
      </w:tblPr>
      <w:tblGrid>
        <w:gridCol w:w="6117"/>
        <w:gridCol w:w="4090"/>
      </w:tblGrid>
      <w:tr w:rsidR="00921CAB" w:rsidRPr="00EE0850" w14:paraId="3256F1E2" w14:textId="77777777" w:rsidTr="00921CAB">
        <w:trPr>
          <w:trHeight w:val="1815"/>
        </w:trPr>
        <w:tc>
          <w:tcPr>
            <w:tcW w:w="6117" w:type="dxa"/>
            <w:tcBorders>
              <w:top w:val="single" w:sz="12" w:space="0" w:color="auto"/>
              <w:bottom w:val="single" w:sz="36" w:space="0" w:color="auto"/>
            </w:tcBorders>
            <w:vAlign w:val="center"/>
          </w:tcPr>
          <w:p w14:paraId="4A8BF8CC" w14:textId="77777777" w:rsidR="00921CAB" w:rsidRPr="00EE0850" w:rsidRDefault="00921CAB" w:rsidP="00891A19">
            <w:pPr>
              <w:suppressLineNumbers/>
              <w:suppressAutoHyphens/>
              <w:kinsoku w:val="0"/>
              <w:overflowPunct w:val="0"/>
              <w:autoSpaceDE w:val="0"/>
              <w:autoSpaceDN w:val="0"/>
              <w:rPr>
                <w:szCs w:val="22"/>
              </w:rPr>
            </w:pPr>
            <w:r w:rsidRPr="00EE0850">
              <w:rPr>
                <w:noProof/>
                <w:szCs w:val="22"/>
                <w:lang w:val="en-US"/>
              </w:rPr>
              <w:drawing>
                <wp:inline distT="0" distB="0" distL="0" distR="0" wp14:anchorId="31E65308" wp14:editId="6C0C2595">
                  <wp:extent cx="2887853" cy="1080000"/>
                  <wp:effectExtent l="0" t="0" r="8255" b="12700"/>
                  <wp:docPr id="6" name="Picture 6"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6D47C01" w14:textId="77777777" w:rsidR="00921CAB" w:rsidRPr="00EE0850" w:rsidRDefault="00921CAB" w:rsidP="000C6220">
            <w:pPr>
              <w:suppressLineNumbers/>
              <w:suppressAutoHyphens/>
              <w:kinsoku w:val="0"/>
              <w:overflowPunct w:val="0"/>
              <w:autoSpaceDE w:val="0"/>
              <w:autoSpaceDN w:val="0"/>
              <w:spacing w:after="0" w:line="240" w:lineRule="auto"/>
              <w:ind w:left="1354"/>
              <w:rPr>
                <w:szCs w:val="22"/>
              </w:rPr>
            </w:pPr>
            <w:r w:rsidRPr="00EE0850">
              <w:rPr>
                <w:szCs w:val="22"/>
              </w:rPr>
              <w:t>Distr.</w:t>
            </w:r>
          </w:p>
          <w:p w14:paraId="50A620A8" w14:textId="344CB4CD" w:rsidR="00921CAB" w:rsidRPr="00EE0850" w:rsidRDefault="003A38BC" w:rsidP="000C6220">
            <w:pPr>
              <w:suppressLineNumbers/>
              <w:suppressAutoHyphens/>
              <w:kinsoku w:val="0"/>
              <w:overflowPunct w:val="0"/>
              <w:autoSpaceDE w:val="0"/>
              <w:autoSpaceDN w:val="0"/>
              <w:spacing w:after="0" w:line="240" w:lineRule="auto"/>
              <w:ind w:left="1354"/>
              <w:rPr>
                <w:szCs w:val="22"/>
              </w:rPr>
            </w:pPr>
            <w:sdt>
              <w:sdtPr>
                <w:rPr>
                  <w:snapToGrid w:val="0"/>
                  <w:kern w:val="22"/>
                  <w:szCs w:val="22"/>
                </w:rPr>
                <w:alias w:val="Status"/>
                <w:tag w:val=""/>
                <w:id w:val="307985777"/>
                <w:placeholder>
                  <w:docPart w:val="C6A360793BC64D399A021CF8819C75E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118A2" w:rsidRPr="00EE0850">
                  <w:rPr>
                    <w:snapToGrid w:val="0"/>
                    <w:kern w:val="22"/>
                    <w:szCs w:val="22"/>
                  </w:rPr>
                  <w:t>GENERAL</w:t>
                </w:r>
              </w:sdtContent>
            </w:sdt>
          </w:p>
          <w:p w14:paraId="103FB542" w14:textId="77777777" w:rsidR="00921CAB" w:rsidRPr="00EE0850" w:rsidRDefault="00921CAB" w:rsidP="000C6220">
            <w:pPr>
              <w:suppressLineNumbers/>
              <w:suppressAutoHyphens/>
              <w:kinsoku w:val="0"/>
              <w:overflowPunct w:val="0"/>
              <w:autoSpaceDE w:val="0"/>
              <w:autoSpaceDN w:val="0"/>
              <w:spacing w:after="0" w:line="240" w:lineRule="auto"/>
              <w:ind w:left="1354"/>
              <w:rPr>
                <w:szCs w:val="22"/>
              </w:rPr>
            </w:pPr>
          </w:p>
          <w:p w14:paraId="771971DA" w14:textId="7DC0F928" w:rsidR="00921CAB" w:rsidRPr="00EE0850" w:rsidRDefault="003A38BC" w:rsidP="000C6220">
            <w:pPr>
              <w:suppressLineNumbers/>
              <w:suppressAutoHyphens/>
              <w:kinsoku w:val="0"/>
              <w:overflowPunct w:val="0"/>
              <w:autoSpaceDE w:val="0"/>
              <w:autoSpaceDN w:val="0"/>
              <w:spacing w:after="0" w:line="240" w:lineRule="auto"/>
              <w:ind w:left="1354"/>
              <w:rPr>
                <w:szCs w:val="22"/>
              </w:rPr>
            </w:pPr>
            <w:sdt>
              <w:sdtPr>
                <w:rPr>
                  <w:bCs/>
                  <w:szCs w:val="22"/>
                </w:rPr>
                <w:alias w:val="Subject"/>
                <w:tag w:val=""/>
                <w:id w:val="686406857"/>
                <w:placeholder>
                  <w:docPart w:val="DC00FD0B698B4096A87445AB89260D34"/>
                </w:placeholder>
                <w:dataBinding w:prefixMappings="xmlns:ns0='http://purl.org/dc/elements/1.1/' xmlns:ns1='http://schemas.openxmlformats.org/package/2006/metadata/core-properties' " w:xpath="/ns1:coreProperties[1]/ns0:subject[1]" w:storeItemID="{6C3C8BC8-F283-45AE-878A-BAB7291924A1}"/>
                <w:text/>
              </w:sdtPr>
              <w:sdtEndPr/>
              <w:sdtContent>
                <w:r w:rsidR="00E118A2" w:rsidRPr="00EE0850">
                  <w:rPr>
                    <w:bCs/>
                    <w:szCs w:val="22"/>
                  </w:rPr>
                  <w:t>CBD/NP/MOP/3/10</w:t>
                </w:r>
              </w:sdtContent>
            </w:sdt>
          </w:p>
          <w:p w14:paraId="26319FF9" w14:textId="5BDA6DE7" w:rsidR="00921CAB" w:rsidRPr="00EE0850" w:rsidRDefault="002F0C59" w:rsidP="000C6220">
            <w:pPr>
              <w:suppressLineNumbers/>
              <w:suppressAutoHyphens/>
              <w:kinsoku w:val="0"/>
              <w:overflowPunct w:val="0"/>
              <w:autoSpaceDE w:val="0"/>
              <w:autoSpaceDN w:val="0"/>
              <w:spacing w:after="0" w:line="240" w:lineRule="auto"/>
              <w:ind w:left="1354"/>
              <w:rPr>
                <w:szCs w:val="22"/>
              </w:rPr>
            </w:pPr>
            <w:r w:rsidRPr="00EE0850">
              <w:rPr>
                <w:szCs w:val="22"/>
                <w:lang w:val="en-US"/>
              </w:rPr>
              <w:t>3</w:t>
            </w:r>
            <w:r w:rsidRPr="00EE0850">
              <w:rPr>
                <w:lang w:val="en-US"/>
              </w:rPr>
              <w:t>1 January</w:t>
            </w:r>
            <w:r w:rsidR="00921CAB" w:rsidRPr="00EE0850">
              <w:rPr>
                <w:szCs w:val="22"/>
                <w:lang w:val="en-US"/>
              </w:rPr>
              <w:t xml:space="preserve"> 201</w:t>
            </w:r>
            <w:r w:rsidRPr="00EE0850">
              <w:rPr>
                <w:szCs w:val="22"/>
                <w:lang w:val="en-US"/>
              </w:rPr>
              <w:t>9</w:t>
            </w:r>
          </w:p>
          <w:p w14:paraId="58D2DCF6" w14:textId="77777777" w:rsidR="00921CAB" w:rsidRPr="00EE0850" w:rsidRDefault="00921CAB" w:rsidP="000C6220">
            <w:pPr>
              <w:suppressLineNumbers/>
              <w:suppressAutoHyphens/>
              <w:kinsoku w:val="0"/>
              <w:overflowPunct w:val="0"/>
              <w:autoSpaceDE w:val="0"/>
              <w:autoSpaceDN w:val="0"/>
              <w:spacing w:after="0" w:line="240" w:lineRule="auto"/>
              <w:ind w:left="1354"/>
              <w:rPr>
                <w:szCs w:val="22"/>
              </w:rPr>
            </w:pPr>
          </w:p>
          <w:p w14:paraId="2C73AA7A" w14:textId="77777777" w:rsidR="00921CAB" w:rsidRPr="00EE0850" w:rsidRDefault="00921CAB" w:rsidP="000C6220">
            <w:pPr>
              <w:suppressLineNumbers/>
              <w:suppressAutoHyphens/>
              <w:kinsoku w:val="0"/>
              <w:overflowPunct w:val="0"/>
              <w:autoSpaceDE w:val="0"/>
              <w:autoSpaceDN w:val="0"/>
              <w:spacing w:after="0" w:line="240" w:lineRule="auto"/>
              <w:ind w:left="1354"/>
              <w:rPr>
                <w:szCs w:val="22"/>
              </w:rPr>
            </w:pPr>
            <w:r w:rsidRPr="00EE0850">
              <w:rPr>
                <w:szCs w:val="22"/>
              </w:rPr>
              <w:t>ORIGINAL: ENGLISH</w:t>
            </w:r>
          </w:p>
          <w:p w14:paraId="6C5FCD61" w14:textId="77777777" w:rsidR="00921CAB" w:rsidRPr="00EE0850" w:rsidRDefault="00921CAB" w:rsidP="000C6220">
            <w:pPr>
              <w:suppressLineNumbers/>
              <w:suppressAutoHyphens/>
              <w:kinsoku w:val="0"/>
              <w:overflowPunct w:val="0"/>
              <w:autoSpaceDE w:val="0"/>
              <w:autoSpaceDN w:val="0"/>
              <w:spacing w:after="0" w:line="240" w:lineRule="auto"/>
              <w:jc w:val="left"/>
              <w:rPr>
                <w:szCs w:val="22"/>
              </w:rPr>
            </w:pPr>
          </w:p>
        </w:tc>
      </w:tr>
    </w:tbl>
    <w:p w14:paraId="4C8A3774" w14:textId="77777777" w:rsidR="00193167" w:rsidRPr="00EE0850" w:rsidRDefault="00193167" w:rsidP="000C6220">
      <w:pPr>
        <w:suppressLineNumbers/>
        <w:tabs>
          <w:tab w:val="left" w:pos="5580"/>
        </w:tabs>
        <w:suppressAutoHyphens/>
        <w:kinsoku w:val="0"/>
        <w:overflowPunct w:val="0"/>
        <w:autoSpaceDE w:val="0"/>
        <w:autoSpaceDN w:val="0"/>
        <w:spacing w:after="0" w:line="240" w:lineRule="auto"/>
        <w:ind w:left="170" w:right="3938" w:hanging="170"/>
        <w:jc w:val="left"/>
        <w:rPr>
          <w:rFonts w:eastAsia="Batang"/>
          <w:snapToGrid w:val="0"/>
          <w:kern w:val="22"/>
        </w:rPr>
      </w:pPr>
      <w:r w:rsidRPr="00EE0850">
        <w:rPr>
          <w:rFonts w:eastAsia="Batang"/>
          <w:snapToGrid w:val="0"/>
          <w:kern w:val="22"/>
        </w:rPr>
        <w:t>CONFERENCE OF THE PARTIES TO THE CONVENTION ON BIOLOGICAL DIVERSITY SERVING AS THE MEETING OF THE PARTIES TO THE NAGOYA PROTOCOL ON ACCESS TO GENETIC RESOURCES AND THE FAIR AND EQUITABLE SHARING OF BENEFITS ARISING FROM THEIR UTILIZATION</w:t>
      </w:r>
    </w:p>
    <w:p w14:paraId="6D7E3A80" w14:textId="77777777" w:rsidR="00193167" w:rsidRPr="00EE0850" w:rsidRDefault="00193167" w:rsidP="000C6220">
      <w:pPr>
        <w:suppressLineNumbers/>
        <w:suppressAutoHyphens/>
        <w:kinsoku w:val="0"/>
        <w:overflowPunct w:val="0"/>
        <w:autoSpaceDE w:val="0"/>
        <w:autoSpaceDN w:val="0"/>
        <w:spacing w:after="0" w:line="240" w:lineRule="auto"/>
        <w:ind w:left="170" w:right="3119" w:hanging="170"/>
        <w:jc w:val="left"/>
        <w:rPr>
          <w:rFonts w:eastAsia="Batang"/>
          <w:snapToGrid w:val="0"/>
          <w:kern w:val="22"/>
        </w:rPr>
      </w:pPr>
      <w:r w:rsidRPr="00EE0850">
        <w:rPr>
          <w:rFonts w:eastAsia="Batang"/>
          <w:snapToGrid w:val="0"/>
          <w:kern w:val="22"/>
        </w:rPr>
        <w:t>Third meeting</w:t>
      </w:r>
    </w:p>
    <w:p w14:paraId="1E9726C8" w14:textId="77777777" w:rsidR="00E606C0" w:rsidRPr="00EE0850" w:rsidRDefault="00E606C0" w:rsidP="000C6220">
      <w:pPr>
        <w:suppressLineNumbers/>
        <w:suppressAutoHyphens/>
        <w:kinsoku w:val="0"/>
        <w:overflowPunct w:val="0"/>
        <w:autoSpaceDE w:val="0"/>
        <w:autoSpaceDN w:val="0"/>
        <w:spacing w:after="0" w:line="240" w:lineRule="auto"/>
        <w:ind w:right="4422"/>
        <w:jc w:val="left"/>
        <w:rPr>
          <w:rFonts w:eastAsia="Times New Roman"/>
          <w:snapToGrid w:val="0"/>
          <w:kern w:val="22"/>
          <w:szCs w:val="22"/>
          <w:lang w:eastAsia="en-CA"/>
        </w:rPr>
      </w:pPr>
      <w:r w:rsidRPr="00EE0850">
        <w:rPr>
          <w:rFonts w:eastAsia="Times New Roman"/>
          <w:snapToGrid w:val="0"/>
          <w:kern w:val="22"/>
          <w:szCs w:val="22"/>
          <w:lang w:eastAsia="en-CA"/>
        </w:rPr>
        <w:t>Sharm El-Sheikh, Egypt, 1</w:t>
      </w:r>
      <w:r w:rsidR="00F74C45" w:rsidRPr="00EE0850">
        <w:rPr>
          <w:rFonts w:eastAsia="Times New Roman"/>
          <w:snapToGrid w:val="0"/>
          <w:kern w:val="22"/>
          <w:szCs w:val="22"/>
          <w:lang w:eastAsia="en-CA"/>
        </w:rPr>
        <w:t>7</w:t>
      </w:r>
      <w:r w:rsidRPr="00EE0850">
        <w:rPr>
          <w:rFonts w:eastAsia="Times New Roman"/>
          <w:snapToGrid w:val="0"/>
          <w:kern w:val="22"/>
          <w:szCs w:val="22"/>
          <w:lang w:eastAsia="en-CA"/>
        </w:rPr>
        <w:t>-2</w:t>
      </w:r>
      <w:r w:rsidR="00F74C45" w:rsidRPr="00EE0850">
        <w:rPr>
          <w:rFonts w:eastAsia="Times New Roman"/>
          <w:snapToGrid w:val="0"/>
          <w:kern w:val="22"/>
          <w:szCs w:val="22"/>
          <w:lang w:eastAsia="en-CA"/>
        </w:rPr>
        <w:t>9</w:t>
      </w:r>
      <w:r w:rsidRPr="00EE0850">
        <w:rPr>
          <w:rFonts w:eastAsia="Times New Roman"/>
          <w:snapToGrid w:val="0"/>
          <w:kern w:val="22"/>
          <w:szCs w:val="22"/>
          <w:lang w:eastAsia="en-CA"/>
        </w:rPr>
        <w:t xml:space="preserve"> November 2018</w:t>
      </w:r>
    </w:p>
    <w:p w14:paraId="27B777E3" w14:textId="77777777" w:rsidR="00E606C0" w:rsidRPr="00EE0850" w:rsidRDefault="00E606C0" w:rsidP="005C78D8">
      <w:pPr>
        <w:suppressLineNumbers/>
        <w:suppressAutoHyphens/>
        <w:kinsoku w:val="0"/>
        <w:overflowPunct w:val="0"/>
        <w:autoSpaceDE w:val="0"/>
        <w:autoSpaceDN w:val="0"/>
        <w:ind w:left="170" w:right="3119"/>
        <w:jc w:val="left"/>
        <w:rPr>
          <w:rFonts w:eastAsia="Batang"/>
          <w:snapToGrid w:val="0"/>
          <w:kern w:val="22"/>
        </w:rPr>
      </w:pPr>
    </w:p>
    <w:p w14:paraId="447EFFE7" w14:textId="3BBCEC21" w:rsidR="00E606C0" w:rsidRPr="00EE0850" w:rsidRDefault="00856680" w:rsidP="000C6220">
      <w:pPr>
        <w:pStyle w:val="Heading1"/>
        <w:spacing w:before="0" w:after="0" w:line="240" w:lineRule="auto"/>
      </w:pPr>
      <w:r w:rsidRPr="00EE0850">
        <w:t xml:space="preserve">Report of the Conference of the Parties to the Convention on Biological Diversity serving as the meeting of the Parties to the Nagoya Protocol on Access to Genetic Resources and the Fair and Equitable Sharing of Benefits Arising from their Utilization on its </w:t>
      </w:r>
      <w:r w:rsidR="009F4993" w:rsidRPr="00EE0850">
        <w:rPr>
          <w:rFonts w:hint="eastAsia"/>
        </w:rPr>
        <w:t>third</w:t>
      </w:r>
      <w:r w:rsidRPr="00EE0850">
        <w:t xml:space="preserve"> meeting</w:t>
      </w:r>
    </w:p>
    <w:tbl>
      <w:tblPr>
        <w:tblW w:w="0" w:type="auto"/>
        <w:tblLook w:val="04A0" w:firstRow="1" w:lastRow="0" w:firstColumn="1" w:lastColumn="0" w:noHBand="0" w:noVBand="1"/>
      </w:tblPr>
      <w:tblGrid>
        <w:gridCol w:w="9956"/>
      </w:tblGrid>
      <w:tr w:rsidR="00856680" w:rsidRPr="00EE0850" w14:paraId="1DA97563" w14:textId="77777777" w:rsidTr="00856680">
        <w:tc>
          <w:tcPr>
            <w:tcW w:w="9956" w:type="dxa"/>
          </w:tcPr>
          <w:p w14:paraId="572C22D9" w14:textId="77777777" w:rsidR="00856680" w:rsidRPr="00EE0850" w:rsidRDefault="00856680" w:rsidP="000C6220">
            <w:pPr>
              <w:spacing w:before="240" w:line="240" w:lineRule="auto"/>
              <w:ind w:firstLine="567"/>
            </w:pPr>
            <w:r w:rsidRPr="00EE0850">
              <w:t xml:space="preserve">The Conference of the Parties to the Convention on Biological Diversity serving as the meeting of the Parties to the Nagoya Protocol on Access to Genetic Resources and the Fair and Equitable Sharing of Benefits Arising from their Utilization held its </w:t>
            </w:r>
            <w:r w:rsidR="00F729B5" w:rsidRPr="00EE0850">
              <w:t>third</w:t>
            </w:r>
            <w:r w:rsidRPr="00EE0850">
              <w:t xml:space="preserve"> meeting in </w:t>
            </w:r>
            <w:r w:rsidR="00F729B5" w:rsidRPr="00EE0850">
              <w:rPr>
                <w:noProof/>
              </w:rPr>
              <w:t>Sharm El-Sheikh, Egypt, from 17 to 29 November 2018</w:t>
            </w:r>
            <w:r w:rsidRPr="00EE0850">
              <w:t>. It adopted 1</w:t>
            </w:r>
            <w:r w:rsidR="00F729B5" w:rsidRPr="00EE0850">
              <w:t>6</w:t>
            </w:r>
            <w:r w:rsidRPr="00EE0850">
              <w:t xml:space="preserve"> decisions, which appear in chapter I of the present report.</w:t>
            </w:r>
          </w:p>
          <w:p w14:paraId="5341C82E" w14:textId="77777777" w:rsidR="00856680" w:rsidRPr="00EE0850" w:rsidRDefault="00856680" w:rsidP="000C6220">
            <w:pPr>
              <w:spacing w:line="240" w:lineRule="auto"/>
              <w:ind w:firstLine="592"/>
              <w:rPr>
                <w:i/>
              </w:rPr>
            </w:pPr>
            <w:r w:rsidRPr="00EE0850">
              <w:t>The account of the proceedings of the meeting is provided in chapter II of the report.</w:t>
            </w:r>
          </w:p>
        </w:tc>
      </w:tr>
    </w:tbl>
    <w:p w14:paraId="0909274B" w14:textId="77777777" w:rsidR="00856680" w:rsidRPr="00EE0850" w:rsidRDefault="00856680" w:rsidP="008F1D76">
      <w:pPr>
        <w:pStyle w:val="Heading1"/>
        <w:rPr>
          <w:rFonts w:ascii="Times New Roman" w:hAnsi="Times New Roman"/>
          <w:b w:val="0"/>
          <w:i/>
          <w:caps w:val="0"/>
        </w:rPr>
      </w:pPr>
    </w:p>
    <w:p w14:paraId="71D76C80" w14:textId="5B2DFE01" w:rsidR="00F729B5" w:rsidRPr="00EE0850" w:rsidRDefault="00F729B5" w:rsidP="00475D73">
      <w:pPr>
        <w:pStyle w:val="Heading1"/>
      </w:pPr>
      <w:r w:rsidRPr="00EE0850">
        <w:rPr>
          <w:rFonts w:hint="eastAsia"/>
        </w:rPr>
        <w:br w:type="page"/>
      </w:r>
    </w:p>
    <w:p w14:paraId="42B4BA8F" w14:textId="59BB946A" w:rsidR="000B078F" w:rsidRPr="00EE0850" w:rsidRDefault="000B078F" w:rsidP="000C6220">
      <w:pPr>
        <w:spacing w:line="240" w:lineRule="auto"/>
        <w:jc w:val="center"/>
      </w:pPr>
      <w:r w:rsidRPr="00EE0850">
        <w:rPr>
          <w:i/>
        </w:rPr>
        <w:lastRenderedPageBreak/>
        <w:t>Contents</w:t>
      </w:r>
    </w:p>
    <w:p w14:paraId="6A591A65" w14:textId="6E3E9385" w:rsidR="000B078F" w:rsidRPr="00EE0850" w:rsidRDefault="000B078F" w:rsidP="000C6220">
      <w:pPr>
        <w:pStyle w:val="TOC1"/>
        <w:tabs>
          <w:tab w:val="clear" w:pos="9350"/>
          <w:tab w:val="left" w:pos="9356"/>
        </w:tabs>
        <w:spacing w:line="240" w:lineRule="auto"/>
        <w:ind w:right="610"/>
        <w:rPr>
          <w:rFonts w:asciiTheme="minorHAnsi" w:eastAsiaTheme="minorEastAsia" w:hAnsiTheme="minorHAnsi" w:cstheme="minorBidi"/>
          <w:lang w:eastAsia="en-CA"/>
        </w:rPr>
      </w:pPr>
      <w:r w:rsidRPr="00EE0850">
        <w:fldChar w:fldCharType="begin"/>
      </w:r>
      <w:r w:rsidRPr="00EE0850">
        <w:instrText xml:space="preserve"> TOC \h \z \t "recommendation header,2,Heading 1 report,1,Heading 1 -item,2" </w:instrText>
      </w:r>
      <w:r w:rsidRPr="00EE0850">
        <w:fldChar w:fldCharType="separate"/>
      </w:r>
      <w:hyperlink w:anchor="_Toc256200" w:history="1">
        <w:r w:rsidRPr="00EE0850">
          <w:rPr>
            <w:rStyle w:val="Hyperlink"/>
          </w:rPr>
          <w:t>I.</w:t>
        </w:r>
        <w:r w:rsidRPr="00EE0850">
          <w:rPr>
            <w:rFonts w:asciiTheme="minorHAnsi" w:eastAsiaTheme="minorEastAsia" w:hAnsiTheme="minorHAnsi" w:cstheme="minorBidi"/>
            <w:lang w:eastAsia="en-CA"/>
          </w:rPr>
          <w:tab/>
        </w:r>
        <w:r w:rsidRPr="00EE0850">
          <w:rPr>
            <w:rStyle w:val="Hyperlink"/>
          </w:rPr>
          <w:t>DECISIONS</w:t>
        </w:r>
        <w:r w:rsidRPr="00EE0850">
          <w:rPr>
            <w:webHidden/>
          </w:rPr>
          <w:tab/>
        </w:r>
        <w:r w:rsidRPr="00EE0850">
          <w:rPr>
            <w:webHidden/>
          </w:rPr>
          <w:fldChar w:fldCharType="begin"/>
        </w:r>
        <w:r w:rsidRPr="00EE0850">
          <w:rPr>
            <w:webHidden/>
          </w:rPr>
          <w:instrText xml:space="preserve"> PAGEREF _Toc256200 \h </w:instrText>
        </w:r>
        <w:r w:rsidRPr="00EE0850">
          <w:rPr>
            <w:webHidden/>
          </w:rPr>
        </w:r>
        <w:r w:rsidRPr="00EE0850">
          <w:rPr>
            <w:webHidden/>
          </w:rPr>
          <w:fldChar w:fldCharType="separate"/>
        </w:r>
        <w:r w:rsidR="00DD1A58">
          <w:rPr>
            <w:webHidden/>
          </w:rPr>
          <w:t>4</w:t>
        </w:r>
        <w:r w:rsidRPr="00EE0850">
          <w:rPr>
            <w:webHidden/>
          </w:rPr>
          <w:fldChar w:fldCharType="end"/>
        </w:r>
      </w:hyperlink>
    </w:p>
    <w:p w14:paraId="77568767" w14:textId="2EA05145" w:rsidR="000B078F" w:rsidRPr="00EE0850" w:rsidRDefault="003A38BC" w:rsidP="00341EFA">
      <w:pPr>
        <w:pStyle w:val="TOC2"/>
        <w:spacing w:line="240" w:lineRule="auto"/>
        <w:rPr>
          <w:rFonts w:asciiTheme="minorHAnsi" w:eastAsiaTheme="minorEastAsia" w:hAnsiTheme="minorHAnsi" w:cstheme="minorBidi"/>
          <w:lang w:val="en-CA" w:eastAsia="en-CA"/>
        </w:rPr>
      </w:pPr>
      <w:hyperlink w:anchor="_Toc256201" w:history="1">
        <w:r w:rsidR="000B078F" w:rsidRPr="00EE0850">
          <w:rPr>
            <w:rStyle w:val="Hyperlink"/>
            <w:kern w:val="22"/>
          </w:rPr>
          <w:t>3/1.</w:t>
        </w:r>
        <w:r w:rsidR="000B078F" w:rsidRPr="00EE0850">
          <w:rPr>
            <w:rFonts w:asciiTheme="minorHAnsi" w:eastAsiaTheme="minorEastAsia" w:hAnsiTheme="minorHAnsi" w:cstheme="minorBidi"/>
            <w:lang w:val="en-CA" w:eastAsia="en-CA"/>
          </w:rPr>
          <w:tab/>
        </w:r>
        <w:r w:rsidR="000B078F" w:rsidRPr="00EE0850">
          <w:rPr>
            <w:rStyle w:val="Hyperlink"/>
            <w:kern w:val="22"/>
          </w:rPr>
          <w:t>Assessment and review of the effectiveness of the Protocol (Article 31)</w:t>
        </w:r>
        <w:r w:rsidR="000B078F" w:rsidRPr="00EE0850">
          <w:rPr>
            <w:webHidden/>
          </w:rPr>
          <w:tab/>
        </w:r>
        <w:r w:rsidR="000B078F" w:rsidRPr="00EE0850">
          <w:rPr>
            <w:webHidden/>
          </w:rPr>
          <w:fldChar w:fldCharType="begin"/>
        </w:r>
        <w:r w:rsidR="000B078F" w:rsidRPr="00EE0850">
          <w:rPr>
            <w:webHidden/>
          </w:rPr>
          <w:instrText xml:space="preserve"> PAGEREF _Toc256201 \h </w:instrText>
        </w:r>
        <w:r w:rsidR="000B078F" w:rsidRPr="00EE0850">
          <w:rPr>
            <w:webHidden/>
          </w:rPr>
        </w:r>
        <w:r w:rsidR="000B078F" w:rsidRPr="00EE0850">
          <w:rPr>
            <w:webHidden/>
          </w:rPr>
          <w:fldChar w:fldCharType="separate"/>
        </w:r>
        <w:r w:rsidR="00DD1A58">
          <w:rPr>
            <w:webHidden/>
          </w:rPr>
          <w:t>4</w:t>
        </w:r>
        <w:r w:rsidR="000B078F" w:rsidRPr="00EE0850">
          <w:rPr>
            <w:webHidden/>
          </w:rPr>
          <w:fldChar w:fldCharType="end"/>
        </w:r>
      </w:hyperlink>
    </w:p>
    <w:p w14:paraId="4D957E24" w14:textId="42CFC0F9" w:rsidR="000B078F" w:rsidRPr="00EE0850" w:rsidRDefault="003A38BC" w:rsidP="00341EFA">
      <w:pPr>
        <w:pStyle w:val="TOC2"/>
        <w:spacing w:line="240" w:lineRule="auto"/>
        <w:rPr>
          <w:rFonts w:asciiTheme="minorHAnsi" w:eastAsiaTheme="minorEastAsia" w:hAnsiTheme="minorHAnsi" w:cstheme="minorBidi"/>
          <w:lang w:val="en-CA" w:eastAsia="en-CA"/>
        </w:rPr>
      </w:pPr>
      <w:hyperlink w:anchor="_Toc256202" w:history="1">
        <w:r w:rsidR="000B078F" w:rsidRPr="00EE0850">
          <w:rPr>
            <w:rStyle w:val="Hyperlink"/>
          </w:rPr>
          <w:t>3/2.</w:t>
        </w:r>
        <w:r w:rsidR="000B078F" w:rsidRPr="00EE0850">
          <w:rPr>
            <w:rFonts w:asciiTheme="minorHAnsi" w:eastAsiaTheme="minorEastAsia" w:hAnsiTheme="minorHAnsi" w:cstheme="minorBidi"/>
            <w:lang w:val="en-CA" w:eastAsia="en-CA"/>
          </w:rPr>
          <w:tab/>
        </w:r>
        <w:r w:rsidR="000B078F" w:rsidRPr="00EE0850">
          <w:rPr>
            <w:rStyle w:val="Hyperlink"/>
          </w:rPr>
          <w:t>Compliance with the Protocol</w:t>
        </w:r>
        <w:r w:rsidR="000B078F" w:rsidRPr="00EE0850">
          <w:rPr>
            <w:webHidden/>
          </w:rPr>
          <w:tab/>
        </w:r>
        <w:r w:rsidR="000B078F" w:rsidRPr="00EE0850">
          <w:rPr>
            <w:webHidden/>
          </w:rPr>
          <w:fldChar w:fldCharType="begin"/>
        </w:r>
        <w:r w:rsidR="000B078F" w:rsidRPr="00EE0850">
          <w:rPr>
            <w:webHidden/>
          </w:rPr>
          <w:instrText xml:space="preserve"> PAGEREF _Toc256202 \h </w:instrText>
        </w:r>
        <w:r w:rsidR="000B078F" w:rsidRPr="00EE0850">
          <w:rPr>
            <w:webHidden/>
          </w:rPr>
        </w:r>
        <w:r w:rsidR="000B078F" w:rsidRPr="00EE0850">
          <w:rPr>
            <w:webHidden/>
          </w:rPr>
          <w:fldChar w:fldCharType="separate"/>
        </w:r>
        <w:r w:rsidR="00DD1A58">
          <w:rPr>
            <w:webHidden/>
          </w:rPr>
          <w:t>18</w:t>
        </w:r>
        <w:r w:rsidR="000B078F" w:rsidRPr="00EE0850">
          <w:rPr>
            <w:webHidden/>
          </w:rPr>
          <w:fldChar w:fldCharType="end"/>
        </w:r>
      </w:hyperlink>
    </w:p>
    <w:p w14:paraId="7B151180" w14:textId="7ADA8E43" w:rsidR="000B078F" w:rsidRPr="00EE0850" w:rsidRDefault="003A38BC" w:rsidP="00A162E7">
      <w:pPr>
        <w:pStyle w:val="TOC2"/>
        <w:spacing w:line="240" w:lineRule="auto"/>
        <w:rPr>
          <w:rFonts w:asciiTheme="minorHAnsi" w:eastAsiaTheme="minorEastAsia" w:hAnsiTheme="minorHAnsi" w:cstheme="minorBidi"/>
          <w:lang w:val="en-CA" w:eastAsia="en-CA"/>
        </w:rPr>
      </w:pPr>
      <w:hyperlink w:anchor="_Toc256203" w:history="1">
        <w:r w:rsidR="000B078F" w:rsidRPr="00EE0850">
          <w:rPr>
            <w:rStyle w:val="Hyperlink"/>
            <w:rFonts w:eastAsia="Arial Unicode MS"/>
            <w:snapToGrid w:val="0"/>
            <w:bdr w:val="nil"/>
          </w:rPr>
          <w:t>3/3.</w:t>
        </w:r>
        <w:r w:rsidR="000B078F" w:rsidRPr="00EE0850">
          <w:rPr>
            <w:rFonts w:asciiTheme="minorHAnsi" w:eastAsiaTheme="minorEastAsia" w:hAnsiTheme="minorHAnsi" w:cstheme="minorBidi"/>
            <w:lang w:val="en-CA" w:eastAsia="en-CA"/>
          </w:rPr>
          <w:tab/>
        </w:r>
        <w:r w:rsidR="000B078F" w:rsidRPr="00EE0850">
          <w:rPr>
            <w:rStyle w:val="Hyperlink"/>
            <w:rFonts w:eastAsia="Arial Unicode MS"/>
            <w:snapToGrid w:val="0"/>
            <w:bdr w:val="nil"/>
          </w:rPr>
          <w:t>The Access and Benefit-sharing Clearing-House and information sharing (Article 14)</w:t>
        </w:r>
        <w:r w:rsidR="000B078F" w:rsidRPr="00EE0850">
          <w:rPr>
            <w:webHidden/>
          </w:rPr>
          <w:tab/>
        </w:r>
        <w:r w:rsidR="000B078F" w:rsidRPr="00EE0850">
          <w:rPr>
            <w:webHidden/>
          </w:rPr>
          <w:fldChar w:fldCharType="begin"/>
        </w:r>
        <w:r w:rsidR="000B078F" w:rsidRPr="00EE0850">
          <w:rPr>
            <w:webHidden/>
          </w:rPr>
          <w:instrText xml:space="preserve"> PAGEREF _Toc256203 \h </w:instrText>
        </w:r>
        <w:r w:rsidR="000B078F" w:rsidRPr="00EE0850">
          <w:rPr>
            <w:webHidden/>
          </w:rPr>
        </w:r>
        <w:r w:rsidR="000B078F" w:rsidRPr="00EE0850">
          <w:rPr>
            <w:webHidden/>
          </w:rPr>
          <w:fldChar w:fldCharType="separate"/>
        </w:r>
        <w:r w:rsidR="00DD1A58">
          <w:rPr>
            <w:webHidden/>
          </w:rPr>
          <w:t>19</w:t>
        </w:r>
        <w:r w:rsidR="000B078F" w:rsidRPr="00EE0850">
          <w:rPr>
            <w:webHidden/>
          </w:rPr>
          <w:fldChar w:fldCharType="end"/>
        </w:r>
      </w:hyperlink>
    </w:p>
    <w:p w14:paraId="724D6750" w14:textId="623F8A49" w:rsidR="000B078F" w:rsidRPr="00EE0850" w:rsidRDefault="003A38BC" w:rsidP="00341A72">
      <w:pPr>
        <w:pStyle w:val="TOC2"/>
        <w:spacing w:line="240" w:lineRule="auto"/>
        <w:rPr>
          <w:rFonts w:asciiTheme="minorHAnsi" w:eastAsiaTheme="minorEastAsia" w:hAnsiTheme="minorHAnsi" w:cstheme="minorBidi"/>
          <w:lang w:val="en-CA" w:eastAsia="en-CA"/>
        </w:rPr>
      </w:pPr>
      <w:hyperlink w:anchor="_Toc256204" w:history="1">
        <w:r w:rsidR="000B078F" w:rsidRPr="00EE0850">
          <w:rPr>
            <w:rStyle w:val="Hyperlink"/>
          </w:rPr>
          <w:t>3/4.</w:t>
        </w:r>
        <w:r w:rsidR="000B078F" w:rsidRPr="00EE0850">
          <w:rPr>
            <w:rFonts w:asciiTheme="minorHAnsi" w:eastAsiaTheme="minorEastAsia" w:hAnsiTheme="minorHAnsi" w:cstheme="minorBidi"/>
            <w:lang w:val="en-CA" w:eastAsia="en-CA"/>
          </w:rPr>
          <w:tab/>
        </w:r>
        <w:r w:rsidR="000B078F" w:rsidRPr="00EE0850">
          <w:rPr>
            <w:rStyle w:val="Hyperlink"/>
          </w:rPr>
          <w:t>Monitoring and reporting (Article 29)</w:t>
        </w:r>
        <w:r w:rsidR="000B078F" w:rsidRPr="00EE0850">
          <w:rPr>
            <w:webHidden/>
          </w:rPr>
          <w:tab/>
        </w:r>
        <w:r w:rsidR="000B078F" w:rsidRPr="00EE0850">
          <w:rPr>
            <w:webHidden/>
          </w:rPr>
          <w:fldChar w:fldCharType="begin"/>
        </w:r>
        <w:r w:rsidR="000B078F" w:rsidRPr="00EE0850">
          <w:rPr>
            <w:webHidden/>
          </w:rPr>
          <w:instrText xml:space="preserve"> PAGEREF _Toc256204 \h </w:instrText>
        </w:r>
        <w:r w:rsidR="000B078F" w:rsidRPr="00EE0850">
          <w:rPr>
            <w:webHidden/>
          </w:rPr>
        </w:r>
        <w:r w:rsidR="000B078F" w:rsidRPr="00EE0850">
          <w:rPr>
            <w:webHidden/>
          </w:rPr>
          <w:fldChar w:fldCharType="separate"/>
        </w:r>
        <w:r w:rsidR="00DD1A58">
          <w:rPr>
            <w:webHidden/>
          </w:rPr>
          <w:t>22</w:t>
        </w:r>
        <w:r w:rsidR="000B078F" w:rsidRPr="00EE0850">
          <w:rPr>
            <w:webHidden/>
          </w:rPr>
          <w:fldChar w:fldCharType="end"/>
        </w:r>
      </w:hyperlink>
    </w:p>
    <w:p w14:paraId="1E81662B" w14:textId="4F0F67D5" w:rsidR="000B078F" w:rsidRPr="00EE0850" w:rsidRDefault="003A38BC" w:rsidP="004C4689">
      <w:pPr>
        <w:pStyle w:val="TOC2"/>
        <w:spacing w:line="240" w:lineRule="auto"/>
        <w:rPr>
          <w:rFonts w:asciiTheme="minorHAnsi" w:eastAsiaTheme="minorEastAsia" w:hAnsiTheme="minorHAnsi" w:cstheme="minorBidi"/>
          <w:lang w:val="en-CA" w:eastAsia="en-CA"/>
        </w:rPr>
      </w:pPr>
      <w:hyperlink w:anchor="_Toc256205" w:history="1">
        <w:r w:rsidR="000B078F" w:rsidRPr="00EE0850">
          <w:rPr>
            <w:rStyle w:val="Hyperlink"/>
            <w:snapToGrid w:val="0"/>
            <w:kern w:val="22"/>
            <w:lang w:eastAsia="x-none"/>
          </w:rPr>
          <w:t>3/5.</w:t>
        </w:r>
        <w:r w:rsidR="000B078F" w:rsidRPr="00EE0850">
          <w:rPr>
            <w:rFonts w:asciiTheme="minorHAnsi" w:eastAsiaTheme="minorEastAsia" w:hAnsiTheme="minorHAnsi" w:cstheme="minorBidi"/>
            <w:lang w:val="en-CA" w:eastAsia="en-CA"/>
          </w:rPr>
          <w:tab/>
        </w:r>
        <w:r w:rsidR="000B078F" w:rsidRPr="00EE0850">
          <w:rPr>
            <w:rStyle w:val="Hyperlink"/>
            <w:snapToGrid w:val="0"/>
            <w:kern w:val="22"/>
            <w:lang w:eastAsia="x-none"/>
          </w:rPr>
          <w:t>Measures to assist in capacity-building and capacity development (Article 2</w:t>
        </w:r>
        <w:r w:rsidR="000B078F" w:rsidRPr="00EE0850">
          <w:rPr>
            <w:rStyle w:val="Hyperlink"/>
            <w:caps/>
            <w:snapToGrid w:val="0"/>
            <w:kern w:val="22"/>
            <w:lang w:eastAsia="x-none"/>
          </w:rPr>
          <w:t>2)</w:t>
        </w:r>
        <w:r w:rsidR="000B078F" w:rsidRPr="00EE0850">
          <w:rPr>
            <w:webHidden/>
          </w:rPr>
          <w:tab/>
        </w:r>
        <w:r w:rsidR="000B078F" w:rsidRPr="00EE0850">
          <w:rPr>
            <w:webHidden/>
          </w:rPr>
          <w:fldChar w:fldCharType="begin"/>
        </w:r>
        <w:r w:rsidR="000B078F" w:rsidRPr="00EE0850">
          <w:rPr>
            <w:webHidden/>
          </w:rPr>
          <w:instrText xml:space="preserve"> PAGEREF _Toc256205 \h </w:instrText>
        </w:r>
        <w:r w:rsidR="000B078F" w:rsidRPr="00EE0850">
          <w:rPr>
            <w:webHidden/>
          </w:rPr>
        </w:r>
        <w:r w:rsidR="000B078F" w:rsidRPr="00EE0850">
          <w:rPr>
            <w:webHidden/>
          </w:rPr>
          <w:fldChar w:fldCharType="separate"/>
        </w:r>
        <w:r w:rsidR="00DD1A58">
          <w:rPr>
            <w:webHidden/>
          </w:rPr>
          <w:t>23</w:t>
        </w:r>
        <w:r w:rsidR="000B078F" w:rsidRPr="00EE0850">
          <w:rPr>
            <w:webHidden/>
          </w:rPr>
          <w:fldChar w:fldCharType="end"/>
        </w:r>
      </w:hyperlink>
    </w:p>
    <w:p w14:paraId="65394E12" w14:textId="593E0B49" w:rsidR="000B078F" w:rsidRPr="00EE0850" w:rsidRDefault="003A38BC" w:rsidP="00E91404">
      <w:pPr>
        <w:pStyle w:val="TOC2"/>
        <w:spacing w:line="240" w:lineRule="auto"/>
        <w:rPr>
          <w:rFonts w:asciiTheme="minorHAnsi" w:eastAsiaTheme="minorEastAsia" w:hAnsiTheme="minorHAnsi" w:cstheme="minorBidi"/>
          <w:lang w:val="en-CA" w:eastAsia="en-CA"/>
        </w:rPr>
      </w:pPr>
      <w:hyperlink w:anchor="_Toc256206" w:history="1">
        <w:r w:rsidR="000B078F" w:rsidRPr="00EE0850">
          <w:rPr>
            <w:rStyle w:val="Hyperlink"/>
          </w:rPr>
          <w:t>3/6.</w:t>
        </w:r>
        <w:r w:rsidR="000B078F" w:rsidRPr="00EE0850">
          <w:rPr>
            <w:rFonts w:asciiTheme="minorHAnsi" w:eastAsiaTheme="minorEastAsia" w:hAnsiTheme="minorHAnsi" w:cstheme="minorBidi"/>
            <w:lang w:val="en-CA" w:eastAsia="en-CA"/>
          </w:rPr>
          <w:tab/>
        </w:r>
        <w:r w:rsidR="000B078F" w:rsidRPr="00EE0850">
          <w:rPr>
            <w:rStyle w:val="Hyperlink"/>
          </w:rPr>
          <w:t>Measures to raise awareness of the importance of genetic resources and associated traditional knowledge (Article 21)</w:t>
        </w:r>
        <w:r w:rsidR="000B078F" w:rsidRPr="00EE0850">
          <w:rPr>
            <w:webHidden/>
          </w:rPr>
          <w:tab/>
        </w:r>
        <w:r w:rsidR="000B078F" w:rsidRPr="00EE0850">
          <w:rPr>
            <w:webHidden/>
          </w:rPr>
          <w:fldChar w:fldCharType="begin"/>
        </w:r>
        <w:r w:rsidR="000B078F" w:rsidRPr="00EE0850">
          <w:rPr>
            <w:webHidden/>
          </w:rPr>
          <w:instrText xml:space="preserve"> PAGEREF _Toc256206 \h </w:instrText>
        </w:r>
        <w:r w:rsidR="000B078F" w:rsidRPr="00EE0850">
          <w:rPr>
            <w:webHidden/>
          </w:rPr>
        </w:r>
        <w:r w:rsidR="000B078F" w:rsidRPr="00EE0850">
          <w:rPr>
            <w:webHidden/>
          </w:rPr>
          <w:fldChar w:fldCharType="separate"/>
        </w:r>
        <w:r w:rsidR="00DD1A58">
          <w:rPr>
            <w:webHidden/>
          </w:rPr>
          <w:t>27</w:t>
        </w:r>
        <w:r w:rsidR="000B078F" w:rsidRPr="00EE0850">
          <w:rPr>
            <w:webHidden/>
          </w:rPr>
          <w:fldChar w:fldCharType="end"/>
        </w:r>
      </w:hyperlink>
    </w:p>
    <w:p w14:paraId="6274E932" w14:textId="69B38B23" w:rsidR="000B078F" w:rsidRPr="00EE0850" w:rsidRDefault="003A38BC" w:rsidP="002933B4">
      <w:pPr>
        <w:pStyle w:val="TOC2"/>
        <w:spacing w:line="240" w:lineRule="auto"/>
        <w:rPr>
          <w:rFonts w:asciiTheme="minorHAnsi" w:eastAsiaTheme="minorEastAsia" w:hAnsiTheme="minorHAnsi" w:cstheme="minorBidi"/>
          <w:lang w:val="en-CA" w:eastAsia="en-CA"/>
        </w:rPr>
      </w:pPr>
      <w:hyperlink w:anchor="_Toc256207" w:history="1">
        <w:r w:rsidR="000B078F" w:rsidRPr="00EE0850">
          <w:rPr>
            <w:rStyle w:val="Hyperlink"/>
          </w:rPr>
          <w:t>3/7.</w:t>
        </w:r>
        <w:r w:rsidR="000B078F" w:rsidRPr="00EE0850">
          <w:rPr>
            <w:rFonts w:asciiTheme="minorHAnsi" w:eastAsiaTheme="minorEastAsia" w:hAnsiTheme="minorHAnsi" w:cstheme="minorBidi"/>
            <w:lang w:val="en-CA" w:eastAsia="en-CA"/>
          </w:rPr>
          <w:tab/>
        </w:r>
        <w:r w:rsidR="000B078F" w:rsidRPr="00EE0850">
          <w:rPr>
            <w:rStyle w:val="Hyperlink"/>
          </w:rPr>
          <w:t>Cooperation with other conventions, international organizations and initiatives</w:t>
        </w:r>
        <w:r w:rsidR="000B078F" w:rsidRPr="00EE0850">
          <w:rPr>
            <w:webHidden/>
          </w:rPr>
          <w:tab/>
        </w:r>
        <w:r w:rsidR="000B078F" w:rsidRPr="00EE0850">
          <w:rPr>
            <w:webHidden/>
          </w:rPr>
          <w:fldChar w:fldCharType="begin"/>
        </w:r>
        <w:r w:rsidR="000B078F" w:rsidRPr="00EE0850">
          <w:rPr>
            <w:webHidden/>
          </w:rPr>
          <w:instrText xml:space="preserve"> PAGEREF _Toc256207 \h </w:instrText>
        </w:r>
        <w:r w:rsidR="000B078F" w:rsidRPr="00EE0850">
          <w:rPr>
            <w:webHidden/>
          </w:rPr>
        </w:r>
        <w:r w:rsidR="000B078F" w:rsidRPr="00EE0850">
          <w:rPr>
            <w:webHidden/>
          </w:rPr>
          <w:fldChar w:fldCharType="separate"/>
        </w:r>
        <w:r w:rsidR="00DD1A58">
          <w:rPr>
            <w:webHidden/>
          </w:rPr>
          <w:t>28</w:t>
        </w:r>
        <w:r w:rsidR="000B078F" w:rsidRPr="00EE0850">
          <w:rPr>
            <w:webHidden/>
          </w:rPr>
          <w:fldChar w:fldCharType="end"/>
        </w:r>
      </w:hyperlink>
    </w:p>
    <w:p w14:paraId="3A230924" w14:textId="2624E97B" w:rsidR="000B078F" w:rsidRPr="00EE0850" w:rsidRDefault="003A38BC" w:rsidP="002933B4">
      <w:pPr>
        <w:pStyle w:val="TOC2"/>
        <w:spacing w:line="240" w:lineRule="auto"/>
        <w:rPr>
          <w:rFonts w:asciiTheme="minorHAnsi" w:eastAsiaTheme="minorEastAsia" w:hAnsiTheme="minorHAnsi" w:cstheme="minorBidi"/>
          <w:lang w:val="en-CA" w:eastAsia="en-CA"/>
        </w:rPr>
      </w:pPr>
      <w:hyperlink w:anchor="_Toc256208" w:history="1">
        <w:r w:rsidR="000B078F" w:rsidRPr="00EE0850">
          <w:rPr>
            <w:rStyle w:val="Hyperlink"/>
          </w:rPr>
          <w:t>3/8.</w:t>
        </w:r>
        <w:r w:rsidR="000B078F" w:rsidRPr="00EE0850">
          <w:rPr>
            <w:rFonts w:asciiTheme="minorHAnsi" w:eastAsiaTheme="minorEastAsia" w:hAnsiTheme="minorHAnsi" w:cstheme="minorBidi"/>
            <w:lang w:val="en-CA" w:eastAsia="en-CA"/>
          </w:rPr>
          <w:tab/>
        </w:r>
        <w:r w:rsidR="000B078F" w:rsidRPr="00EE0850">
          <w:rPr>
            <w:rStyle w:val="Hyperlink"/>
          </w:rPr>
          <w:t>Financial mechanism</w:t>
        </w:r>
        <w:r w:rsidR="000B078F" w:rsidRPr="00EE0850">
          <w:rPr>
            <w:webHidden/>
          </w:rPr>
          <w:tab/>
        </w:r>
        <w:r w:rsidR="000B078F" w:rsidRPr="00EE0850">
          <w:rPr>
            <w:webHidden/>
          </w:rPr>
          <w:fldChar w:fldCharType="begin"/>
        </w:r>
        <w:r w:rsidR="000B078F" w:rsidRPr="00EE0850">
          <w:rPr>
            <w:webHidden/>
          </w:rPr>
          <w:instrText xml:space="preserve"> PAGEREF _Toc256208 \h </w:instrText>
        </w:r>
        <w:r w:rsidR="000B078F" w:rsidRPr="00EE0850">
          <w:rPr>
            <w:webHidden/>
          </w:rPr>
        </w:r>
        <w:r w:rsidR="000B078F" w:rsidRPr="00EE0850">
          <w:rPr>
            <w:webHidden/>
          </w:rPr>
          <w:fldChar w:fldCharType="separate"/>
        </w:r>
        <w:r w:rsidR="00DD1A58">
          <w:rPr>
            <w:webHidden/>
          </w:rPr>
          <w:t>29</w:t>
        </w:r>
        <w:r w:rsidR="000B078F" w:rsidRPr="00EE0850">
          <w:rPr>
            <w:webHidden/>
          </w:rPr>
          <w:fldChar w:fldCharType="end"/>
        </w:r>
      </w:hyperlink>
    </w:p>
    <w:p w14:paraId="6D228C15" w14:textId="4ADCBCBC" w:rsidR="000B078F" w:rsidRPr="00EE0850" w:rsidRDefault="003A38BC" w:rsidP="00471756">
      <w:pPr>
        <w:pStyle w:val="TOC2"/>
        <w:spacing w:line="240" w:lineRule="auto"/>
        <w:rPr>
          <w:rFonts w:asciiTheme="minorHAnsi" w:eastAsiaTheme="minorEastAsia" w:hAnsiTheme="minorHAnsi" w:cstheme="minorBidi"/>
          <w:lang w:val="en-CA" w:eastAsia="en-CA"/>
        </w:rPr>
      </w:pPr>
      <w:hyperlink w:anchor="_Toc256209" w:history="1">
        <w:r w:rsidR="000B078F" w:rsidRPr="00EE0850">
          <w:rPr>
            <w:rStyle w:val="Hyperlink"/>
          </w:rPr>
          <w:t>3/9.</w:t>
        </w:r>
        <w:r w:rsidR="000B078F" w:rsidRPr="00EE0850">
          <w:rPr>
            <w:rFonts w:asciiTheme="minorHAnsi" w:eastAsiaTheme="minorEastAsia" w:hAnsiTheme="minorHAnsi" w:cstheme="minorBidi"/>
            <w:lang w:val="en-CA" w:eastAsia="en-CA"/>
          </w:rPr>
          <w:tab/>
        </w:r>
        <w:r w:rsidR="000B078F" w:rsidRPr="00EE0850">
          <w:rPr>
            <w:rStyle w:val="Hyperlink"/>
          </w:rPr>
          <w:t>Enhancing integration under the Convention and its Protocols with respect to provisions related to access and benefit-sharing</w:t>
        </w:r>
        <w:r w:rsidR="000B078F" w:rsidRPr="00EE0850">
          <w:rPr>
            <w:webHidden/>
          </w:rPr>
          <w:tab/>
        </w:r>
        <w:r w:rsidR="000B078F" w:rsidRPr="00EE0850">
          <w:rPr>
            <w:webHidden/>
          </w:rPr>
          <w:fldChar w:fldCharType="begin"/>
        </w:r>
        <w:r w:rsidR="000B078F" w:rsidRPr="00EE0850">
          <w:rPr>
            <w:webHidden/>
          </w:rPr>
          <w:instrText xml:space="preserve"> PAGEREF _Toc256209 \h </w:instrText>
        </w:r>
        <w:r w:rsidR="000B078F" w:rsidRPr="00EE0850">
          <w:rPr>
            <w:webHidden/>
          </w:rPr>
        </w:r>
        <w:r w:rsidR="000B078F" w:rsidRPr="00EE0850">
          <w:rPr>
            <w:webHidden/>
          </w:rPr>
          <w:fldChar w:fldCharType="separate"/>
        </w:r>
        <w:r w:rsidR="00DD1A58">
          <w:rPr>
            <w:webHidden/>
          </w:rPr>
          <w:t>30</w:t>
        </w:r>
        <w:r w:rsidR="000B078F" w:rsidRPr="00EE0850">
          <w:rPr>
            <w:webHidden/>
          </w:rPr>
          <w:fldChar w:fldCharType="end"/>
        </w:r>
      </w:hyperlink>
    </w:p>
    <w:p w14:paraId="6164F1F2" w14:textId="01638577" w:rsidR="000B078F" w:rsidRPr="00EE0850" w:rsidRDefault="003A38BC" w:rsidP="001D4A8D">
      <w:pPr>
        <w:pStyle w:val="TOC2"/>
        <w:spacing w:line="240" w:lineRule="auto"/>
        <w:rPr>
          <w:rFonts w:asciiTheme="minorHAnsi" w:eastAsiaTheme="minorEastAsia" w:hAnsiTheme="minorHAnsi" w:cstheme="minorBidi"/>
          <w:lang w:val="en-CA" w:eastAsia="en-CA"/>
        </w:rPr>
      </w:pPr>
      <w:hyperlink w:anchor="_Toc256210" w:history="1">
        <w:r w:rsidR="000B078F" w:rsidRPr="00EE0850">
          <w:rPr>
            <w:rStyle w:val="Hyperlink"/>
          </w:rPr>
          <w:t>3/10.</w:t>
        </w:r>
        <w:r w:rsidR="000B078F" w:rsidRPr="00EE0850">
          <w:rPr>
            <w:rFonts w:asciiTheme="minorHAnsi" w:eastAsiaTheme="minorEastAsia" w:hAnsiTheme="minorHAnsi" w:cstheme="minorBidi"/>
            <w:lang w:val="en-CA" w:eastAsia="en-CA"/>
          </w:rPr>
          <w:tab/>
        </w:r>
        <w:r w:rsidR="000B078F" w:rsidRPr="00EE0850">
          <w:rPr>
            <w:rStyle w:val="Hyperlink"/>
          </w:rPr>
          <w:t>Review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w:t>
        </w:r>
        <w:r w:rsidR="000B078F" w:rsidRPr="00EE0850">
          <w:rPr>
            <w:webHidden/>
          </w:rPr>
          <w:tab/>
        </w:r>
        <w:r w:rsidR="000B078F" w:rsidRPr="00EE0850">
          <w:rPr>
            <w:webHidden/>
          </w:rPr>
          <w:fldChar w:fldCharType="begin"/>
        </w:r>
        <w:r w:rsidR="000B078F" w:rsidRPr="00EE0850">
          <w:rPr>
            <w:webHidden/>
          </w:rPr>
          <w:instrText xml:space="preserve"> PAGEREF _Toc256210 \h </w:instrText>
        </w:r>
        <w:r w:rsidR="000B078F" w:rsidRPr="00EE0850">
          <w:rPr>
            <w:webHidden/>
          </w:rPr>
        </w:r>
        <w:r w:rsidR="000B078F" w:rsidRPr="00EE0850">
          <w:rPr>
            <w:webHidden/>
          </w:rPr>
          <w:fldChar w:fldCharType="separate"/>
        </w:r>
        <w:r w:rsidR="00DD1A58">
          <w:rPr>
            <w:webHidden/>
          </w:rPr>
          <w:t>31</w:t>
        </w:r>
        <w:r w:rsidR="000B078F" w:rsidRPr="00EE0850">
          <w:rPr>
            <w:webHidden/>
          </w:rPr>
          <w:fldChar w:fldCharType="end"/>
        </w:r>
      </w:hyperlink>
    </w:p>
    <w:p w14:paraId="78A2B58A" w14:textId="0A6907F2" w:rsidR="000B078F" w:rsidRPr="00EE0850" w:rsidRDefault="003A38BC" w:rsidP="001D4A8D">
      <w:pPr>
        <w:pStyle w:val="TOC2"/>
        <w:spacing w:line="240" w:lineRule="auto"/>
        <w:rPr>
          <w:rFonts w:asciiTheme="minorHAnsi" w:eastAsiaTheme="minorEastAsia" w:hAnsiTheme="minorHAnsi" w:cstheme="minorBidi"/>
          <w:lang w:val="en-CA" w:eastAsia="en-CA"/>
        </w:rPr>
      </w:pPr>
      <w:hyperlink w:anchor="_Toc256211" w:history="1">
        <w:r w:rsidR="000B078F" w:rsidRPr="00EE0850">
          <w:rPr>
            <w:rStyle w:val="Hyperlink"/>
          </w:rPr>
          <w:t>3/11.</w:t>
        </w:r>
        <w:r w:rsidR="000B078F" w:rsidRPr="00EE0850">
          <w:rPr>
            <w:rFonts w:asciiTheme="minorHAnsi" w:eastAsiaTheme="minorEastAsia" w:hAnsiTheme="minorHAnsi" w:cstheme="minorBidi"/>
            <w:lang w:val="en-CA" w:eastAsia="en-CA"/>
          </w:rPr>
          <w:tab/>
        </w:r>
        <w:r w:rsidR="000B078F" w:rsidRPr="00EE0850">
          <w:rPr>
            <w:rStyle w:val="Hyperlink"/>
          </w:rPr>
          <w:t>Procedure for avoiding or managing conflicts of interest in expert groups</w:t>
        </w:r>
        <w:r w:rsidR="000B078F" w:rsidRPr="00EE0850">
          <w:rPr>
            <w:webHidden/>
          </w:rPr>
          <w:tab/>
        </w:r>
        <w:r w:rsidR="000B078F" w:rsidRPr="00EE0850">
          <w:rPr>
            <w:webHidden/>
          </w:rPr>
          <w:fldChar w:fldCharType="begin"/>
        </w:r>
        <w:r w:rsidR="000B078F" w:rsidRPr="00EE0850">
          <w:rPr>
            <w:webHidden/>
          </w:rPr>
          <w:instrText xml:space="preserve"> PAGEREF _Toc256211 \h </w:instrText>
        </w:r>
        <w:r w:rsidR="000B078F" w:rsidRPr="00EE0850">
          <w:rPr>
            <w:webHidden/>
          </w:rPr>
        </w:r>
        <w:r w:rsidR="000B078F" w:rsidRPr="00EE0850">
          <w:rPr>
            <w:webHidden/>
          </w:rPr>
          <w:fldChar w:fldCharType="separate"/>
        </w:r>
        <w:r w:rsidR="00DD1A58">
          <w:rPr>
            <w:webHidden/>
          </w:rPr>
          <w:t>32</w:t>
        </w:r>
        <w:r w:rsidR="000B078F" w:rsidRPr="00EE0850">
          <w:rPr>
            <w:webHidden/>
          </w:rPr>
          <w:fldChar w:fldCharType="end"/>
        </w:r>
      </w:hyperlink>
    </w:p>
    <w:p w14:paraId="151B6D2A" w14:textId="6264178A" w:rsidR="000B078F" w:rsidRPr="00EE0850" w:rsidRDefault="003A38BC" w:rsidP="001D4A8D">
      <w:pPr>
        <w:pStyle w:val="TOC2"/>
        <w:spacing w:line="240" w:lineRule="auto"/>
        <w:rPr>
          <w:rFonts w:asciiTheme="minorHAnsi" w:eastAsiaTheme="minorEastAsia" w:hAnsiTheme="minorHAnsi" w:cstheme="minorBidi"/>
          <w:lang w:val="en-CA" w:eastAsia="en-CA"/>
        </w:rPr>
      </w:pPr>
      <w:hyperlink w:anchor="_Toc256212" w:history="1">
        <w:r w:rsidR="000B078F" w:rsidRPr="00EE0850">
          <w:rPr>
            <w:rStyle w:val="Hyperlink"/>
          </w:rPr>
          <w:t>3/12.</w:t>
        </w:r>
        <w:r w:rsidR="000B078F" w:rsidRPr="00EE0850">
          <w:rPr>
            <w:rFonts w:asciiTheme="minorHAnsi" w:eastAsiaTheme="minorEastAsia" w:hAnsiTheme="minorHAnsi" w:cstheme="minorBidi"/>
            <w:lang w:val="en-CA" w:eastAsia="en-CA"/>
          </w:rPr>
          <w:tab/>
        </w:r>
        <w:r w:rsidR="000B078F" w:rsidRPr="00EE0850">
          <w:rPr>
            <w:rStyle w:val="Hyperlink"/>
          </w:rPr>
          <w:t>Digital sequence information on genetic resources</w:t>
        </w:r>
        <w:r w:rsidR="000B078F" w:rsidRPr="00EE0850">
          <w:rPr>
            <w:webHidden/>
          </w:rPr>
          <w:tab/>
        </w:r>
        <w:r w:rsidR="000B078F" w:rsidRPr="00EE0850">
          <w:rPr>
            <w:webHidden/>
          </w:rPr>
          <w:fldChar w:fldCharType="begin"/>
        </w:r>
        <w:r w:rsidR="000B078F" w:rsidRPr="00EE0850">
          <w:rPr>
            <w:webHidden/>
          </w:rPr>
          <w:instrText xml:space="preserve"> PAGEREF _Toc256212 \h </w:instrText>
        </w:r>
        <w:r w:rsidR="000B078F" w:rsidRPr="00EE0850">
          <w:rPr>
            <w:webHidden/>
          </w:rPr>
        </w:r>
        <w:r w:rsidR="000B078F" w:rsidRPr="00EE0850">
          <w:rPr>
            <w:webHidden/>
          </w:rPr>
          <w:fldChar w:fldCharType="separate"/>
        </w:r>
        <w:r w:rsidR="00DD1A58">
          <w:rPr>
            <w:webHidden/>
          </w:rPr>
          <w:t>33</w:t>
        </w:r>
        <w:r w:rsidR="000B078F" w:rsidRPr="00EE0850">
          <w:rPr>
            <w:webHidden/>
          </w:rPr>
          <w:fldChar w:fldCharType="end"/>
        </w:r>
      </w:hyperlink>
    </w:p>
    <w:p w14:paraId="5837ABD0" w14:textId="13F8B91E" w:rsidR="000B078F" w:rsidRPr="00EE0850" w:rsidRDefault="003A38BC" w:rsidP="001D4A8D">
      <w:pPr>
        <w:pStyle w:val="TOC2"/>
        <w:spacing w:line="240" w:lineRule="auto"/>
        <w:rPr>
          <w:rFonts w:asciiTheme="minorHAnsi" w:eastAsiaTheme="minorEastAsia" w:hAnsiTheme="minorHAnsi" w:cstheme="minorBidi"/>
          <w:lang w:val="en-CA" w:eastAsia="en-CA"/>
        </w:rPr>
      </w:pPr>
      <w:hyperlink w:anchor="_Toc256213" w:history="1">
        <w:r w:rsidR="000B078F" w:rsidRPr="00EE0850">
          <w:rPr>
            <w:rStyle w:val="Hyperlink"/>
          </w:rPr>
          <w:t>3/13.</w:t>
        </w:r>
        <w:r w:rsidR="000B078F" w:rsidRPr="00EE0850">
          <w:rPr>
            <w:rFonts w:asciiTheme="minorHAnsi" w:eastAsiaTheme="minorEastAsia" w:hAnsiTheme="minorHAnsi" w:cstheme="minorBidi"/>
            <w:lang w:val="en-CA" w:eastAsia="en-CA"/>
          </w:rPr>
          <w:tab/>
        </w:r>
        <w:r w:rsidR="000B078F" w:rsidRPr="00EE0850">
          <w:rPr>
            <w:rStyle w:val="Hyperlink"/>
          </w:rPr>
          <w:t>Global multilateral benefit-sharing mechanism (Article 10)</w:t>
        </w:r>
        <w:r w:rsidR="000B078F" w:rsidRPr="00EE0850">
          <w:rPr>
            <w:webHidden/>
          </w:rPr>
          <w:tab/>
        </w:r>
        <w:r w:rsidR="000B078F" w:rsidRPr="00EE0850">
          <w:rPr>
            <w:webHidden/>
          </w:rPr>
          <w:fldChar w:fldCharType="begin"/>
        </w:r>
        <w:r w:rsidR="000B078F" w:rsidRPr="00EE0850">
          <w:rPr>
            <w:webHidden/>
          </w:rPr>
          <w:instrText xml:space="preserve"> PAGEREF _Toc256213 \h </w:instrText>
        </w:r>
        <w:r w:rsidR="000B078F" w:rsidRPr="00EE0850">
          <w:rPr>
            <w:webHidden/>
          </w:rPr>
        </w:r>
        <w:r w:rsidR="000B078F" w:rsidRPr="00EE0850">
          <w:rPr>
            <w:webHidden/>
          </w:rPr>
          <w:fldChar w:fldCharType="separate"/>
        </w:r>
        <w:r w:rsidR="00DD1A58">
          <w:rPr>
            <w:webHidden/>
          </w:rPr>
          <w:t>34</w:t>
        </w:r>
        <w:r w:rsidR="000B078F" w:rsidRPr="00EE0850">
          <w:rPr>
            <w:webHidden/>
          </w:rPr>
          <w:fldChar w:fldCharType="end"/>
        </w:r>
      </w:hyperlink>
    </w:p>
    <w:p w14:paraId="6AC7364F" w14:textId="288A22E1" w:rsidR="000B078F" w:rsidRPr="00EE0850" w:rsidRDefault="003A38BC" w:rsidP="001D4A8D">
      <w:pPr>
        <w:pStyle w:val="TOC2"/>
        <w:spacing w:line="240" w:lineRule="auto"/>
        <w:rPr>
          <w:rFonts w:asciiTheme="minorHAnsi" w:eastAsiaTheme="minorEastAsia" w:hAnsiTheme="minorHAnsi" w:cstheme="minorBidi"/>
          <w:lang w:val="en-CA" w:eastAsia="en-CA"/>
        </w:rPr>
      </w:pPr>
      <w:hyperlink w:anchor="_Toc256214" w:history="1">
        <w:r w:rsidR="000B078F" w:rsidRPr="00EE0850">
          <w:rPr>
            <w:rStyle w:val="Hyperlink"/>
          </w:rPr>
          <w:t>3/14.</w:t>
        </w:r>
        <w:r w:rsidR="000B078F" w:rsidRPr="00EE0850">
          <w:rPr>
            <w:rFonts w:asciiTheme="minorHAnsi" w:eastAsiaTheme="minorEastAsia" w:hAnsiTheme="minorHAnsi" w:cstheme="minorBidi"/>
            <w:lang w:val="en-CA" w:eastAsia="en-CA"/>
          </w:rPr>
          <w:tab/>
        </w:r>
        <w:r w:rsidR="000B078F" w:rsidRPr="00EE0850">
          <w:rPr>
            <w:rStyle w:val="Hyperlink"/>
          </w:rPr>
          <w:t>Specialized international access and benefit sharing instruments in the context of Article 4, paragraph 4, of the Nagoya Protocol</w:t>
        </w:r>
        <w:r w:rsidR="000B078F" w:rsidRPr="00EE0850">
          <w:rPr>
            <w:webHidden/>
          </w:rPr>
          <w:tab/>
        </w:r>
        <w:r w:rsidR="000B078F" w:rsidRPr="00EE0850">
          <w:rPr>
            <w:webHidden/>
          </w:rPr>
          <w:fldChar w:fldCharType="begin"/>
        </w:r>
        <w:r w:rsidR="000B078F" w:rsidRPr="00EE0850">
          <w:rPr>
            <w:webHidden/>
          </w:rPr>
          <w:instrText xml:space="preserve"> PAGEREF _Toc256214 \h </w:instrText>
        </w:r>
        <w:r w:rsidR="000B078F" w:rsidRPr="00EE0850">
          <w:rPr>
            <w:webHidden/>
          </w:rPr>
        </w:r>
        <w:r w:rsidR="000B078F" w:rsidRPr="00EE0850">
          <w:rPr>
            <w:webHidden/>
          </w:rPr>
          <w:fldChar w:fldCharType="separate"/>
        </w:r>
        <w:r w:rsidR="00DD1A58">
          <w:rPr>
            <w:webHidden/>
          </w:rPr>
          <w:t>35</w:t>
        </w:r>
        <w:r w:rsidR="000B078F" w:rsidRPr="00EE0850">
          <w:rPr>
            <w:webHidden/>
          </w:rPr>
          <w:fldChar w:fldCharType="end"/>
        </w:r>
      </w:hyperlink>
    </w:p>
    <w:p w14:paraId="777B562E" w14:textId="211A9D24" w:rsidR="000B078F" w:rsidRPr="00EE0850" w:rsidRDefault="003A38BC" w:rsidP="00B37852">
      <w:pPr>
        <w:pStyle w:val="TOC2"/>
        <w:spacing w:line="240" w:lineRule="auto"/>
        <w:rPr>
          <w:rFonts w:asciiTheme="minorHAnsi" w:eastAsiaTheme="minorEastAsia" w:hAnsiTheme="minorHAnsi" w:cstheme="minorBidi"/>
          <w:lang w:val="en-CA" w:eastAsia="en-CA"/>
        </w:rPr>
      </w:pPr>
      <w:hyperlink w:anchor="_Toc256215" w:history="1">
        <w:r w:rsidR="000B078F" w:rsidRPr="00EE0850">
          <w:rPr>
            <w:rStyle w:val="Hyperlink"/>
            <w:snapToGrid w:val="0"/>
          </w:rPr>
          <w:t>3/15.</w:t>
        </w:r>
        <w:r w:rsidR="000B078F" w:rsidRPr="00EE0850">
          <w:rPr>
            <w:rFonts w:asciiTheme="minorHAnsi" w:eastAsiaTheme="minorEastAsia" w:hAnsiTheme="minorHAnsi" w:cstheme="minorBidi"/>
            <w:lang w:val="en-CA" w:eastAsia="en-CA"/>
          </w:rPr>
          <w:tab/>
        </w:r>
        <w:r w:rsidR="000B078F" w:rsidRPr="00EE0850">
          <w:rPr>
            <w:rStyle w:val="Hyperlink"/>
            <w:snapToGrid w:val="0"/>
          </w:rPr>
          <w:t>Preparation for the follow-up to the Strategic Plan for Biodiversity 2011-2020</w:t>
        </w:r>
        <w:r w:rsidR="000B078F" w:rsidRPr="00EE0850">
          <w:rPr>
            <w:webHidden/>
          </w:rPr>
          <w:tab/>
        </w:r>
        <w:r w:rsidR="000B078F" w:rsidRPr="00EE0850">
          <w:rPr>
            <w:webHidden/>
          </w:rPr>
          <w:fldChar w:fldCharType="begin"/>
        </w:r>
        <w:r w:rsidR="000B078F" w:rsidRPr="00EE0850">
          <w:rPr>
            <w:webHidden/>
          </w:rPr>
          <w:instrText xml:space="preserve"> PAGEREF _Toc256215 \h </w:instrText>
        </w:r>
        <w:r w:rsidR="000B078F" w:rsidRPr="00EE0850">
          <w:rPr>
            <w:webHidden/>
          </w:rPr>
        </w:r>
        <w:r w:rsidR="000B078F" w:rsidRPr="00EE0850">
          <w:rPr>
            <w:webHidden/>
          </w:rPr>
          <w:fldChar w:fldCharType="separate"/>
        </w:r>
        <w:r w:rsidR="00DD1A58">
          <w:rPr>
            <w:webHidden/>
          </w:rPr>
          <w:t>37</w:t>
        </w:r>
        <w:r w:rsidR="000B078F" w:rsidRPr="00EE0850">
          <w:rPr>
            <w:webHidden/>
          </w:rPr>
          <w:fldChar w:fldCharType="end"/>
        </w:r>
      </w:hyperlink>
    </w:p>
    <w:p w14:paraId="51A608B0" w14:textId="098AAFB7" w:rsidR="000B078F" w:rsidRPr="00EE0850" w:rsidRDefault="003A38BC" w:rsidP="0040389B">
      <w:pPr>
        <w:pStyle w:val="TOC2"/>
        <w:spacing w:line="240" w:lineRule="auto"/>
        <w:rPr>
          <w:rFonts w:asciiTheme="minorHAnsi" w:eastAsiaTheme="minorEastAsia" w:hAnsiTheme="minorHAnsi" w:cstheme="minorBidi"/>
          <w:lang w:val="en-CA" w:eastAsia="en-CA"/>
        </w:rPr>
      </w:pPr>
      <w:hyperlink w:anchor="_Toc256216" w:history="1">
        <w:r w:rsidR="000B078F" w:rsidRPr="00EE0850">
          <w:rPr>
            <w:rStyle w:val="Hyperlink"/>
          </w:rPr>
          <w:t>3/16.</w:t>
        </w:r>
        <w:r w:rsidR="000B078F" w:rsidRPr="00EE0850">
          <w:rPr>
            <w:rFonts w:asciiTheme="minorHAnsi" w:eastAsiaTheme="minorEastAsia" w:hAnsiTheme="minorHAnsi" w:cstheme="minorBidi"/>
            <w:lang w:val="en-CA" w:eastAsia="en-CA"/>
          </w:rPr>
          <w:tab/>
        </w:r>
        <w:r w:rsidR="000B078F" w:rsidRPr="00EE0850">
          <w:rPr>
            <w:rStyle w:val="Hyperlink"/>
          </w:rPr>
          <w:t>Budget for the integrated programme of work of the Secretariat</w:t>
        </w:r>
        <w:r w:rsidR="000B078F" w:rsidRPr="00EE0850">
          <w:rPr>
            <w:webHidden/>
          </w:rPr>
          <w:tab/>
        </w:r>
        <w:r w:rsidR="000B078F" w:rsidRPr="00EE0850">
          <w:rPr>
            <w:webHidden/>
          </w:rPr>
          <w:fldChar w:fldCharType="begin"/>
        </w:r>
        <w:r w:rsidR="000B078F" w:rsidRPr="00EE0850">
          <w:rPr>
            <w:webHidden/>
          </w:rPr>
          <w:instrText xml:space="preserve"> PAGEREF _Toc256216 \h </w:instrText>
        </w:r>
        <w:r w:rsidR="000B078F" w:rsidRPr="00EE0850">
          <w:rPr>
            <w:webHidden/>
          </w:rPr>
        </w:r>
        <w:r w:rsidR="000B078F" w:rsidRPr="00EE0850">
          <w:rPr>
            <w:webHidden/>
          </w:rPr>
          <w:fldChar w:fldCharType="separate"/>
        </w:r>
        <w:r w:rsidR="00DD1A58">
          <w:rPr>
            <w:webHidden/>
          </w:rPr>
          <w:t>38</w:t>
        </w:r>
        <w:r w:rsidR="000B078F" w:rsidRPr="00EE0850">
          <w:rPr>
            <w:webHidden/>
          </w:rPr>
          <w:fldChar w:fldCharType="end"/>
        </w:r>
      </w:hyperlink>
    </w:p>
    <w:p w14:paraId="69A82A04" w14:textId="2DC898EB" w:rsidR="000B078F" w:rsidRPr="00EE0850" w:rsidRDefault="003A38BC" w:rsidP="000C6220">
      <w:pPr>
        <w:pStyle w:val="TOC1"/>
        <w:tabs>
          <w:tab w:val="clear" w:pos="9350"/>
          <w:tab w:val="left" w:pos="9356"/>
        </w:tabs>
        <w:spacing w:line="240" w:lineRule="auto"/>
        <w:ind w:right="610"/>
        <w:rPr>
          <w:rFonts w:asciiTheme="minorHAnsi" w:eastAsiaTheme="minorEastAsia" w:hAnsiTheme="minorHAnsi" w:cstheme="minorBidi"/>
          <w:lang w:eastAsia="en-CA"/>
        </w:rPr>
      </w:pPr>
      <w:hyperlink w:anchor="_Toc256217" w:history="1">
        <w:r w:rsidR="000B078F" w:rsidRPr="00EE0850">
          <w:rPr>
            <w:rStyle w:val="Hyperlink"/>
          </w:rPr>
          <w:t xml:space="preserve">II. </w:t>
        </w:r>
        <w:r w:rsidR="000B078F" w:rsidRPr="00EE0850">
          <w:rPr>
            <w:rFonts w:asciiTheme="minorHAnsi" w:eastAsiaTheme="minorEastAsia" w:hAnsiTheme="minorHAnsi" w:cstheme="minorBidi"/>
            <w:lang w:eastAsia="en-CA"/>
          </w:rPr>
          <w:tab/>
        </w:r>
        <w:r w:rsidR="000B078F" w:rsidRPr="00EE0850">
          <w:rPr>
            <w:rStyle w:val="Hyperlink"/>
          </w:rPr>
          <w:t>ACCOUNT OF PROCEEDINGS</w:t>
        </w:r>
        <w:r w:rsidR="000B078F" w:rsidRPr="00EE0850">
          <w:rPr>
            <w:webHidden/>
          </w:rPr>
          <w:tab/>
        </w:r>
        <w:r w:rsidR="000B078F" w:rsidRPr="00EE0850">
          <w:rPr>
            <w:webHidden/>
          </w:rPr>
          <w:fldChar w:fldCharType="begin"/>
        </w:r>
        <w:r w:rsidR="000B078F" w:rsidRPr="00EE0850">
          <w:rPr>
            <w:webHidden/>
          </w:rPr>
          <w:instrText xml:space="preserve"> PAGEREF _Toc256217 \h </w:instrText>
        </w:r>
        <w:r w:rsidR="000B078F" w:rsidRPr="00EE0850">
          <w:rPr>
            <w:webHidden/>
          </w:rPr>
        </w:r>
        <w:r w:rsidR="000B078F" w:rsidRPr="00EE0850">
          <w:rPr>
            <w:webHidden/>
          </w:rPr>
          <w:fldChar w:fldCharType="separate"/>
        </w:r>
        <w:r w:rsidR="00DD1A58">
          <w:rPr>
            <w:webHidden/>
          </w:rPr>
          <w:t>45</w:t>
        </w:r>
        <w:r w:rsidR="000B078F" w:rsidRPr="00EE0850">
          <w:rPr>
            <w:webHidden/>
          </w:rPr>
          <w:fldChar w:fldCharType="end"/>
        </w:r>
      </w:hyperlink>
    </w:p>
    <w:p w14:paraId="7360D2BC" w14:textId="141F8494" w:rsidR="000B078F" w:rsidRPr="00EE0850" w:rsidRDefault="003A38BC" w:rsidP="00341EFA">
      <w:pPr>
        <w:pStyle w:val="TOC2"/>
        <w:spacing w:line="240" w:lineRule="auto"/>
        <w:rPr>
          <w:rFonts w:asciiTheme="minorHAnsi" w:eastAsiaTheme="minorEastAsia" w:hAnsiTheme="minorHAnsi" w:cstheme="minorBidi"/>
          <w:lang w:val="en-CA" w:eastAsia="en-CA"/>
        </w:rPr>
      </w:pPr>
      <w:hyperlink w:anchor="_Toc256218" w:history="1">
        <w:r w:rsidR="000B078F" w:rsidRPr="00EE0850">
          <w:rPr>
            <w:rStyle w:val="Hyperlink"/>
          </w:rPr>
          <w:t>I</w:t>
        </w:r>
        <w:r w:rsidR="00C5397F" w:rsidRPr="00EE0850">
          <w:rPr>
            <w:rStyle w:val="Hyperlink"/>
          </w:rPr>
          <w:t>tem</w:t>
        </w:r>
        <w:r w:rsidR="000B078F" w:rsidRPr="00EE0850">
          <w:rPr>
            <w:rStyle w:val="Hyperlink"/>
          </w:rPr>
          <w:t xml:space="preserve"> 1.</w:t>
        </w:r>
        <w:r w:rsidR="000B078F" w:rsidRPr="00EE0850">
          <w:rPr>
            <w:rFonts w:asciiTheme="minorHAnsi" w:eastAsiaTheme="minorEastAsia" w:hAnsiTheme="minorHAnsi" w:cstheme="minorBidi"/>
            <w:lang w:val="en-CA" w:eastAsia="en-CA"/>
          </w:rPr>
          <w:tab/>
        </w:r>
        <w:r w:rsidR="000B078F" w:rsidRPr="00EE0850">
          <w:rPr>
            <w:rStyle w:val="Hyperlink"/>
          </w:rPr>
          <w:t>Opening of the meeting</w:t>
        </w:r>
        <w:r w:rsidR="000B078F" w:rsidRPr="00EE0850">
          <w:rPr>
            <w:webHidden/>
          </w:rPr>
          <w:tab/>
        </w:r>
        <w:r w:rsidR="000B078F" w:rsidRPr="00EE0850">
          <w:rPr>
            <w:webHidden/>
          </w:rPr>
          <w:fldChar w:fldCharType="begin"/>
        </w:r>
        <w:r w:rsidR="000B078F" w:rsidRPr="00EE0850">
          <w:rPr>
            <w:webHidden/>
          </w:rPr>
          <w:instrText xml:space="preserve"> PAGEREF _Toc256218 \h </w:instrText>
        </w:r>
        <w:r w:rsidR="000B078F" w:rsidRPr="00EE0850">
          <w:rPr>
            <w:webHidden/>
          </w:rPr>
        </w:r>
        <w:r w:rsidR="000B078F" w:rsidRPr="00EE0850">
          <w:rPr>
            <w:webHidden/>
          </w:rPr>
          <w:fldChar w:fldCharType="separate"/>
        </w:r>
        <w:r w:rsidR="00DD1A58">
          <w:rPr>
            <w:webHidden/>
          </w:rPr>
          <w:t>46</w:t>
        </w:r>
        <w:r w:rsidR="000B078F" w:rsidRPr="00EE0850">
          <w:rPr>
            <w:webHidden/>
          </w:rPr>
          <w:fldChar w:fldCharType="end"/>
        </w:r>
      </w:hyperlink>
    </w:p>
    <w:p w14:paraId="64817D17" w14:textId="78CD1314" w:rsidR="000B078F" w:rsidRPr="00EE0850" w:rsidRDefault="003A38BC" w:rsidP="00341EFA">
      <w:pPr>
        <w:pStyle w:val="TOC2"/>
        <w:spacing w:line="240" w:lineRule="auto"/>
        <w:rPr>
          <w:rFonts w:asciiTheme="minorHAnsi" w:eastAsiaTheme="minorEastAsia" w:hAnsiTheme="minorHAnsi" w:cstheme="minorBidi"/>
          <w:lang w:val="en-CA" w:eastAsia="en-CA"/>
        </w:rPr>
      </w:pPr>
      <w:hyperlink w:anchor="_Toc256219" w:history="1">
        <w:r w:rsidR="000B078F" w:rsidRPr="00EE0850">
          <w:rPr>
            <w:rStyle w:val="Hyperlink"/>
          </w:rPr>
          <w:t>I</w:t>
        </w:r>
        <w:r w:rsidR="00C5397F" w:rsidRPr="00EE0850">
          <w:rPr>
            <w:rStyle w:val="Hyperlink"/>
          </w:rPr>
          <w:t>tem</w:t>
        </w:r>
        <w:r w:rsidR="000B078F" w:rsidRPr="00EE0850">
          <w:rPr>
            <w:rStyle w:val="Hyperlink"/>
          </w:rPr>
          <w:t xml:space="preserve"> 2.</w:t>
        </w:r>
        <w:r w:rsidR="000B078F" w:rsidRPr="00EE0850">
          <w:rPr>
            <w:rFonts w:asciiTheme="minorHAnsi" w:eastAsiaTheme="minorEastAsia" w:hAnsiTheme="minorHAnsi" w:cstheme="minorBidi"/>
            <w:lang w:val="en-CA" w:eastAsia="en-CA"/>
          </w:rPr>
          <w:tab/>
        </w:r>
        <w:r w:rsidR="000B078F" w:rsidRPr="00EE0850">
          <w:rPr>
            <w:rStyle w:val="Hyperlink"/>
          </w:rPr>
          <w:t>O</w:t>
        </w:r>
        <w:r w:rsidR="00C5397F" w:rsidRPr="00EE0850">
          <w:rPr>
            <w:rStyle w:val="Hyperlink"/>
          </w:rPr>
          <w:t>rganizational matters</w:t>
        </w:r>
        <w:r w:rsidR="000B078F" w:rsidRPr="00EE0850">
          <w:rPr>
            <w:webHidden/>
          </w:rPr>
          <w:tab/>
        </w:r>
        <w:r w:rsidR="000B078F" w:rsidRPr="00EE0850">
          <w:rPr>
            <w:webHidden/>
          </w:rPr>
          <w:fldChar w:fldCharType="begin"/>
        </w:r>
        <w:r w:rsidR="000B078F" w:rsidRPr="00EE0850">
          <w:rPr>
            <w:webHidden/>
          </w:rPr>
          <w:instrText xml:space="preserve"> PAGEREF _Toc256219 \h </w:instrText>
        </w:r>
        <w:r w:rsidR="000B078F" w:rsidRPr="00EE0850">
          <w:rPr>
            <w:webHidden/>
          </w:rPr>
        </w:r>
        <w:r w:rsidR="000B078F" w:rsidRPr="00EE0850">
          <w:rPr>
            <w:webHidden/>
          </w:rPr>
          <w:fldChar w:fldCharType="separate"/>
        </w:r>
        <w:r w:rsidR="00DD1A58">
          <w:rPr>
            <w:webHidden/>
          </w:rPr>
          <w:t>47</w:t>
        </w:r>
        <w:r w:rsidR="000B078F" w:rsidRPr="00EE0850">
          <w:rPr>
            <w:webHidden/>
          </w:rPr>
          <w:fldChar w:fldCharType="end"/>
        </w:r>
      </w:hyperlink>
    </w:p>
    <w:p w14:paraId="56A8D2DD" w14:textId="2EBF2093" w:rsidR="000B078F" w:rsidRPr="00EE0850" w:rsidRDefault="003A38BC" w:rsidP="00A162E7">
      <w:pPr>
        <w:pStyle w:val="TOC2"/>
        <w:spacing w:line="240" w:lineRule="auto"/>
        <w:rPr>
          <w:rFonts w:asciiTheme="minorHAnsi" w:eastAsiaTheme="minorEastAsia" w:hAnsiTheme="minorHAnsi" w:cstheme="minorBidi"/>
          <w:lang w:val="en-CA" w:eastAsia="en-CA"/>
        </w:rPr>
      </w:pPr>
      <w:hyperlink w:anchor="_Toc256220" w:history="1">
        <w:r w:rsidR="000B078F" w:rsidRPr="00EE0850">
          <w:rPr>
            <w:rStyle w:val="Hyperlink"/>
          </w:rPr>
          <w:t>I</w:t>
        </w:r>
        <w:r w:rsidR="00C5397F" w:rsidRPr="00EE0850">
          <w:rPr>
            <w:rStyle w:val="Hyperlink"/>
          </w:rPr>
          <w:t>tem</w:t>
        </w:r>
        <w:r w:rsidR="000B078F" w:rsidRPr="00EE0850">
          <w:rPr>
            <w:rStyle w:val="Hyperlink"/>
          </w:rPr>
          <w:t xml:space="preserve"> 3.</w:t>
        </w:r>
        <w:r w:rsidR="000B078F" w:rsidRPr="00EE0850">
          <w:rPr>
            <w:rFonts w:asciiTheme="minorHAnsi" w:eastAsiaTheme="minorEastAsia" w:hAnsiTheme="minorHAnsi" w:cstheme="minorBidi"/>
            <w:lang w:val="en-CA" w:eastAsia="en-CA"/>
          </w:rPr>
          <w:tab/>
        </w:r>
        <w:r w:rsidR="000B078F" w:rsidRPr="00EE0850">
          <w:rPr>
            <w:rStyle w:val="Hyperlink"/>
          </w:rPr>
          <w:t>R</w:t>
        </w:r>
        <w:r w:rsidR="00C5397F" w:rsidRPr="00EE0850">
          <w:rPr>
            <w:rStyle w:val="Hyperlink"/>
          </w:rPr>
          <w:t>eport on the credentials of representatives to the third meeting of the Conference of the Parties serving as the meeting of the Parties to the Nagoya Protocol</w:t>
        </w:r>
        <w:r w:rsidR="000B078F" w:rsidRPr="00EE0850">
          <w:rPr>
            <w:webHidden/>
          </w:rPr>
          <w:tab/>
        </w:r>
        <w:r w:rsidR="000B078F" w:rsidRPr="00EE0850">
          <w:rPr>
            <w:webHidden/>
          </w:rPr>
          <w:fldChar w:fldCharType="begin"/>
        </w:r>
        <w:r w:rsidR="000B078F" w:rsidRPr="00EE0850">
          <w:rPr>
            <w:webHidden/>
          </w:rPr>
          <w:instrText xml:space="preserve"> PAGEREF _Toc256220 \h </w:instrText>
        </w:r>
        <w:r w:rsidR="000B078F" w:rsidRPr="00EE0850">
          <w:rPr>
            <w:webHidden/>
          </w:rPr>
        </w:r>
        <w:r w:rsidR="000B078F" w:rsidRPr="00EE0850">
          <w:rPr>
            <w:webHidden/>
          </w:rPr>
          <w:fldChar w:fldCharType="separate"/>
        </w:r>
        <w:r w:rsidR="00DD1A58">
          <w:rPr>
            <w:webHidden/>
          </w:rPr>
          <w:t>49</w:t>
        </w:r>
        <w:r w:rsidR="000B078F" w:rsidRPr="00EE0850">
          <w:rPr>
            <w:webHidden/>
          </w:rPr>
          <w:fldChar w:fldCharType="end"/>
        </w:r>
      </w:hyperlink>
    </w:p>
    <w:p w14:paraId="25AE5DA0" w14:textId="58456514" w:rsidR="000B078F" w:rsidRPr="00EE0850" w:rsidRDefault="003A38BC" w:rsidP="00341A72">
      <w:pPr>
        <w:pStyle w:val="TOC2"/>
        <w:spacing w:line="240" w:lineRule="auto"/>
        <w:rPr>
          <w:rFonts w:asciiTheme="minorHAnsi" w:eastAsiaTheme="minorEastAsia" w:hAnsiTheme="minorHAnsi" w:cstheme="minorBidi"/>
          <w:lang w:val="en-CA" w:eastAsia="en-CA"/>
        </w:rPr>
      </w:pPr>
      <w:hyperlink w:anchor="_Toc256221" w:history="1">
        <w:r w:rsidR="00C5397F" w:rsidRPr="00EE0850">
          <w:rPr>
            <w:rStyle w:val="Hyperlink"/>
          </w:rPr>
          <w:t>Item 4.</w:t>
        </w:r>
        <w:r w:rsidR="00C5397F" w:rsidRPr="00EE0850">
          <w:rPr>
            <w:rFonts w:asciiTheme="minorHAnsi" w:eastAsiaTheme="minorEastAsia" w:hAnsiTheme="minorHAnsi" w:cstheme="minorBidi"/>
            <w:lang w:val="en-CA" w:eastAsia="en-CA"/>
          </w:rPr>
          <w:tab/>
        </w:r>
        <w:r w:rsidR="00C5397F" w:rsidRPr="00EE0850">
          <w:rPr>
            <w:rStyle w:val="Hyperlink"/>
          </w:rPr>
          <w:t>Reports of Subsidiary Bodies</w:t>
        </w:r>
        <w:r w:rsidR="00C5397F" w:rsidRPr="00EE0850">
          <w:rPr>
            <w:webHidden/>
          </w:rPr>
          <w:tab/>
        </w:r>
        <w:r w:rsidR="000B078F" w:rsidRPr="00EE0850">
          <w:rPr>
            <w:webHidden/>
          </w:rPr>
          <w:fldChar w:fldCharType="begin"/>
        </w:r>
        <w:r w:rsidR="000B078F" w:rsidRPr="00EE0850">
          <w:rPr>
            <w:webHidden/>
          </w:rPr>
          <w:instrText xml:space="preserve"> PAGEREF _Toc256221 \h </w:instrText>
        </w:r>
        <w:r w:rsidR="000B078F" w:rsidRPr="00EE0850">
          <w:rPr>
            <w:webHidden/>
          </w:rPr>
        </w:r>
        <w:r w:rsidR="000B078F" w:rsidRPr="00EE0850">
          <w:rPr>
            <w:webHidden/>
          </w:rPr>
          <w:fldChar w:fldCharType="separate"/>
        </w:r>
        <w:r w:rsidR="00DD1A58">
          <w:rPr>
            <w:webHidden/>
          </w:rPr>
          <w:t>49</w:t>
        </w:r>
        <w:r w:rsidR="000B078F" w:rsidRPr="00EE0850">
          <w:rPr>
            <w:webHidden/>
          </w:rPr>
          <w:fldChar w:fldCharType="end"/>
        </w:r>
      </w:hyperlink>
    </w:p>
    <w:p w14:paraId="2D4A87D6" w14:textId="3E990834" w:rsidR="000B078F" w:rsidRPr="00EE0850" w:rsidRDefault="003A38BC" w:rsidP="004C4689">
      <w:pPr>
        <w:pStyle w:val="TOC2"/>
        <w:spacing w:line="240" w:lineRule="auto"/>
        <w:rPr>
          <w:rFonts w:asciiTheme="minorHAnsi" w:eastAsiaTheme="minorEastAsia" w:hAnsiTheme="minorHAnsi" w:cstheme="minorBidi"/>
          <w:lang w:val="en-CA" w:eastAsia="en-CA"/>
        </w:rPr>
      </w:pPr>
      <w:hyperlink w:anchor="_Toc256222" w:history="1">
        <w:r w:rsidR="00C5397F" w:rsidRPr="00EE0850">
          <w:rPr>
            <w:rStyle w:val="Hyperlink"/>
          </w:rPr>
          <w:t>Item 5.</w:t>
        </w:r>
        <w:r w:rsidR="00C5397F" w:rsidRPr="00EE0850">
          <w:rPr>
            <w:rFonts w:asciiTheme="minorHAnsi" w:eastAsiaTheme="minorEastAsia" w:hAnsiTheme="minorHAnsi" w:cstheme="minorBidi"/>
            <w:lang w:val="en-CA" w:eastAsia="en-CA"/>
          </w:rPr>
          <w:tab/>
        </w:r>
        <w:r w:rsidR="00C5397F" w:rsidRPr="00EE0850">
          <w:rPr>
            <w:rStyle w:val="Hyperlink"/>
          </w:rPr>
          <w:t>Report of the Compliance Committee (Article 30)</w:t>
        </w:r>
        <w:r w:rsidR="00C5397F" w:rsidRPr="00EE0850">
          <w:rPr>
            <w:webHidden/>
          </w:rPr>
          <w:tab/>
        </w:r>
        <w:r w:rsidR="000B078F" w:rsidRPr="00EE0850">
          <w:rPr>
            <w:webHidden/>
          </w:rPr>
          <w:fldChar w:fldCharType="begin"/>
        </w:r>
        <w:r w:rsidR="000B078F" w:rsidRPr="00EE0850">
          <w:rPr>
            <w:webHidden/>
          </w:rPr>
          <w:instrText xml:space="preserve"> PAGEREF _Toc256222 \h </w:instrText>
        </w:r>
        <w:r w:rsidR="000B078F" w:rsidRPr="00EE0850">
          <w:rPr>
            <w:webHidden/>
          </w:rPr>
        </w:r>
        <w:r w:rsidR="000B078F" w:rsidRPr="00EE0850">
          <w:rPr>
            <w:webHidden/>
          </w:rPr>
          <w:fldChar w:fldCharType="separate"/>
        </w:r>
        <w:r w:rsidR="00DD1A58">
          <w:rPr>
            <w:webHidden/>
          </w:rPr>
          <w:t>50</w:t>
        </w:r>
        <w:r w:rsidR="000B078F" w:rsidRPr="00EE0850">
          <w:rPr>
            <w:webHidden/>
          </w:rPr>
          <w:fldChar w:fldCharType="end"/>
        </w:r>
      </w:hyperlink>
    </w:p>
    <w:p w14:paraId="1F49E5E0" w14:textId="4CDF76B4"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23" w:history="1">
        <w:r w:rsidR="00C5397F" w:rsidRPr="00EE0850">
          <w:rPr>
            <w:rStyle w:val="Hyperlink"/>
            <w:sz w:val="22"/>
          </w:rPr>
          <w:t>Item 6.</w:t>
        </w:r>
        <w:r w:rsidR="00C5397F" w:rsidRPr="00EE0850">
          <w:rPr>
            <w:rFonts w:asciiTheme="minorHAnsi" w:eastAsiaTheme="minorEastAsia" w:hAnsiTheme="minorHAnsi" w:cstheme="minorBidi"/>
            <w:lang w:val="en-CA" w:eastAsia="en-CA"/>
          </w:rPr>
          <w:tab/>
        </w:r>
        <w:r w:rsidR="00C5397F" w:rsidRPr="00EE0850">
          <w:rPr>
            <w:rStyle w:val="Hyperlink"/>
            <w:sz w:val="22"/>
          </w:rPr>
          <w:t xml:space="preserve">Administration </w:t>
        </w:r>
        <w:r w:rsidR="00547CB8" w:rsidRPr="00EE0850">
          <w:rPr>
            <w:rStyle w:val="Hyperlink"/>
            <w:sz w:val="22"/>
          </w:rPr>
          <w:t>o</w:t>
        </w:r>
        <w:r w:rsidR="00C5397F" w:rsidRPr="00EE0850">
          <w:rPr>
            <w:rStyle w:val="Hyperlink"/>
            <w:sz w:val="22"/>
          </w:rPr>
          <w:t xml:space="preserve">f </w:t>
        </w:r>
        <w:r w:rsidR="00547CB8" w:rsidRPr="00EE0850">
          <w:rPr>
            <w:rStyle w:val="Hyperlink"/>
            <w:sz w:val="22"/>
          </w:rPr>
          <w:t>t</w:t>
        </w:r>
        <w:r w:rsidR="00C5397F" w:rsidRPr="00EE0850">
          <w:rPr>
            <w:rStyle w:val="Hyperlink"/>
            <w:sz w:val="22"/>
          </w:rPr>
          <w:t xml:space="preserve">he Protocol </w:t>
        </w:r>
        <w:r w:rsidR="00547CB8" w:rsidRPr="00EE0850">
          <w:rPr>
            <w:rStyle w:val="Hyperlink"/>
            <w:sz w:val="22"/>
          </w:rPr>
          <w:t>a</w:t>
        </w:r>
        <w:r w:rsidR="00C5397F" w:rsidRPr="00EE0850">
          <w:rPr>
            <w:rStyle w:val="Hyperlink"/>
            <w:sz w:val="22"/>
          </w:rPr>
          <w:t xml:space="preserve">nd Budget </w:t>
        </w:r>
        <w:r w:rsidR="00547CB8" w:rsidRPr="00EE0850">
          <w:rPr>
            <w:rStyle w:val="Hyperlink"/>
            <w:sz w:val="22"/>
          </w:rPr>
          <w:t>f</w:t>
        </w:r>
        <w:r w:rsidR="00C5397F" w:rsidRPr="00EE0850">
          <w:rPr>
            <w:rStyle w:val="Hyperlink"/>
            <w:sz w:val="22"/>
          </w:rPr>
          <w:t xml:space="preserve">or </w:t>
        </w:r>
        <w:r w:rsidR="00547CB8" w:rsidRPr="00EE0850">
          <w:rPr>
            <w:rStyle w:val="Hyperlink"/>
            <w:sz w:val="22"/>
          </w:rPr>
          <w:t>t</w:t>
        </w:r>
        <w:r w:rsidR="00C5397F" w:rsidRPr="00EE0850">
          <w:rPr>
            <w:rStyle w:val="Hyperlink"/>
            <w:sz w:val="22"/>
          </w:rPr>
          <w:t>he Trust Funds</w:t>
        </w:r>
        <w:r w:rsidR="00C5397F" w:rsidRPr="00EE0850">
          <w:rPr>
            <w:webHidden/>
          </w:rPr>
          <w:tab/>
        </w:r>
        <w:r w:rsidR="000B078F" w:rsidRPr="00EE0850">
          <w:rPr>
            <w:webHidden/>
          </w:rPr>
          <w:fldChar w:fldCharType="begin"/>
        </w:r>
        <w:r w:rsidR="000B078F" w:rsidRPr="00EE0850">
          <w:rPr>
            <w:webHidden/>
          </w:rPr>
          <w:instrText xml:space="preserve"> PAGEREF _Toc256223 \h </w:instrText>
        </w:r>
        <w:r w:rsidR="000B078F" w:rsidRPr="00EE0850">
          <w:rPr>
            <w:webHidden/>
          </w:rPr>
        </w:r>
        <w:r w:rsidR="000B078F" w:rsidRPr="00EE0850">
          <w:rPr>
            <w:webHidden/>
          </w:rPr>
          <w:fldChar w:fldCharType="separate"/>
        </w:r>
        <w:r w:rsidR="00DD1A58">
          <w:rPr>
            <w:webHidden/>
          </w:rPr>
          <w:t>51</w:t>
        </w:r>
        <w:r w:rsidR="000B078F" w:rsidRPr="00EE0850">
          <w:rPr>
            <w:webHidden/>
          </w:rPr>
          <w:fldChar w:fldCharType="end"/>
        </w:r>
      </w:hyperlink>
    </w:p>
    <w:p w14:paraId="710480A3" w14:textId="31C24A39"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24" w:history="1">
        <w:r w:rsidR="000B078F" w:rsidRPr="00EE0850">
          <w:rPr>
            <w:rStyle w:val="Hyperlink"/>
          </w:rPr>
          <w:t>I</w:t>
        </w:r>
        <w:r w:rsidR="00C5397F" w:rsidRPr="00EE0850">
          <w:rPr>
            <w:rStyle w:val="Hyperlink"/>
          </w:rPr>
          <w:t>tem</w:t>
        </w:r>
        <w:r w:rsidR="000B078F" w:rsidRPr="00EE0850">
          <w:rPr>
            <w:rStyle w:val="Hyperlink"/>
          </w:rPr>
          <w:t xml:space="preserve"> 7.</w:t>
        </w:r>
        <w:r w:rsidR="000B078F" w:rsidRPr="00EE0850">
          <w:rPr>
            <w:rFonts w:asciiTheme="minorHAnsi" w:eastAsiaTheme="minorEastAsia" w:hAnsiTheme="minorHAnsi" w:cstheme="minorBidi"/>
            <w:lang w:val="en-CA" w:eastAsia="en-CA"/>
          </w:rPr>
          <w:tab/>
        </w:r>
        <w:r w:rsidR="000B078F" w:rsidRPr="00EE0850">
          <w:rPr>
            <w:rStyle w:val="Hyperlink"/>
          </w:rPr>
          <w:t>Assessment and review of the effectiveness of the Protocol (Article 31)</w:t>
        </w:r>
        <w:r w:rsidR="000B078F" w:rsidRPr="00EE0850">
          <w:rPr>
            <w:webHidden/>
          </w:rPr>
          <w:tab/>
        </w:r>
        <w:r w:rsidR="000B078F" w:rsidRPr="00EE0850">
          <w:rPr>
            <w:webHidden/>
          </w:rPr>
          <w:fldChar w:fldCharType="begin"/>
        </w:r>
        <w:r w:rsidR="000B078F" w:rsidRPr="00EE0850">
          <w:rPr>
            <w:webHidden/>
          </w:rPr>
          <w:instrText xml:space="preserve"> PAGEREF _Toc256224 \h </w:instrText>
        </w:r>
        <w:r w:rsidR="000B078F" w:rsidRPr="00EE0850">
          <w:rPr>
            <w:webHidden/>
          </w:rPr>
        </w:r>
        <w:r w:rsidR="000B078F" w:rsidRPr="00EE0850">
          <w:rPr>
            <w:webHidden/>
          </w:rPr>
          <w:fldChar w:fldCharType="separate"/>
        </w:r>
        <w:r w:rsidR="00DD1A58">
          <w:rPr>
            <w:webHidden/>
          </w:rPr>
          <w:t>51</w:t>
        </w:r>
        <w:r w:rsidR="000B078F" w:rsidRPr="00EE0850">
          <w:rPr>
            <w:webHidden/>
          </w:rPr>
          <w:fldChar w:fldCharType="end"/>
        </w:r>
      </w:hyperlink>
    </w:p>
    <w:p w14:paraId="54C7EB3E" w14:textId="77A4E2E7"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25" w:history="1">
        <w:r w:rsidR="000B078F" w:rsidRPr="00EE0850">
          <w:rPr>
            <w:rStyle w:val="Hyperlink"/>
          </w:rPr>
          <w:t>I</w:t>
        </w:r>
        <w:r w:rsidR="00C5397F" w:rsidRPr="00EE0850">
          <w:rPr>
            <w:rStyle w:val="Hyperlink"/>
          </w:rPr>
          <w:t>tem</w:t>
        </w:r>
        <w:r w:rsidR="000B078F" w:rsidRPr="00EE0850">
          <w:rPr>
            <w:rStyle w:val="Hyperlink"/>
          </w:rPr>
          <w:t xml:space="preserve"> 8.</w:t>
        </w:r>
        <w:r w:rsidR="000B078F" w:rsidRPr="00EE0850">
          <w:rPr>
            <w:rFonts w:asciiTheme="minorHAnsi" w:eastAsiaTheme="minorEastAsia" w:hAnsiTheme="minorHAnsi" w:cstheme="minorBidi"/>
            <w:lang w:val="en-CA" w:eastAsia="en-CA"/>
          </w:rPr>
          <w:tab/>
        </w:r>
        <w:r w:rsidR="000B078F" w:rsidRPr="00EE0850">
          <w:rPr>
            <w:rStyle w:val="Hyperlink"/>
          </w:rPr>
          <w:t>Financial mechanism and resources (Article 25)</w:t>
        </w:r>
        <w:r w:rsidR="000B078F" w:rsidRPr="00EE0850">
          <w:rPr>
            <w:webHidden/>
          </w:rPr>
          <w:tab/>
        </w:r>
        <w:r w:rsidR="000B078F" w:rsidRPr="00EE0850">
          <w:rPr>
            <w:webHidden/>
          </w:rPr>
          <w:fldChar w:fldCharType="begin"/>
        </w:r>
        <w:r w:rsidR="000B078F" w:rsidRPr="00EE0850">
          <w:rPr>
            <w:webHidden/>
          </w:rPr>
          <w:instrText xml:space="preserve"> PAGEREF _Toc256225 \h </w:instrText>
        </w:r>
        <w:r w:rsidR="000B078F" w:rsidRPr="00EE0850">
          <w:rPr>
            <w:webHidden/>
          </w:rPr>
        </w:r>
        <w:r w:rsidR="000B078F" w:rsidRPr="00EE0850">
          <w:rPr>
            <w:webHidden/>
          </w:rPr>
          <w:fldChar w:fldCharType="separate"/>
        </w:r>
        <w:r w:rsidR="00DD1A58">
          <w:rPr>
            <w:webHidden/>
          </w:rPr>
          <w:t>52</w:t>
        </w:r>
        <w:r w:rsidR="000B078F" w:rsidRPr="00EE0850">
          <w:rPr>
            <w:webHidden/>
          </w:rPr>
          <w:fldChar w:fldCharType="end"/>
        </w:r>
      </w:hyperlink>
    </w:p>
    <w:p w14:paraId="14989772" w14:textId="6ADEB193"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26" w:history="1">
        <w:r w:rsidR="000B078F" w:rsidRPr="00EE0850">
          <w:rPr>
            <w:rStyle w:val="Hyperlink"/>
          </w:rPr>
          <w:t>I</w:t>
        </w:r>
        <w:r w:rsidR="00C5397F" w:rsidRPr="00EE0850">
          <w:rPr>
            <w:rStyle w:val="Hyperlink"/>
          </w:rPr>
          <w:t>tem</w:t>
        </w:r>
        <w:r w:rsidR="000B078F" w:rsidRPr="00EE0850">
          <w:rPr>
            <w:rStyle w:val="Hyperlink"/>
          </w:rPr>
          <w:t xml:space="preserve"> 9.</w:t>
        </w:r>
        <w:r w:rsidR="000B078F" w:rsidRPr="00EE0850">
          <w:rPr>
            <w:rFonts w:asciiTheme="minorHAnsi" w:eastAsiaTheme="minorEastAsia" w:hAnsiTheme="minorHAnsi" w:cstheme="minorBidi"/>
            <w:lang w:val="en-CA" w:eastAsia="en-CA"/>
          </w:rPr>
          <w:tab/>
        </w:r>
        <w:r w:rsidR="000B078F" w:rsidRPr="00EE0850">
          <w:rPr>
            <w:rStyle w:val="Hyperlink"/>
          </w:rPr>
          <w:t>Measures to assist in capacity-building and capacity development (Article 22)</w:t>
        </w:r>
        <w:r w:rsidR="000B078F" w:rsidRPr="00EE0850">
          <w:rPr>
            <w:webHidden/>
          </w:rPr>
          <w:tab/>
        </w:r>
        <w:r w:rsidR="000B078F" w:rsidRPr="00EE0850">
          <w:rPr>
            <w:webHidden/>
          </w:rPr>
          <w:fldChar w:fldCharType="begin"/>
        </w:r>
        <w:r w:rsidR="000B078F" w:rsidRPr="00EE0850">
          <w:rPr>
            <w:webHidden/>
          </w:rPr>
          <w:instrText xml:space="preserve"> PAGEREF _Toc256226 \h </w:instrText>
        </w:r>
        <w:r w:rsidR="000B078F" w:rsidRPr="00EE0850">
          <w:rPr>
            <w:webHidden/>
          </w:rPr>
        </w:r>
        <w:r w:rsidR="000B078F" w:rsidRPr="00EE0850">
          <w:rPr>
            <w:webHidden/>
          </w:rPr>
          <w:fldChar w:fldCharType="separate"/>
        </w:r>
        <w:r w:rsidR="00DD1A58">
          <w:rPr>
            <w:webHidden/>
          </w:rPr>
          <w:t>52</w:t>
        </w:r>
        <w:r w:rsidR="000B078F" w:rsidRPr="00EE0850">
          <w:rPr>
            <w:webHidden/>
          </w:rPr>
          <w:fldChar w:fldCharType="end"/>
        </w:r>
      </w:hyperlink>
    </w:p>
    <w:p w14:paraId="3CF6B5CC" w14:textId="301613FD"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27" w:history="1">
        <w:r w:rsidR="000B078F" w:rsidRPr="00EE0850">
          <w:rPr>
            <w:rStyle w:val="Hyperlink"/>
          </w:rPr>
          <w:t>I</w:t>
        </w:r>
        <w:r w:rsidR="00C5397F" w:rsidRPr="00EE0850">
          <w:rPr>
            <w:rStyle w:val="Hyperlink"/>
          </w:rPr>
          <w:t>tem</w:t>
        </w:r>
        <w:r w:rsidR="000B078F" w:rsidRPr="00EE0850">
          <w:rPr>
            <w:rStyle w:val="Hyperlink"/>
          </w:rPr>
          <w:t xml:space="preserve"> 10.</w:t>
        </w:r>
        <w:r w:rsidR="000B078F" w:rsidRPr="00EE0850">
          <w:rPr>
            <w:rFonts w:asciiTheme="minorHAnsi" w:eastAsiaTheme="minorEastAsia" w:hAnsiTheme="minorHAnsi" w:cstheme="minorBidi"/>
            <w:lang w:val="en-CA" w:eastAsia="en-CA"/>
          </w:rPr>
          <w:tab/>
        </w:r>
        <w:r w:rsidR="000B078F" w:rsidRPr="00EE0850">
          <w:rPr>
            <w:rStyle w:val="Hyperlink"/>
          </w:rPr>
          <w:t>The Access and Benefit-sharing Clearing-House and information-sharing (Article 14)</w:t>
        </w:r>
        <w:r w:rsidR="000B078F" w:rsidRPr="00EE0850">
          <w:rPr>
            <w:webHidden/>
          </w:rPr>
          <w:tab/>
        </w:r>
        <w:r w:rsidR="00C5397F" w:rsidRPr="00EE0850">
          <w:rPr>
            <w:webHidden/>
          </w:rPr>
          <w:tab/>
        </w:r>
        <w:r w:rsidR="000B078F" w:rsidRPr="00EE0850">
          <w:rPr>
            <w:webHidden/>
          </w:rPr>
          <w:fldChar w:fldCharType="begin"/>
        </w:r>
        <w:r w:rsidR="000B078F" w:rsidRPr="00EE0850">
          <w:rPr>
            <w:webHidden/>
          </w:rPr>
          <w:instrText xml:space="preserve"> PAGEREF _Toc256227 \h </w:instrText>
        </w:r>
        <w:r w:rsidR="000B078F" w:rsidRPr="00EE0850">
          <w:rPr>
            <w:webHidden/>
          </w:rPr>
        </w:r>
        <w:r w:rsidR="000B078F" w:rsidRPr="00EE0850">
          <w:rPr>
            <w:webHidden/>
          </w:rPr>
          <w:fldChar w:fldCharType="separate"/>
        </w:r>
        <w:r w:rsidR="00DD1A58">
          <w:rPr>
            <w:webHidden/>
          </w:rPr>
          <w:t>53</w:t>
        </w:r>
        <w:r w:rsidR="000B078F" w:rsidRPr="00EE0850">
          <w:rPr>
            <w:webHidden/>
          </w:rPr>
          <w:fldChar w:fldCharType="end"/>
        </w:r>
      </w:hyperlink>
    </w:p>
    <w:p w14:paraId="5FA93497" w14:textId="10CDECC4"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28" w:history="1">
        <w:r w:rsidR="000B078F" w:rsidRPr="00EE0850">
          <w:rPr>
            <w:rStyle w:val="Hyperlink"/>
          </w:rPr>
          <w:t>I</w:t>
        </w:r>
        <w:r w:rsidR="00C5397F" w:rsidRPr="00EE0850">
          <w:rPr>
            <w:rStyle w:val="Hyperlink"/>
          </w:rPr>
          <w:t>tem</w:t>
        </w:r>
        <w:r w:rsidR="000B078F" w:rsidRPr="00EE0850">
          <w:rPr>
            <w:rStyle w:val="Hyperlink"/>
          </w:rPr>
          <w:t xml:space="preserve"> 11.</w:t>
        </w:r>
        <w:r w:rsidR="000B078F" w:rsidRPr="00EE0850">
          <w:rPr>
            <w:rFonts w:asciiTheme="minorHAnsi" w:eastAsiaTheme="minorEastAsia" w:hAnsiTheme="minorHAnsi" w:cstheme="minorBidi"/>
            <w:lang w:val="en-CA" w:eastAsia="en-CA"/>
          </w:rPr>
          <w:tab/>
        </w:r>
        <w:r w:rsidR="000B078F" w:rsidRPr="00EE0850">
          <w:rPr>
            <w:rStyle w:val="Hyperlink"/>
          </w:rPr>
          <w:t>Monitoring and reporting (Article 29)</w:t>
        </w:r>
        <w:r w:rsidR="000B078F" w:rsidRPr="00EE0850">
          <w:rPr>
            <w:webHidden/>
          </w:rPr>
          <w:tab/>
        </w:r>
        <w:r w:rsidR="000B078F" w:rsidRPr="00EE0850">
          <w:rPr>
            <w:webHidden/>
          </w:rPr>
          <w:fldChar w:fldCharType="begin"/>
        </w:r>
        <w:r w:rsidR="000B078F" w:rsidRPr="00EE0850">
          <w:rPr>
            <w:webHidden/>
          </w:rPr>
          <w:instrText xml:space="preserve"> PAGEREF _Toc256228 \h </w:instrText>
        </w:r>
        <w:r w:rsidR="000B078F" w:rsidRPr="00EE0850">
          <w:rPr>
            <w:webHidden/>
          </w:rPr>
        </w:r>
        <w:r w:rsidR="000B078F" w:rsidRPr="00EE0850">
          <w:rPr>
            <w:webHidden/>
          </w:rPr>
          <w:fldChar w:fldCharType="separate"/>
        </w:r>
        <w:r w:rsidR="00DD1A58">
          <w:rPr>
            <w:webHidden/>
          </w:rPr>
          <w:t>54</w:t>
        </w:r>
        <w:r w:rsidR="000B078F" w:rsidRPr="00EE0850">
          <w:rPr>
            <w:webHidden/>
          </w:rPr>
          <w:fldChar w:fldCharType="end"/>
        </w:r>
      </w:hyperlink>
    </w:p>
    <w:p w14:paraId="79536AC1" w14:textId="556DC027"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29" w:history="1">
        <w:r w:rsidR="000B078F" w:rsidRPr="00EE0850">
          <w:rPr>
            <w:rStyle w:val="Hyperlink"/>
          </w:rPr>
          <w:t>I</w:t>
        </w:r>
        <w:r w:rsidR="00C5397F" w:rsidRPr="00EE0850">
          <w:rPr>
            <w:rStyle w:val="Hyperlink"/>
          </w:rPr>
          <w:t>tem</w:t>
        </w:r>
        <w:r w:rsidR="000B078F" w:rsidRPr="00EE0850">
          <w:rPr>
            <w:rStyle w:val="Hyperlink"/>
          </w:rPr>
          <w:t xml:space="preserve"> 12.</w:t>
        </w:r>
        <w:r w:rsidR="000B078F" w:rsidRPr="00EE0850">
          <w:rPr>
            <w:rFonts w:asciiTheme="minorHAnsi" w:eastAsiaTheme="minorEastAsia" w:hAnsiTheme="minorHAnsi" w:cstheme="minorBidi"/>
            <w:lang w:val="en-CA" w:eastAsia="en-CA"/>
          </w:rPr>
          <w:tab/>
        </w:r>
        <w:r w:rsidR="000B078F" w:rsidRPr="00EE0850">
          <w:rPr>
            <w:rStyle w:val="Hyperlink"/>
          </w:rPr>
          <w:t>Measures to raise awareness of the importance of genetic resources and associated traditional knowledge (Article 21)</w:t>
        </w:r>
        <w:r w:rsidR="000B078F" w:rsidRPr="00EE0850">
          <w:rPr>
            <w:webHidden/>
          </w:rPr>
          <w:tab/>
        </w:r>
        <w:r w:rsidR="000B078F" w:rsidRPr="00EE0850">
          <w:rPr>
            <w:webHidden/>
          </w:rPr>
          <w:fldChar w:fldCharType="begin"/>
        </w:r>
        <w:r w:rsidR="000B078F" w:rsidRPr="00EE0850">
          <w:rPr>
            <w:webHidden/>
          </w:rPr>
          <w:instrText xml:space="preserve"> PAGEREF _Toc256229 \h </w:instrText>
        </w:r>
        <w:r w:rsidR="000B078F" w:rsidRPr="00EE0850">
          <w:rPr>
            <w:webHidden/>
          </w:rPr>
        </w:r>
        <w:r w:rsidR="000B078F" w:rsidRPr="00EE0850">
          <w:rPr>
            <w:webHidden/>
          </w:rPr>
          <w:fldChar w:fldCharType="separate"/>
        </w:r>
        <w:r w:rsidR="00DD1A58">
          <w:rPr>
            <w:webHidden/>
          </w:rPr>
          <w:t>54</w:t>
        </w:r>
        <w:r w:rsidR="000B078F" w:rsidRPr="00EE0850">
          <w:rPr>
            <w:webHidden/>
          </w:rPr>
          <w:fldChar w:fldCharType="end"/>
        </w:r>
      </w:hyperlink>
    </w:p>
    <w:p w14:paraId="10336F85" w14:textId="59E2F6C0"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0" w:history="1">
        <w:r w:rsidR="000B078F" w:rsidRPr="00EE0850">
          <w:rPr>
            <w:rStyle w:val="Hyperlink"/>
          </w:rPr>
          <w:t>I</w:t>
        </w:r>
        <w:r w:rsidR="00C5397F" w:rsidRPr="00EE0850">
          <w:rPr>
            <w:rStyle w:val="Hyperlink"/>
          </w:rPr>
          <w:t>tem</w:t>
        </w:r>
        <w:r w:rsidR="000B078F" w:rsidRPr="00EE0850">
          <w:rPr>
            <w:rStyle w:val="Hyperlink"/>
          </w:rPr>
          <w:t xml:space="preserve"> 13.</w:t>
        </w:r>
        <w:r w:rsidR="000B078F" w:rsidRPr="00EE0850">
          <w:rPr>
            <w:rFonts w:asciiTheme="minorHAnsi" w:eastAsiaTheme="minorEastAsia" w:hAnsiTheme="minorHAnsi" w:cstheme="minorBidi"/>
            <w:lang w:val="en-CA" w:eastAsia="en-CA"/>
          </w:rPr>
          <w:tab/>
        </w:r>
        <w:r w:rsidR="000B078F" w:rsidRPr="00EE0850">
          <w:rPr>
            <w:rStyle w:val="Hyperlink"/>
          </w:rPr>
          <w:t>Enhancing integration under the Convention and its Protocols with respect to provisions related to access and benefit-sharing</w:t>
        </w:r>
        <w:r w:rsidR="000B078F" w:rsidRPr="00EE0850">
          <w:rPr>
            <w:webHidden/>
          </w:rPr>
          <w:tab/>
        </w:r>
        <w:r w:rsidR="000B078F" w:rsidRPr="00EE0850">
          <w:rPr>
            <w:webHidden/>
          </w:rPr>
          <w:fldChar w:fldCharType="begin"/>
        </w:r>
        <w:r w:rsidR="000B078F" w:rsidRPr="00EE0850">
          <w:rPr>
            <w:webHidden/>
          </w:rPr>
          <w:instrText xml:space="preserve"> PAGEREF _Toc256230 \h </w:instrText>
        </w:r>
        <w:r w:rsidR="000B078F" w:rsidRPr="00EE0850">
          <w:rPr>
            <w:webHidden/>
          </w:rPr>
        </w:r>
        <w:r w:rsidR="000B078F" w:rsidRPr="00EE0850">
          <w:rPr>
            <w:webHidden/>
          </w:rPr>
          <w:fldChar w:fldCharType="separate"/>
        </w:r>
        <w:r w:rsidR="00DD1A58">
          <w:rPr>
            <w:webHidden/>
          </w:rPr>
          <w:t>55</w:t>
        </w:r>
        <w:r w:rsidR="000B078F" w:rsidRPr="00EE0850">
          <w:rPr>
            <w:webHidden/>
          </w:rPr>
          <w:fldChar w:fldCharType="end"/>
        </w:r>
      </w:hyperlink>
    </w:p>
    <w:p w14:paraId="2049E91B" w14:textId="4FFF6377"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1" w:history="1">
        <w:r w:rsidR="000B078F" w:rsidRPr="00EE0850">
          <w:rPr>
            <w:rStyle w:val="Hyperlink"/>
          </w:rPr>
          <w:t>I</w:t>
        </w:r>
        <w:r w:rsidR="00C5397F" w:rsidRPr="00EE0850">
          <w:rPr>
            <w:rStyle w:val="Hyperlink"/>
          </w:rPr>
          <w:t>tem</w:t>
        </w:r>
        <w:r w:rsidR="000B078F" w:rsidRPr="00EE0850">
          <w:rPr>
            <w:rStyle w:val="Hyperlink"/>
          </w:rPr>
          <w:t xml:space="preserve"> 14.</w:t>
        </w:r>
        <w:r w:rsidR="000B078F" w:rsidRPr="00EE0850">
          <w:rPr>
            <w:rFonts w:asciiTheme="minorHAnsi" w:eastAsiaTheme="minorEastAsia" w:hAnsiTheme="minorHAnsi" w:cstheme="minorBidi"/>
            <w:lang w:val="en-CA" w:eastAsia="en-CA"/>
          </w:rPr>
          <w:tab/>
        </w:r>
        <w:r w:rsidR="000B078F" w:rsidRPr="00EE0850">
          <w:rPr>
            <w:rStyle w:val="Hyperlink"/>
          </w:rPr>
          <w:t>Cooperation with other international organizations, conventions and initiatives</w:t>
        </w:r>
        <w:r w:rsidR="000B078F" w:rsidRPr="00EE0850">
          <w:rPr>
            <w:webHidden/>
          </w:rPr>
          <w:tab/>
        </w:r>
        <w:r w:rsidR="000B078F" w:rsidRPr="00EE0850">
          <w:rPr>
            <w:webHidden/>
          </w:rPr>
          <w:fldChar w:fldCharType="begin"/>
        </w:r>
        <w:r w:rsidR="000B078F" w:rsidRPr="00EE0850">
          <w:rPr>
            <w:webHidden/>
          </w:rPr>
          <w:instrText xml:space="preserve"> PAGEREF _Toc256231 \h </w:instrText>
        </w:r>
        <w:r w:rsidR="000B078F" w:rsidRPr="00EE0850">
          <w:rPr>
            <w:webHidden/>
          </w:rPr>
        </w:r>
        <w:r w:rsidR="000B078F" w:rsidRPr="00EE0850">
          <w:rPr>
            <w:webHidden/>
          </w:rPr>
          <w:fldChar w:fldCharType="separate"/>
        </w:r>
        <w:r w:rsidR="00DD1A58">
          <w:rPr>
            <w:webHidden/>
          </w:rPr>
          <w:t>55</w:t>
        </w:r>
        <w:r w:rsidR="000B078F" w:rsidRPr="00EE0850">
          <w:rPr>
            <w:webHidden/>
          </w:rPr>
          <w:fldChar w:fldCharType="end"/>
        </w:r>
      </w:hyperlink>
    </w:p>
    <w:p w14:paraId="4E807598" w14:textId="0DF90D91"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2" w:history="1">
        <w:r w:rsidR="000B078F" w:rsidRPr="00EE0850">
          <w:rPr>
            <w:rStyle w:val="Hyperlink"/>
          </w:rPr>
          <w:t>I</w:t>
        </w:r>
        <w:r w:rsidR="00C5397F" w:rsidRPr="00EE0850">
          <w:rPr>
            <w:rStyle w:val="Hyperlink"/>
          </w:rPr>
          <w:t>tem</w:t>
        </w:r>
        <w:r w:rsidR="000B078F" w:rsidRPr="00EE0850">
          <w:rPr>
            <w:rStyle w:val="Hyperlink"/>
          </w:rPr>
          <w:t xml:space="preserve"> 15.</w:t>
        </w:r>
        <w:r w:rsidR="000B078F" w:rsidRPr="00EE0850">
          <w:rPr>
            <w:rFonts w:asciiTheme="minorHAnsi" w:eastAsiaTheme="minorEastAsia" w:hAnsiTheme="minorHAnsi" w:cstheme="minorBidi"/>
            <w:lang w:val="en-CA" w:eastAsia="en-CA"/>
          </w:rPr>
          <w:tab/>
        </w:r>
        <w:r w:rsidR="000B078F" w:rsidRPr="00EE0850">
          <w:rPr>
            <w:rStyle w:val="Hyperlink"/>
          </w:rPr>
          <w:t>Review of the effectiveness of structures and processes</w:t>
        </w:r>
        <w:r w:rsidR="000B078F" w:rsidRPr="00EE0850">
          <w:rPr>
            <w:webHidden/>
          </w:rPr>
          <w:tab/>
        </w:r>
        <w:r w:rsidR="000B078F" w:rsidRPr="00EE0850">
          <w:rPr>
            <w:webHidden/>
          </w:rPr>
          <w:fldChar w:fldCharType="begin"/>
        </w:r>
        <w:r w:rsidR="000B078F" w:rsidRPr="00EE0850">
          <w:rPr>
            <w:webHidden/>
          </w:rPr>
          <w:instrText xml:space="preserve"> PAGEREF _Toc256232 \h </w:instrText>
        </w:r>
        <w:r w:rsidR="000B078F" w:rsidRPr="00EE0850">
          <w:rPr>
            <w:webHidden/>
          </w:rPr>
        </w:r>
        <w:r w:rsidR="000B078F" w:rsidRPr="00EE0850">
          <w:rPr>
            <w:webHidden/>
          </w:rPr>
          <w:fldChar w:fldCharType="separate"/>
        </w:r>
        <w:r w:rsidR="00DD1A58">
          <w:rPr>
            <w:webHidden/>
          </w:rPr>
          <w:t>56</w:t>
        </w:r>
        <w:r w:rsidR="000B078F" w:rsidRPr="00EE0850">
          <w:rPr>
            <w:webHidden/>
          </w:rPr>
          <w:fldChar w:fldCharType="end"/>
        </w:r>
      </w:hyperlink>
    </w:p>
    <w:p w14:paraId="312C1851" w14:textId="4D35852F"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3" w:history="1">
        <w:r w:rsidR="000B078F" w:rsidRPr="00EE0850">
          <w:rPr>
            <w:rStyle w:val="Hyperlink"/>
          </w:rPr>
          <w:t>I</w:t>
        </w:r>
        <w:r w:rsidR="00C5397F" w:rsidRPr="00EE0850">
          <w:rPr>
            <w:rStyle w:val="Hyperlink"/>
          </w:rPr>
          <w:t>tem</w:t>
        </w:r>
        <w:r w:rsidR="000B078F" w:rsidRPr="00EE0850">
          <w:rPr>
            <w:rStyle w:val="Hyperlink"/>
          </w:rPr>
          <w:t xml:space="preserve"> 16.</w:t>
        </w:r>
        <w:r w:rsidR="000B078F" w:rsidRPr="00EE0850">
          <w:rPr>
            <w:rFonts w:asciiTheme="minorHAnsi" w:eastAsiaTheme="minorEastAsia" w:hAnsiTheme="minorHAnsi" w:cstheme="minorBidi"/>
            <w:lang w:val="en-CA" w:eastAsia="en-CA"/>
          </w:rPr>
          <w:tab/>
        </w:r>
        <w:r w:rsidR="000B078F" w:rsidRPr="00EE0850">
          <w:rPr>
            <w:rStyle w:val="Hyperlink"/>
          </w:rPr>
          <w:t>P</w:t>
        </w:r>
        <w:r w:rsidR="00C5397F" w:rsidRPr="00EE0850">
          <w:rPr>
            <w:rStyle w:val="Hyperlink"/>
          </w:rPr>
          <w:t>reparation for the follow-up to the Strategic Plan for Biodiversity 2011-2020</w:t>
        </w:r>
        <w:r w:rsidR="000B078F" w:rsidRPr="00EE0850">
          <w:rPr>
            <w:webHidden/>
          </w:rPr>
          <w:tab/>
        </w:r>
        <w:r w:rsidR="000B078F" w:rsidRPr="00EE0850">
          <w:rPr>
            <w:webHidden/>
          </w:rPr>
          <w:fldChar w:fldCharType="begin"/>
        </w:r>
        <w:r w:rsidR="000B078F" w:rsidRPr="00EE0850">
          <w:rPr>
            <w:webHidden/>
          </w:rPr>
          <w:instrText xml:space="preserve"> PAGEREF _Toc256233 \h </w:instrText>
        </w:r>
        <w:r w:rsidR="000B078F" w:rsidRPr="00EE0850">
          <w:rPr>
            <w:webHidden/>
          </w:rPr>
        </w:r>
        <w:r w:rsidR="000B078F" w:rsidRPr="00EE0850">
          <w:rPr>
            <w:webHidden/>
          </w:rPr>
          <w:fldChar w:fldCharType="separate"/>
        </w:r>
        <w:r w:rsidR="00DD1A58">
          <w:rPr>
            <w:webHidden/>
          </w:rPr>
          <w:t>57</w:t>
        </w:r>
        <w:r w:rsidR="000B078F" w:rsidRPr="00EE0850">
          <w:rPr>
            <w:webHidden/>
          </w:rPr>
          <w:fldChar w:fldCharType="end"/>
        </w:r>
      </w:hyperlink>
    </w:p>
    <w:p w14:paraId="03ADBBF0" w14:textId="01E0B501"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4" w:history="1">
        <w:r w:rsidR="000B078F" w:rsidRPr="00EE0850">
          <w:rPr>
            <w:rStyle w:val="Hyperlink"/>
          </w:rPr>
          <w:t>I</w:t>
        </w:r>
        <w:r w:rsidR="00C5397F" w:rsidRPr="00EE0850">
          <w:rPr>
            <w:rStyle w:val="Hyperlink"/>
          </w:rPr>
          <w:t>tem</w:t>
        </w:r>
        <w:r w:rsidR="000B078F" w:rsidRPr="00EE0850">
          <w:rPr>
            <w:rStyle w:val="Hyperlink"/>
          </w:rPr>
          <w:t xml:space="preserve"> 17.</w:t>
        </w:r>
        <w:r w:rsidR="000B078F" w:rsidRPr="00EE0850">
          <w:rPr>
            <w:rFonts w:asciiTheme="minorHAnsi" w:eastAsiaTheme="minorEastAsia" w:hAnsiTheme="minorHAnsi" w:cstheme="minorBidi"/>
            <w:lang w:val="en-CA" w:eastAsia="en-CA"/>
          </w:rPr>
          <w:tab/>
        </w:r>
        <w:r w:rsidR="000B078F" w:rsidRPr="00EE0850">
          <w:rPr>
            <w:rStyle w:val="Hyperlink"/>
          </w:rPr>
          <w:t>Digital sequence information on genetic resources</w:t>
        </w:r>
        <w:r w:rsidR="000B078F" w:rsidRPr="00EE0850">
          <w:rPr>
            <w:webHidden/>
          </w:rPr>
          <w:tab/>
        </w:r>
        <w:r w:rsidR="000B078F" w:rsidRPr="00EE0850">
          <w:rPr>
            <w:webHidden/>
          </w:rPr>
          <w:fldChar w:fldCharType="begin"/>
        </w:r>
        <w:r w:rsidR="000B078F" w:rsidRPr="00EE0850">
          <w:rPr>
            <w:webHidden/>
          </w:rPr>
          <w:instrText xml:space="preserve"> PAGEREF _Toc256234 \h </w:instrText>
        </w:r>
        <w:r w:rsidR="000B078F" w:rsidRPr="00EE0850">
          <w:rPr>
            <w:webHidden/>
          </w:rPr>
        </w:r>
        <w:r w:rsidR="000B078F" w:rsidRPr="00EE0850">
          <w:rPr>
            <w:webHidden/>
          </w:rPr>
          <w:fldChar w:fldCharType="separate"/>
        </w:r>
        <w:r w:rsidR="00DD1A58">
          <w:rPr>
            <w:webHidden/>
          </w:rPr>
          <w:t>58</w:t>
        </w:r>
        <w:r w:rsidR="000B078F" w:rsidRPr="00EE0850">
          <w:rPr>
            <w:webHidden/>
          </w:rPr>
          <w:fldChar w:fldCharType="end"/>
        </w:r>
      </w:hyperlink>
    </w:p>
    <w:p w14:paraId="3B0F97DE" w14:textId="4D199B97"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5" w:history="1">
        <w:r w:rsidR="000B078F" w:rsidRPr="00EE0850">
          <w:rPr>
            <w:rStyle w:val="Hyperlink"/>
          </w:rPr>
          <w:t>I</w:t>
        </w:r>
        <w:r w:rsidR="00C5397F" w:rsidRPr="00EE0850">
          <w:rPr>
            <w:rStyle w:val="Hyperlink"/>
          </w:rPr>
          <w:t>tem</w:t>
        </w:r>
        <w:r w:rsidR="000B078F" w:rsidRPr="00EE0850">
          <w:rPr>
            <w:rStyle w:val="Hyperlink"/>
          </w:rPr>
          <w:t xml:space="preserve"> 18.</w:t>
        </w:r>
        <w:r w:rsidR="000B078F" w:rsidRPr="00EE0850">
          <w:rPr>
            <w:rFonts w:asciiTheme="minorHAnsi" w:eastAsiaTheme="minorEastAsia" w:hAnsiTheme="minorHAnsi" w:cstheme="minorBidi"/>
            <w:lang w:val="en-CA" w:eastAsia="en-CA"/>
          </w:rPr>
          <w:tab/>
        </w:r>
        <w:r w:rsidR="000B078F" w:rsidRPr="00EE0850">
          <w:rPr>
            <w:rStyle w:val="Hyperlink"/>
            <w:iCs/>
          </w:rPr>
          <w:t xml:space="preserve">Specialized </w:t>
        </w:r>
        <w:r w:rsidR="000B078F" w:rsidRPr="00EE0850">
          <w:rPr>
            <w:rStyle w:val="Hyperlink"/>
          </w:rPr>
          <w:t>international</w:t>
        </w:r>
        <w:r w:rsidR="000B078F" w:rsidRPr="00EE0850">
          <w:rPr>
            <w:rStyle w:val="Hyperlink"/>
            <w:iCs/>
          </w:rPr>
          <w:t xml:space="preserve"> access and benefit-sharing instruments in the context of Article 4, paragraph 4, of the Nagoya Protocol</w:t>
        </w:r>
        <w:r w:rsidR="000B078F" w:rsidRPr="00EE0850">
          <w:rPr>
            <w:webHidden/>
          </w:rPr>
          <w:tab/>
        </w:r>
        <w:r w:rsidR="000B078F" w:rsidRPr="00EE0850">
          <w:rPr>
            <w:webHidden/>
          </w:rPr>
          <w:fldChar w:fldCharType="begin"/>
        </w:r>
        <w:r w:rsidR="000B078F" w:rsidRPr="00EE0850">
          <w:rPr>
            <w:webHidden/>
          </w:rPr>
          <w:instrText xml:space="preserve"> PAGEREF _Toc256235 \h </w:instrText>
        </w:r>
        <w:r w:rsidR="000B078F" w:rsidRPr="00EE0850">
          <w:rPr>
            <w:webHidden/>
          </w:rPr>
        </w:r>
        <w:r w:rsidR="000B078F" w:rsidRPr="00EE0850">
          <w:rPr>
            <w:webHidden/>
          </w:rPr>
          <w:fldChar w:fldCharType="separate"/>
        </w:r>
        <w:r w:rsidR="00DD1A58">
          <w:rPr>
            <w:webHidden/>
          </w:rPr>
          <w:t>59</w:t>
        </w:r>
        <w:r w:rsidR="000B078F" w:rsidRPr="00EE0850">
          <w:rPr>
            <w:webHidden/>
          </w:rPr>
          <w:fldChar w:fldCharType="end"/>
        </w:r>
      </w:hyperlink>
    </w:p>
    <w:p w14:paraId="6041E388" w14:textId="79514359"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6" w:history="1">
        <w:r w:rsidR="000B078F" w:rsidRPr="00EE0850">
          <w:rPr>
            <w:rStyle w:val="Hyperlink"/>
          </w:rPr>
          <w:t>I</w:t>
        </w:r>
        <w:r w:rsidR="00C5397F" w:rsidRPr="00EE0850">
          <w:rPr>
            <w:rStyle w:val="Hyperlink"/>
          </w:rPr>
          <w:t>tem</w:t>
        </w:r>
        <w:r w:rsidR="000B078F" w:rsidRPr="00EE0850">
          <w:rPr>
            <w:rStyle w:val="Hyperlink"/>
          </w:rPr>
          <w:t xml:space="preserve"> 19.</w:t>
        </w:r>
        <w:r w:rsidR="000B078F" w:rsidRPr="00EE0850">
          <w:rPr>
            <w:rFonts w:asciiTheme="minorHAnsi" w:eastAsiaTheme="minorEastAsia" w:hAnsiTheme="minorHAnsi" w:cstheme="minorBidi"/>
            <w:lang w:val="en-CA" w:eastAsia="en-CA"/>
          </w:rPr>
          <w:tab/>
        </w:r>
        <w:r w:rsidR="000B078F" w:rsidRPr="00EE0850">
          <w:rPr>
            <w:rStyle w:val="Hyperlink"/>
          </w:rPr>
          <w:t>Global multilateral benefit-sharing mechanism (Article 10)</w:t>
        </w:r>
        <w:r w:rsidR="000B078F" w:rsidRPr="00EE0850">
          <w:rPr>
            <w:webHidden/>
          </w:rPr>
          <w:tab/>
        </w:r>
        <w:r w:rsidR="000B078F" w:rsidRPr="00EE0850">
          <w:rPr>
            <w:webHidden/>
          </w:rPr>
          <w:fldChar w:fldCharType="begin"/>
        </w:r>
        <w:r w:rsidR="000B078F" w:rsidRPr="00EE0850">
          <w:rPr>
            <w:webHidden/>
          </w:rPr>
          <w:instrText xml:space="preserve"> PAGEREF _Toc256236 \h </w:instrText>
        </w:r>
        <w:r w:rsidR="000B078F" w:rsidRPr="00EE0850">
          <w:rPr>
            <w:webHidden/>
          </w:rPr>
        </w:r>
        <w:r w:rsidR="000B078F" w:rsidRPr="00EE0850">
          <w:rPr>
            <w:webHidden/>
          </w:rPr>
          <w:fldChar w:fldCharType="separate"/>
        </w:r>
        <w:r w:rsidR="00DD1A58">
          <w:rPr>
            <w:webHidden/>
          </w:rPr>
          <w:t>60</w:t>
        </w:r>
        <w:r w:rsidR="000B078F" w:rsidRPr="00EE0850">
          <w:rPr>
            <w:webHidden/>
          </w:rPr>
          <w:fldChar w:fldCharType="end"/>
        </w:r>
      </w:hyperlink>
    </w:p>
    <w:p w14:paraId="5AC2C7F9" w14:textId="612C43B7"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7" w:history="1">
        <w:r w:rsidR="000B078F" w:rsidRPr="00EE0850">
          <w:rPr>
            <w:rStyle w:val="Hyperlink"/>
          </w:rPr>
          <w:t>I</w:t>
        </w:r>
        <w:r w:rsidR="00C5397F" w:rsidRPr="00EE0850">
          <w:rPr>
            <w:rStyle w:val="Hyperlink"/>
          </w:rPr>
          <w:t>tem</w:t>
        </w:r>
        <w:r w:rsidR="000B078F" w:rsidRPr="00EE0850">
          <w:rPr>
            <w:rStyle w:val="Hyperlink"/>
          </w:rPr>
          <w:t xml:space="preserve"> 20.</w:t>
        </w:r>
        <w:r w:rsidR="000B078F" w:rsidRPr="00EE0850">
          <w:rPr>
            <w:rFonts w:asciiTheme="minorHAnsi" w:eastAsiaTheme="minorEastAsia" w:hAnsiTheme="minorHAnsi" w:cstheme="minorBidi"/>
            <w:lang w:val="en-CA" w:eastAsia="en-CA"/>
          </w:rPr>
          <w:tab/>
        </w:r>
        <w:r w:rsidR="000B078F" w:rsidRPr="00EE0850">
          <w:rPr>
            <w:rStyle w:val="Hyperlink"/>
          </w:rPr>
          <w:t>O</w:t>
        </w:r>
        <w:r w:rsidR="00C5397F" w:rsidRPr="00EE0850">
          <w:rPr>
            <w:rStyle w:val="Hyperlink"/>
          </w:rPr>
          <w:t>ther matters</w:t>
        </w:r>
        <w:r w:rsidR="000B078F" w:rsidRPr="00EE0850">
          <w:rPr>
            <w:webHidden/>
          </w:rPr>
          <w:tab/>
        </w:r>
        <w:r w:rsidR="000B078F" w:rsidRPr="00EE0850">
          <w:rPr>
            <w:webHidden/>
          </w:rPr>
          <w:fldChar w:fldCharType="begin"/>
        </w:r>
        <w:r w:rsidR="000B078F" w:rsidRPr="00EE0850">
          <w:rPr>
            <w:webHidden/>
          </w:rPr>
          <w:instrText xml:space="preserve"> PAGEREF _Toc256237 \h </w:instrText>
        </w:r>
        <w:r w:rsidR="000B078F" w:rsidRPr="00EE0850">
          <w:rPr>
            <w:webHidden/>
          </w:rPr>
        </w:r>
        <w:r w:rsidR="000B078F" w:rsidRPr="00EE0850">
          <w:rPr>
            <w:webHidden/>
          </w:rPr>
          <w:fldChar w:fldCharType="separate"/>
        </w:r>
        <w:r w:rsidR="00DD1A58">
          <w:rPr>
            <w:webHidden/>
          </w:rPr>
          <w:t>60</w:t>
        </w:r>
        <w:r w:rsidR="000B078F" w:rsidRPr="00EE0850">
          <w:rPr>
            <w:webHidden/>
          </w:rPr>
          <w:fldChar w:fldCharType="end"/>
        </w:r>
      </w:hyperlink>
    </w:p>
    <w:p w14:paraId="7D7E870D" w14:textId="3836F6FB"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8" w:history="1">
        <w:r w:rsidR="000B078F" w:rsidRPr="00EE0850">
          <w:rPr>
            <w:rStyle w:val="Hyperlink"/>
          </w:rPr>
          <w:t>I</w:t>
        </w:r>
        <w:r w:rsidR="00C5397F" w:rsidRPr="00EE0850">
          <w:rPr>
            <w:rStyle w:val="Hyperlink"/>
          </w:rPr>
          <w:t>tem</w:t>
        </w:r>
        <w:r w:rsidR="000B078F" w:rsidRPr="00EE0850">
          <w:rPr>
            <w:rStyle w:val="Hyperlink"/>
          </w:rPr>
          <w:t xml:space="preserve"> 21.</w:t>
        </w:r>
        <w:r w:rsidR="000B078F" w:rsidRPr="00EE0850">
          <w:rPr>
            <w:rFonts w:asciiTheme="minorHAnsi" w:eastAsiaTheme="minorEastAsia" w:hAnsiTheme="minorHAnsi" w:cstheme="minorBidi"/>
            <w:lang w:val="en-CA" w:eastAsia="en-CA"/>
          </w:rPr>
          <w:tab/>
        </w:r>
        <w:r w:rsidR="000B078F" w:rsidRPr="00EE0850">
          <w:rPr>
            <w:rStyle w:val="Hyperlink"/>
          </w:rPr>
          <w:t>A</w:t>
        </w:r>
        <w:r w:rsidR="00C5397F" w:rsidRPr="00EE0850">
          <w:rPr>
            <w:rStyle w:val="Hyperlink"/>
          </w:rPr>
          <w:t>doption of the report</w:t>
        </w:r>
        <w:r w:rsidR="000B078F" w:rsidRPr="00EE0850">
          <w:rPr>
            <w:webHidden/>
          </w:rPr>
          <w:tab/>
        </w:r>
        <w:r w:rsidR="000B078F" w:rsidRPr="00EE0850">
          <w:rPr>
            <w:webHidden/>
          </w:rPr>
          <w:fldChar w:fldCharType="begin"/>
        </w:r>
        <w:r w:rsidR="000B078F" w:rsidRPr="00EE0850">
          <w:rPr>
            <w:webHidden/>
          </w:rPr>
          <w:instrText xml:space="preserve"> PAGEREF _Toc256238 \h </w:instrText>
        </w:r>
        <w:r w:rsidR="000B078F" w:rsidRPr="00EE0850">
          <w:rPr>
            <w:webHidden/>
          </w:rPr>
        </w:r>
        <w:r w:rsidR="000B078F" w:rsidRPr="00EE0850">
          <w:rPr>
            <w:webHidden/>
          </w:rPr>
          <w:fldChar w:fldCharType="separate"/>
        </w:r>
        <w:r w:rsidR="00DD1A58">
          <w:rPr>
            <w:webHidden/>
          </w:rPr>
          <w:t>60</w:t>
        </w:r>
        <w:r w:rsidR="000B078F" w:rsidRPr="00EE0850">
          <w:rPr>
            <w:webHidden/>
          </w:rPr>
          <w:fldChar w:fldCharType="end"/>
        </w:r>
      </w:hyperlink>
    </w:p>
    <w:p w14:paraId="7A0FF7A1" w14:textId="132B8708" w:rsidR="000B078F" w:rsidRPr="00EE0850" w:rsidRDefault="003A38BC" w:rsidP="00D006F2">
      <w:pPr>
        <w:pStyle w:val="TOC2"/>
        <w:spacing w:line="240" w:lineRule="auto"/>
        <w:rPr>
          <w:rFonts w:asciiTheme="minorHAnsi" w:eastAsiaTheme="minorEastAsia" w:hAnsiTheme="minorHAnsi" w:cstheme="minorBidi"/>
          <w:lang w:val="en-CA" w:eastAsia="en-CA"/>
        </w:rPr>
      </w:pPr>
      <w:hyperlink w:anchor="_Toc256239" w:history="1">
        <w:r w:rsidR="000B078F" w:rsidRPr="00EE0850">
          <w:rPr>
            <w:rStyle w:val="Hyperlink"/>
          </w:rPr>
          <w:t>I</w:t>
        </w:r>
        <w:r w:rsidR="00C5397F" w:rsidRPr="00EE0850">
          <w:rPr>
            <w:rStyle w:val="Hyperlink"/>
          </w:rPr>
          <w:t>tem</w:t>
        </w:r>
        <w:r w:rsidR="000B078F" w:rsidRPr="00EE0850">
          <w:rPr>
            <w:rStyle w:val="Hyperlink"/>
          </w:rPr>
          <w:t xml:space="preserve"> 22.</w:t>
        </w:r>
        <w:r w:rsidR="000B078F" w:rsidRPr="00EE0850">
          <w:rPr>
            <w:rFonts w:asciiTheme="minorHAnsi" w:eastAsiaTheme="minorEastAsia" w:hAnsiTheme="minorHAnsi" w:cstheme="minorBidi"/>
            <w:lang w:val="en-CA" w:eastAsia="en-CA"/>
          </w:rPr>
          <w:tab/>
        </w:r>
        <w:r w:rsidR="000B078F" w:rsidRPr="00EE0850">
          <w:rPr>
            <w:rStyle w:val="Hyperlink"/>
          </w:rPr>
          <w:t>C</w:t>
        </w:r>
        <w:r w:rsidR="00C5397F" w:rsidRPr="00EE0850">
          <w:rPr>
            <w:rStyle w:val="Hyperlink"/>
          </w:rPr>
          <w:t>losure of the meeting</w:t>
        </w:r>
        <w:r w:rsidR="000B078F" w:rsidRPr="00EE0850">
          <w:rPr>
            <w:webHidden/>
          </w:rPr>
          <w:tab/>
        </w:r>
        <w:r w:rsidR="000B078F" w:rsidRPr="00EE0850">
          <w:rPr>
            <w:webHidden/>
          </w:rPr>
          <w:fldChar w:fldCharType="begin"/>
        </w:r>
        <w:r w:rsidR="000B078F" w:rsidRPr="00EE0850">
          <w:rPr>
            <w:webHidden/>
          </w:rPr>
          <w:instrText xml:space="preserve"> PAGEREF _Toc256239 \h </w:instrText>
        </w:r>
        <w:r w:rsidR="000B078F" w:rsidRPr="00EE0850">
          <w:rPr>
            <w:webHidden/>
          </w:rPr>
        </w:r>
        <w:r w:rsidR="000B078F" w:rsidRPr="00EE0850">
          <w:rPr>
            <w:webHidden/>
          </w:rPr>
          <w:fldChar w:fldCharType="separate"/>
        </w:r>
        <w:r w:rsidR="00DD1A58">
          <w:rPr>
            <w:webHidden/>
          </w:rPr>
          <w:t>60</w:t>
        </w:r>
        <w:r w:rsidR="000B078F" w:rsidRPr="00EE0850">
          <w:rPr>
            <w:webHidden/>
          </w:rPr>
          <w:fldChar w:fldCharType="end"/>
        </w:r>
      </w:hyperlink>
    </w:p>
    <w:p w14:paraId="1EAEDF96" w14:textId="64444EF4" w:rsidR="000B078F" w:rsidRPr="00EE0850" w:rsidRDefault="000B078F" w:rsidP="000C6220">
      <w:pPr>
        <w:spacing w:line="240" w:lineRule="auto"/>
        <w:jc w:val="left"/>
      </w:pPr>
      <w:r w:rsidRPr="00EE0850">
        <w:fldChar w:fldCharType="end"/>
      </w:r>
    </w:p>
    <w:p w14:paraId="0E76495A" w14:textId="2A65CE7A" w:rsidR="000B078F" w:rsidRPr="00EE0850" w:rsidRDefault="000B078F" w:rsidP="000C6220">
      <w:pPr>
        <w:spacing w:line="240" w:lineRule="auto"/>
        <w:jc w:val="left"/>
      </w:pPr>
      <w:r w:rsidRPr="00EE0850">
        <w:br w:type="page"/>
      </w:r>
    </w:p>
    <w:p w14:paraId="706A55DF" w14:textId="77777777" w:rsidR="00F729B5" w:rsidRPr="00EE0850" w:rsidRDefault="00F729B5" w:rsidP="000C6220">
      <w:pPr>
        <w:pStyle w:val="Heading1report"/>
        <w:tabs>
          <w:tab w:val="left" w:pos="709"/>
        </w:tabs>
        <w:spacing w:before="0" w:after="240" w:line="240" w:lineRule="auto"/>
        <w:ind w:left="1077"/>
      </w:pPr>
      <w:bookmarkStart w:id="1" w:name="_Toc256200"/>
      <w:r w:rsidRPr="00EE0850">
        <w:t>DECISIONS</w:t>
      </w:r>
      <w:bookmarkEnd w:id="1"/>
    </w:p>
    <w:p w14:paraId="42F3D629" w14:textId="328F0A7B" w:rsidR="009F5D7B" w:rsidRPr="00EE0850" w:rsidRDefault="009F5D7B" w:rsidP="000C6220">
      <w:pPr>
        <w:pStyle w:val="recommendationheader"/>
        <w:spacing w:line="240" w:lineRule="auto"/>
        <w:rPr>
          <w:caps/>
          <w:kern w:val="22"/>
        </w:rPr>
      </w:pPr>
      <w:bookmarkStart w:id="2" w:name="_Toc256201"/>
      <w:r w:rsidRPr="00EE0850">
        <w:rPr>
          <w:kern w:val="22"/>
        </w:rPr>
        <w:t>3/1.</w:t>
      </w:r>
      <w:r w:rsidRPr="00EE0850">
        <w:rPr>
          <w:kern w:val="22"/>
        </w:rPr>
        <w:tab/>
        <w:t>Assessment and review of the effectiveness of the Protocol (Article 31)</w:t>
      </w:r>
      <w:bookmarkEnd w:id="2"/>
    </w:p>
    <w:p w14:paraId="1F6BB89D" w14:textId="77777777" w:rsidR="009F5D7B" w:rsidRPr="00EE0850" w:rsidRDefault="009F5D7B" w:rsidP="000C6220">
      <w:pPr>
        <w:pStyle w:val="ListParagraph"/>
        <w:keepNext/>
        <w:numPr>
          <w:ilvl w:val="0"/>
          <w:numId w:val="55"/>
        </w:numPr>
        <w:spacing w:before="120" w:line="240" w:lineRule="auto"/>
        <w:ind w:left="0" w:hanging="11"/>
        <w:contextualSpacing w:val="0"/>
        <w:jc w:val="center"/>
        <w:rPr>
          <w:b/>
          <w:snapToGrid w:val="0"/>
          <w:kern w:val="22"/>
          <w:szCs w:val="22"/>
          <w:lang w:eastAsia="x-none"/>
        </w:rPr>
      </w:pPr>
      <w:r w:rsidRPr="00EE0850">
        <w:rPr>
          <w:b/>
          <w:snapToGrid w:val="0"/>
          <w:kern w:val="22"/>
          <w:szCs w:val="22"/>
          <w:lang w:eastAsia="en-CA"/>
        </w:rPr>
        <w:t>First assessment and review of the effectiveness of the Protocol</w:t>
      </w:r>
    </w:p>
    <w:p w14:paraId="02963116" w14:textId="77777777" w:rsidR="009F5D7B" w:rsidRPr="00EE0850" w:rsidDel="005A70F4" w:rsidRDefault="009F5D7B" w:rsidP="000C6220">
      <w:pPr>
        <w:suppressLineNumbers/>
        <w:suppressAutoHyphens/>
        <w:kinsoku w:val="0"/>
        <w:overflowPunct w:val="0"/>
        <w:autoSpaceDE w:val="0"/>
        <w:autoSpaceDN w:val="0"/>
        <w:adjustRightInd w:val="0"/>
        <w:snapToGrid w:val="0"/>
        <w:spacing w:before="120" w:line="240" w:lineRule="auto"/>
        <w:ind w:firstLine="720"/>
        <w:rPr>
          <w:i/>
          <w:kern w:val="22"/>
          <w:szCs w:val="22"/>
          <w:lang w:eastAsia="x-none"/>
        </w:rPr>
      </w:pPr>
      <w:r w:rsidRPr="00EE0850" w:rsidDel="005A70F4">
        <w:rPr>
          <w:i/>
          <w:kern w:val="22"/>
          <w:szCs w:val="22"/>
          <w:lang w:eastAsia="x-none"/>
        </w:rPr>
        <w:t>The Conference of the Parties serving as the meeting of the Parties to the Nagoya Protocol</w:t>
      </w:r>
    </w:p>
    <w:p w14:paraId="56E5C87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w:t>
      </w:r>
      <w:r w:rsidRPr="00EE0850">
        <w:rPr>
          <w:rFonts w:eastAsia="Calibri"/>
          <w:kern w:val="22"/>
          <w:szCs w:val="22"/>
          <w:lang w:eastAsia="x-none"/>
        </w:rPr>
        <w:tab/>
      </w:r>
      <w:r w:rsidRPr="00EE0850">
        <w:rPr>
          <w:rFonts w:eastAsia="Calibri"/>
          <w:i/>
          <w:kern w:val="22"/>
          <w:szCs w:val="22"/>
          <w:lang w:eastAsia="x-none"/>
        </w:rPr>
        <w:t>Takes note</w:t>
      </w:r>
      <w:r w:rsidRPr="00EE0850">
        <w:rPr>
          <w:rFonts w:eastAsia="Calibri"/>
          <w:kern w:val="22"/>
          <w:szCs w:val="22"/>
          <w:lang w:eastAsia="x-none"/>
        </w:rPr>
        <w:t xml:space="preserve"> of the key findings of the first assessment and review of the Protocol contained in annex I, which includes the input provided by the Compliance Committee;</w:t>
      </w:r>
    </w:p>
    <w:p w14:paraId="4849901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2.</w:t>
      </w:r>
      <w:r w:rsidRPr="00EE0850">
        <w:rPr>
          <w:rFonts w:eastAsia="Calibri"/>
          <w:kern w:val="22"/>
          <w:szCs w:val="22"/>
          <w:lang w:eastAsia="x-none"/>
        </w:rPr>
        <w:tab/>
      </w:r>
      <w:r w:rsidRPr="00EE0850">
        <w:rPr>
          <w:rFonts w:eastAsia="Calibri"/>
          <w:i/>
          <w:kern w:val="22"/>
          <w:szCs w:val="22"/>
          <w:lang w:eastAsia="x-none"/>
        </w:rPr>
        <w:t xml:space="preserve">Welcomes </w:t>
      </w:r>
      <w:r w:rsidRPr="00EE0850">
        <w:rPr>
          <w:rFonts w:eastAsia="Calibri"/>
          <w:kern w:val="22"/>
          <w:szCs w:val="22"/>
          <w:lang w:eastAsia="x-none"/>
        </w:rPr>
        <w:t xml:space="preserve">the framework of indicators in annex II, and </w:t>
      </w:r>
      <w:r w:rsidRPr="00EE0850">
        <w:rPr>
          <w:rFonts w:eastAsia="Calibri"/>
          <w:i/>
          <w:kern w:val="22"/>
          <w:szCs w:val="22"/>
          <w:lang w:eastAsia="x-none"/>
        </w:rPr>
        <w:t>agrees</w:t>
      </w:r>
      <w:r w:rsidRPr="00EE0850">
        <w:rPr>
          <w:rFonts w:eastAsia="Calibri"/>
          <w:kern w:val="22"/>
          <w:szCs w:val="22"/>
          <w:lang w:eastAsia="x-none"/>
        </w:rPr>
        <w:t xml:space="preserve"> to use the reference points contained therein as a baseline against which progress can be measured in the future;</w:t>
      </w:r>
    </w:p>
    <w:p w14:paraId="492AD9E4"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3.</w:t>
      </w:r>
      <w:r w:rsidRPr="00EE0850">
        <w:rPr>
          <w:rFonts w:eastAsia="Calibri"/>
          <w:kern w:val="22"/>
          <w:szCs w:val="22"/>
          <w:lang w:eastAsia="x-none"/>
        </w:rPr>
        <w:tab/>
      </w:r>
      <w:r w:rsidRPr="00EE0850">
        <w:rPr>
          <w:rFonts w:eastAsia="Calibri"/>
          <w:i/>
          <w:kern w:val="22"/>
          <w:szCs w:val="22"/>
          <w:lang w:eastAsia="x-none"/>
        </w:rPr>
        <w:t>Decides</w:t>
      </w:r>
      <w:r w:rsidRPr="00EE0850">
        <w:rPr>
          <w:rFonts w:eastAsia="Calibri"/>
          <w:kern w:val="22"/>
          <w:szCs w:val="22"/>
          <w:lang w:eastAsia="x-none"/>
        </w:rPr>
        <w:t xml:space="preserve"> to revisit and adapt the framework, as may be deemed appropriate in the light of further progress made with implementation;</w:t>
      </w:r>
    </w:p>
    <w:p w14:paraId="0BF5D77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kern w:val="22"/>
          <w:szCs w:val="22"/>
          <w:lang w:eastAsia="x-none"/>
        </w:rPr>
      </w:pPr>
      <w:r w:rsidRPr="00EE0850">
        <w:rPr>
          <w:rFonts w:eastAsia="Calibri"/>
          <w:kern w:val="22"/>
          <w:szCs w:val="22"/>
          <w:lang w:eastAsia="x-none"/>
        </w:rPr>
        <w:t>4.</w:t>
      </w:r>
      <w:r w:rsidRPr="00EE0850">
        <w:rPr>
          <w:rFonts w:eastAsia="Calibri"/>
          <w:kern w:val="22"/>
          <w:szCs w:val="22"/>
          <w:lang w:eastAsia="x-none"/>
        </w:rPr>
        <w:tab/>
      </w:r>
      <w:r w:rsidRPr="00EE0850">
        <w:rPr>
          <w:rFonts w:eastAsia="Calibri"/>
          <w:i/>
          <w:kern w:val="22"/>
          <w:szCs w:val="22"/>
          <w:lang w:eastAsia="x-none"/>
        </w:rPr>
        <w:t>Welcomes</w:t>
      </w:r>
      <w:r w:rsidRPr="00EE0850">
        <w:rPr>
          <w:rFonts w:eastAsia="Calibri"/>
          <w:kern w:val="22"/>
          <w:szCs w:val="22"/>
          <w:lang w:eastAsia="x-none"/>
        </w:rPr>
        <w:t xml:space="preserve"> the progress made by Parties in making the Protocol operational;</w:t>
      </w:r>
    </w:p>
    <w:p w14:paraId="7158EA8A"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5.</w:t>
      </w:r>
      <w:r w:rsidRPr="00EE0850">
        <w:rPr>
          <w:rFonts w:eastAsia="Calibri"/>
          <w:kern w:val="22"/>
          <w:szCs w:val="22"/>
          <w:lang w:eastAsia="x-none"/>
        </w:rPr>
        <w:tab/>
      </w:r>
      <w:r w:rsidRPr="00EE0850">
        <w:rPr>
          <w:rFonts w:eastAsia="Calibri"/>
          <w:i/>
          <w:kern w:val="22"/>
          <w:szCs w:val="22"/>
          <w:lang w:eastAsia="x-none"/>
        </w:rPr>
        <w:t>Recognizes</w:t>
      </w:r>
      <w:r w:rsidRPr="00EE0850">
        <w:rPr>
          <w:rFonts w:eastAsia="Calibri"/>
          <w:kern w:val="22"/>
          <w:szCs w:val="22"/>
          <w:lang w:eastAsia="x-none"/>
        </w:rPr>
        <w:t xml:space="preserve"> that further work is needed, as a priority:</w:t>
      </w:r>
    </w:p>
    <w:p w14:paraId="7B2AB44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(a)</w:t>
      </w:r>
      <w:r w:rsidRPr="00EE0850">
        <w:rPr>
          <w:rFonts w:eastAsia="Calibri"/>
          <w:kern w:val="22"/>
          <w:szCs w:val="22"/>
          <w:lang w:eastAsia="x-none"/>
        </w:rPr>
        <w:tab/>
        <w:t>To develop access and benefit-sharing legislation or regulatory requirements, which provide for legal certainty, clarity and transparency, taking into account special considerations in accordance with Article 8 of the Protocol and the need to ensure that the Nagoya Protocol and other relevant international instruments are implemented in a mutually supportive manner;</w:t>
      </w:r>
    </w:p>
    <w:p w14:paraId="3053FE10"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(b)</w:t>
      </w:r>
      <w:r w:rsidRPr="00EE0850">
        <w:rPr>
          <w:rFonts w:eastAsia="Calibri"/>
          <w:kern w:val="22"/>
          <w:szCs w:val="22"/>
          <w:lang w:eastAsia="x-none"/>
        </w:rPr>
        <w:tab/>
        <w:t>To enhance implementation by Parties of the provisions on compliance with domestic legislation and regulatory requirements on access and benefit-sharing (Articles 15 and 16), monitoring the utilization of genetic resources (Article 17), including the designation of checkpoints, as well as the provisions related to indigenous peoples and local communities (Article 5, 6, 7 and 12);</w:t>
      </w:r>
    </w:p>
    <w:p w14:paraId="21466AA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(c)</w:t>
      </w:r>
      <w:r w:rsidRPr="00EE0850">
        <w:rPr>
          <w:rFonts w:eastAsia="Calibri"/>
          <w:kern w:val="22"/>
          <w:szCs w:val="22"/>
          <w:lang w:eastAsia="x-none"/>
        </w:rPr>
        <w:tab/>
        <w:t>To support the full and effective participation of indigenous peoples and local communities in the implementation of the Protocol, including by raising their awareness and capacity about access and benefit</w:t>
      </w:r>
      <w:r w:rsidRPr="00EE0850">
        <w:rPr>
          <w:rFonts w:eastAsia="Calibri"/>
          <w:kern w:val="22"/>
          <w:szCs w:val="22"/>
          <w:lang w:eastAsia="x-none"/>
        </w:rPr>
        <w:noBreakHyphen/>
        <w:t xml:space="preserve">sharing, and supporting the development by indigenous peoples and local communities of community protocols and procedures, </w:t>
      </w:r>
      <w:r w:rsidRPr="00EE0850">
        <w:rPr>
          <w:rFonts w:eastAsia="Calibri"/>
          <w:kern w:val="22"/>
          <w:szCs w:val="22"/>
          <w:u w:color="000000"/>
          <w:lang w:eastAsia="x-none"/>
        </w:rPr>
        <w:t>minimum requirements for mutually agreed terms and model contractual clauses for benefit-sharing arising from the utilization of traditional knowledge associated with genetic resources</w:t>
      </w:r>
      <w:r w:rsidRPr="00EE0850">
        <w:rPr>
          <w:rFonts w:eastAsia="Calibri"/>
          <w:kern w:val="22"/>
          <w:szCs w:val="22"/>
          <w:lang w:eastAsia="x-none"/>
        </w:rPr>
        <w:t>, taking into consideration their</w:t>
      </w:r>
      <w:r w:rsidRPr="00EE0850">
        <w:rPr>
          <w:kern w:val="22"/>
          <w:szCs w:val="22"/>
          <w:lang w:eastAsia="x-none"/>
        </w:rPr>
        <w:t xml:space="preserve"> customary laws</w:t>
      </w:r>
      <w:r w:rsidRPr="00EE0850">
        <w:rPr>
          <w:rFonts w:eastAsia="Calibri"/>
          <w:kern w:val="22"/>
          <w:szCs w:val="22"/>
          <w:lang w:eastAsia="x-none"/>
        </w:rPr>
        <w:t>;</w:t>
      </w:r>
    </w:p>
    <w:p w14:paraId="257757E6"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(d)</w:t>
      </w:r>
      <w:r w:rsidRPr="00EE0850">
        <w:rPr>
          <w:rFonts w:eastAsia="Calibri"/>
          <w:kern w:val="22"/>
          <w:szCs w:val="22"/>
          <w:lang w:eastAsia="x-none"/>
        </w:rPr>
        <w:tab/>
        <w:t>Raise awareness among relevant stakeholders and encourage their participation in the implementation of the Protocol;</w:t>
      </w:r>
    </w:p>
    <w:p w14:paraId="6E73DF5B"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6.</w:t>
      </w:r>
      <w:r w:rsidRPr="00EE0850">
        <w:rPr>
          <w:rFonts w:eastAsia="Calibri"/>
          <w:kern w:val="22"/>
          <w:szCs w:val="22"/>
          <w:lang w:eastAsia="x-none"/>
        </w:rPr>
        <w:tab/>
      </w:r>
      <w:r w:rsidRPr="00EE0850">
        <w:rPr>
          <w:rFonts w:eastAsia="Calibri"/>
          <w:i/>
          <w:kern w:val="22"/>
          <w:szCs w:val="22"/>
          <w:lang w:eastAsia="x-none"/>
        </w:rPr>
        <w:t>Urges</w:t>
      </w:r>
      <w:r w:rsidRPr="00EE0850">
        <w:rPr>
          <w:rFonts w:eastAsia="Calibri"/>
          <w:kern w:val="22"/>
          <w:szCs w:val="22"/>
          <w:lang w:eastAsia="x-none"/>
        </w:rPr>
        <w:t xml:space="preserve"> Parties that have not yet done so:</w:t>
      </w:r>
    </w:p>
    <w:p w14:paraId="6E4C86DD"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(a)</w:t>
      </w:r>
      <w:r w:rsidRPr="00EE0850">
        <w:rPr>
          <w:rFonts w:eastAsia="Calibri"/>
          <w:kern w:val="22"/>
          <w:szCs w:val="22"/>
          <w:lang w:eastAsia="x-none"/>
        </w:rPr>
        <w:tab/>
        <w:t>To establish institutional structures and legislative, administrative or policy measures on access and benefit-sharing, taking into account paragraphs 5 (a) and (b) above;</w:t>
      </w:r>
    </w:p>
    <w:p w14:paraId="08DEC034"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(b)</w:t>
      </w:r>
      <w:r w:rsidRPr="00EE0850">
        <w:rPr>
          <w:rFonts w:eastAsia="Calibri"/>
          <w:kern w:val="22"/>
          <w:szCs w:val="22"/>
          <w:lang w:eastAsia="x-none"/>
        </w:rPr>
        <w:tab/>
        <w:t>To take steps to address the priority areas identified in paragraphs 5 (c) and (d) above;</w:t>
      </w:r>
    </w:p>
    <w:p w14:paraId="64803E5D"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kern w:val="22"/>
          <w:szCs w:val="22"/>
          <w:u w:val="single" w:color="000000"/>
          <w:lang w:eastAsia="x-none"/>
        </w:rPr>
      </w:pPr>
      <w:r w:rsidRPr="00EE0850">
        <w:rPr>
          <w:rFonts w:eastAsia="Calibri"/>
          <w:kern w:val="22"/>
          <w:szCs w:val="22"/>
          <w:lang w:eastAsia="x-none"/>
        </w:rPr>
        <w:t>(c)</w:t>
      </w:r>
      <w:r w:rsidRPr="00EE0850">
        <w:rPr>
          <w:rFonts w:eastAsia="Calibri"/>
          <w:kern w:val="22"/>
          <w:szCs w:val="22"/>
          <w:lang w:eastAsia="x-none"/>
        </w:rPr>
        <w:tab/>
        <w:t xml:space="preserve">To publish in the Access and Benefit-Sharing Clearing-House all mandatory information available at the national level in accordance with the obligations enshrined in Article 14, paragraph 2, of the Protocol, </w:t>
      </w:r>
      <w:r w:rsidRPr="00EE0850">
        <w:rPr>
          <w:kern w:val="22"/>
          <w:szCs w:val="22"/>
          <w:lang w:eastAsia="x-none"/>
        </w:rPr>
        <w:t>including</w:t>
      </w:r>
      <w:r w:rsidRPr="00EE0850">
        <w:rPr>
          <w:rFonts w:eastAsia="Calibri"/>
          <w:kern w:val="22"/>
          <w:szCs w:val="22"/>
          <w:lang w:eastAsia="x-none"/>
        </w:rPr>
        <w:t xml:space="preserve"> information on the permits or their equivalents to constitute internationally recognized certificates of compliance, as soon as possible, with a view to facilitating the monitoring of the utilization of genetic resources and cooperation among Parties;</w:t>
      </w:r>
    </w:p>
    <w:p w14:paraId="26E56DD2"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7.</w:t>
      </w:r>
      <w:r w:rsidRPr="00EE0850">
        <w:rPr>
          <w:rFonts w:eastAsia="Calibri"/>
          <w:kern w:val="22"/>
          <w:szCs w:val="22"/>
          <w:lang w:eastAsia="x-none"/>
        </w:rPr>
        <w:tab/>
      </w:r>
      <w:r w:rsidRPr="00EE0850">
        <w:rPr>
          <w:rFonts w:eastAsia="Calibri"/>
          <w:i/>
          <w:kern w:val="22"/>
          <w:szCs w:val="22"/>
          <w:lang w:eastAsia="x-none"/>
        </w:rPr>
        <w:t>Encourages</w:t>
      </w:r>
      <w:r w:rsidRPr="00EE0850">
        <w:rPr>
          <w:rFonts w:eastAsia="Calibri"/>
          <w:kern w:val="22"/>
          <w:szCs w:val="22"/>
          <w:lang w:eastAsia="x-none"/>
        </w:rPr>
        <w:t xml:space="preserve"> Parties, non-Parties and relevant organizations in a position to do so:</w:t>
      </w:r>
    </w:p>
    <w:p w14:paraId="4AB2EAA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(a)</w:t>
      </w:r>
      <w:r w:rsidRPr="00EE0850">
        <w:rPr>
          <w:rFonts w:eastAsia="Calibri"/>
          <w:kern w:val="22"/>
          <w:szCs w:val="22"/>
          <w:lang w:eastAsia="x-none"/>
        </w:rPr>
        <w:tab/>
        <w:t>To expand their efforts to build the capacity of developing country Parties, in particular the least developed countries and small island developing States among them, and Parties with economies in transition to implement the Nagoya Protocol, taking into account the priority areas identified in paragraph 5 above, the need to strengthen institutional capacities, and the key findings in annex I,</w:t>
      </w:r>
      <w:r w:rsidRPr="00EE0850">
        <w:rPr>
          <w:kern w:val="22"/>
          <w:szCs w:val="22"/>
          <w:lang w:eastAsia="x-none"/>
        </w:rPr>
        <w:t xml:space="preserve"> </w:t>
      </w:r>
      <w:r w:rsidRPr="00EE0850">
        <w:rPr>
          <w:rFonts w:eastAsia="Calibri"/>
          <w:kern w:val="22"/>
          <w:szCs w:val="22"/>
          <w:lang w:eastAsia="x-none"/>
        </w:rPr>
        <w:t>as well as the needs and priorities of indigenous peoples and local communities and relevant stakeholders;</w:t>
      </w:r>
    </w:p>
    <w:p w14:paraId="4CE1E370"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(b)</w:t>
      </w:r>
      <w:r w:rsidRPr="00EE0850">
        <w:rPr>
          <w:rFonts w:eastAsia="Calibri"/>
          <w:kern w:val="22"/>
          <w:szCs w:val="22"/>
          <w:lang w:eastAsia="x-none"/>
        </w:rPr>
        <w:tab/>
        <w:t>To support capacity-building initiatives to implement the Protocol, such as the capacity</w:t>
      </w:r>
      <w:r w:rsidRPr="00EE0850">
        <w:rPr>
          <w:rFonts w:eastAsia="Calibri"/>
          <w:kern w:val="22"/>
          <w:szCs w:val="22"/>
          <w:lang w:eastAsia="x-none"/>
        </w:rPr>
        <w:noBreakHyphen/>
        <w:t>building programme of the Secretariat and the International Development Law Organization for the establishment of national legal frameworks, including by providing financial resources;</w:t>
      </w:r>
    </w:p>
    <w:p w14:paraId="10DF0B7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(c)</w:t>
      </w:r>
      <w:r w:rsidRPr="00EE0850">
        <w:rPr>
          <w:rFonts w:eastAsia="Calibri"/>
          <w:kern w:val="22"/>
          <w:szCs w:val="22"/>
          <w:lang w:eastAsia="x-none"/>
        </w:rPr>
        <w:tab/>
        <w:t>To make available information on capacity-building initiatives and capacity-building resources on the Access and Benefit-Sharing</w:t>
      </w:r>
      <w:r w:rsidRPr="00EE0850" w:rsidDel="00D23830">
        <w:rPr>
          <w:rFonts w:eastAsia="Calibri"/>
          <w:kern w:val="22"/>
          <w:szCs w:val="22"/>
          <w:lang w:eastAsia="x-none"/>
        </w:rPr>
        <w:t xml:space="preserve"> </w:t>
      </w:r>
      <w:r w:rsidRPr="00EE0850">
        <w:rPr>
          <w:rFonts w:eastAsia="Calibri"/>
          <w:kern w:val="22"/>
          <w:szCs w:val="22"/>
          <w:lang w:eastAsia="x-none"/>
        </w:rPr>
        <w:t>Clearing-House;</w:t>
      </w:r>
    </w:p>
    <w:p w14:paraId="57C6BA07"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(d)</w:t>
      </w:r>
      <w:r w:rsidRPr="00EE0850">
        <w:rPr>
          <w:rFonts w:eastAsia="Calibri"/>
          <w:kern w:val="22"/>
          <w:szCs w:val="22"/>
          <w:lang w:eastAsia="x-none"/>
        </w:rPr>
        <w:tab/>
        <w:t>To consider regional approaches to support harmonized implementation of the Protocol through, among other things, capacity-building activities among countries that share the same genetic resources or traditional knowledge associated with genetic resources;</w:t>
      </w:r>
    </w:p>
    <w:p w14:paraId="7DDB7F6C"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(e)</w:t>
      </w:r>
      <w:r w:rsidRPr="00EE0850">
        <w:rPr>
          <w:rFonts w:eastAsia="Calibri"/>
          <w:kern w:val="22"/>
          <w:szCs w:val="22"/>
          <w:lang w:eastAsia="x-none"/>
        </w:rPr>
        <w:tab/>
        <w:t>To facilitate the sharing of information and experiences in relation to transboundary cooperation in accordance with Article 11 of the Protocol;</w:t>
      </w:r>
    </w:p>
    <w:p w14:paraId="68B44D1D"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(f)</w:t>
      </w:r>
      <w:r w:rsidRPr="00EE0850">
        <w:rPr>
          <w:rFonts w:eastAsia="Calibri"/>
          <w:kern w:val="22"/>
          <w:szCs w:val="22"/>
          <w:lang w:eastAsia="x-none"/>
        </w:rPr>
        <w:tab/>
        <w:t>To support strategic communication to enhance awareness about the Protocol;</w:t>
      </w:r>
    </w:p>
    <w:p w14:paraId="67FF4D8A"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(g)</w:t>
      </w:r>
      <w:r w:rsidRPr="00EE0850">
        <w:rPr>
          <w:rFonts w:eastAsia="Calibri"/>
          <w:kern w:val="22"/>
          <w:szCs w:val="22"/>
          <w:lang w:eastAsia="x-none"/>
        </w:rPr>
        <w:tab/>
        <w:t>To build the capacity of Parties and indigenous peoples and local communities for the negotiation of mutually agreed terms and to promote partnerships and technology transfer between users and providers of genetic resources and/or associated traditional knowledge;</w:t>
      </w:r>
    </w:p>
    <w:p w14:paraId="484E9893"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8.</w:t>
      </w:r>
      <w:r w:rsidRPr="00EE0850">
        <w:rPr>
          <w:rFonts w:eastAsia="Calibri"/>
          <w:kern w:val="22"/>
          <w:szCs w:val="22"/>
          <w:lang w:eastAsia="x-none"/>
        </w:rPr>
        <w:tab/>
      </w:r>
      <w:r w:rsidRPr="00EE0850">
        <w:rPr>
          <w:rFonts w:eastAsia="Calibri"/>
          <w:i/>
          <w:kern w:val="22"/>
          <w:szCs w:val="22"/>
          <w:lang w:eastAsia="x-none"/>
        </w:rPr>
        <w:t>Invites</w:t>
      </w:r>
      <w:r w:rsidRPr="00EE0850">
        <w:rPr>
          <w:rFonts w:eastAsia="Calibri"/>
          <w:kern w:val="22"/>
          <w:szCs w:val="22"/>
          <w:lang w:eastAsia="x-none"/>
        </w:rPr>
        <w:t xml:space="preserve"> Parties, non-Parties, international organizations, regional development banks, other financial institutions and the private sector, as appropriate, to expand their efforts to provide financial resources to support the implementation of the Protocol;</w:t>
      </w:r>
    </w:p>
    <w:p w14:paraId="0A401965"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9.</w:t>
      </w:r>
      <w:r w:rsidRPr="00EE0850">
        <w:rPr>
          <w:rFonts w:eastAsia="Calibri"/>
          <w:kern w:val="22"/>
          <w:szCs w:val="22"/>
          <w:lang w:eastAsia="x-none"/>
        </w:rPr>
        <w:tab/>
      </w:r>
      <w:r w:rsidRPr="00EE0850">
        <w:rPr>
          <w:rFonts w:eastAsia="Calibri"/>
          <w:i/>
          <w:kern w:val="22"/>
          <w:szCs w:val="22"/>
          <w:lang w:eastAsia="x-none"/>
        </w:rPr>
        <w:t xml:space="preserve">Recommends </w:t>
      </w:r>
      <w:r w:rsidRPr="00EE0850">
        <w:rPr>
          <w:rFonts w:eastAsia="Calibri"/>
          <w:kern w:val="22"/>
          <w:szCs w:val="22"/>
          <w:lang w:eastAsia="x-none"/>
        </w:rPr>
        <w:t>that the Conference of the Parties, in adopting its guidance to the financial mechanism with respect to support for the implementation of the Nagoya Protocol, invite the Global Environment Facility to continue to assist eligible Parties in implementing the Nagoya Protocol, including the establishment of legislative, administrative and policy measures on access and benefit-sharing and related institutional arrangements, and to make funds available to this end;</w:t>
      </w:r>
    </w:p>
    <w:p w14:paraId="581AF0E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10.</w:t>
      </w:r>
      <w:r w:rsidRPr="00EE0850">
        <w:rPr>
          <w:rFonts w:eastAsia="Calibri"/>
          <w:kern w:val="22"/>
          <w:szCs w:val="22"/>
          <w:lang w:eastAsia="x-none"/>
        </w:rPr>
        <w:tab/>
      </w:r>
      <w:r w:rsidRPr="00EE0850">
        <w:rPr>
          <w:rFonts w:eastAsia="Calibri"/>
          <w:i/>
          <w:kern w:val="22"/>
          <w:szCs w:val="22"/>
          <w:lang w:eastAsia="x-none"/>
        </w:rPr>
        <w:t>Encourages</w:t>
      </w:r>
      <w:r w:rsidRPr="00EE0850">
        <w:rPr>
          <w:rFonts w:eastAsia="Calibri"/>
          <w:kern w:val="22"/>
          <w:szCs w:val="22"/>
          <w:lang w:eastAsia="x-none"/>
        </w:rPr>
        <w:t xml:space="preserve"> Parties, non-Parties, indigenous peoples and local communities and relevant organizations to make use of the wealth of information and experiences available in the interim national reports and the Access and Benefit-sharing Clearing-House, as well as existing tools and resources (such as guidelines and capacity-building materials) to support implementation and to promote the exchange of experiences;</w:t>
      </w:r>
    </w:p>
    <w:p w14:paraId="1C99F856"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11.</w:t>
      </w:r>
      <w:r w:rsidRPr="00EE0850">
        <w:rPr>
          <w:rFonts w:eastAsia="Calibri"/>
          <w:kern w:val="22"/>
          <w:szCs w:val="22"/>
          <w:lang w:eastAsia="x-none"/>
        </w:rPr>
        <w:tab/>
      </w:r>
      <w:r w:rsidRPr="00EE0850">
        <w:rPr>
          <w:rFonts w:eastAsia="Calibri"/>
          <w:i/>
          <w:kern w:val="22"/>
          <w:szCs w:val="22"/>
          <w:lang w:eastAsia="x-none"/>
        </w:rPr>
        <w:t>Invites</w:t>
      </w:r>
      <w:r w:rsidRPr="00EE0850">
        <w:rPr>
          <w:rFonts w:eastAsia="Calibri"/>
          <w:kern w:val="22"/>
          <w:szCs w:val="22"/>
          <w:lang w:eastAsia="x-none"/>
        </w:rPr>
        <w:t xml:space="preserve"> Parties, in view of the cross-cutting nature of the Protocol, to establish appropriate mechanisms to facilitate:</w:t>
      </w:r>
    </w:p>
    <w:p w14:paraId="59D8CA37"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(a)</w:t>
      </w:r>
      <w:r w:rsidRPr="00EE0850">
        <w:rPr>
          <w:rFonts w:eastAsia="Calibri"/>
          <w:kern w:val="22"/>
          <w:szCs w:val="22"/>
          <w:lang w:eastAsia="x-none"/>
        </w:rPr>
        <w:tab/>
        <w:t>National coordination among different institutions, including national focal points, competent national authorities and ministries of relevance to access and benefit-sharing;</w:t>
      </w:r>
    </w:p>
    <w:p w14:paraId="6CD28B0D"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rPr>
      </w:pPr>
      <w:r w:rsidRPr="00EE0850">
        <w:rPr>
          <w:rFonts w:eastAsia="Calibri"/>
          <w:kern w:val="22"/>
          <w:szCs w:val="22"/>
        </w:rPr>
        <w:t>(b)</w:t>
      </w:r>
      <w:r w:rsidRPr="00EE0850">
        <w:rPr>
          <w:rFonts w:eastAsia="Calibri"/>
          <w:kern w:val="22"/>
          <w:szCs w:val="22"/>
        </w:rPr>
        <w:tab/>
        <w:t>The full and effective participation of indigenous peoples and local communities in the implementation of the provisions of the Protocol related to indigenous peoples and local communities with a view to taking into account their needs as well as national circumstances;</w:t>
      </w:r>
    </w:p>
    <w:p w14:paraId="642D6137" w14:textId="77777777" w:rsidR="009F5D7B" w:rsidRPr="00EE0850" w:rsidRDefault="009F5D7B" w:rsidP="000C6220">
      <w:pPr>
        <w:suppressLineNumbers/>
        <w:tabs>
          <w:tab w:val="left" w:pos="1440"/>
        </w:tab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(c)</w:t>
      </w:r>
      <w:r w:rsidRPr="00EE0850">
        <w:rPr>
          <w:rFonts w:eastAsia="Calibri"/>
          <w:kern w:val="22"/>
          <w:szCs w:val="22"/>
          <w:lang w:eastAsia="x-none"/>
        </w:rPr>
        <w:tab/>
        <w:t>The participation of relevant stakeholders from different sectors with a view to taking into account their needs when developing legislative, administrative and policy measures on access and benefit-sharing;</w:t>
      </w:r>
    </w:p>
    <w:p w14:paraId="3BF75F9C"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i/>
          <w:kern w:val="22"/>
          <w:szCs w:val="22"/>
          <w:lang w:eastAsia="x-none"/>
        </w:rPr>
      </w:pPr>
      <w:r w:rsidRPr="00EE0850">
        <w:rPr>
          <w:rFonts w:eastAsia="Calibri"/>
          <w:kern w:val="22"/>
          <w:szCs w:val="22"/>
          <w:lang w:eastAsia="x-none"/>
        </w:rPr>
        <w:t>12.</w:t>
      </w:r>
      <w:r w:rsidRPr="00EE0850">
        <w:rPr>
          <w:rFonts w:eastAsia="Calibri"/>
          <w:kern w:val="22"/>
          <w:szCs w:val="22"/>
          <w:lang w:eastAsia="x-none"/>
        </w:rPr>
        <w:tab/>
      </w:r>
      <w:r w:rsidRPr="00EE0850">
        <w:rPr>
          <w:rFonts w:eastAsia="Calibri"/>
          <w:i/>
          <w:kern w:val="22"/>
          <w:szCs w:val="22"/>
          <w:lang w:eastAsia="x-none"/>
        </w:rPr>
        <w:t xml:space="preserve">Also invites </w:t>
      </w:r>
      <w:r w:rsidRPr="00EE0850">
        <w:rPr>
          <w:rFonts w:eastAsia="Calibri"/>
          <w:kern w:val="22"/>
          <w:szCs w:val="22"/>
          <w:lang w:eastAsia="x-none"/>
        </w:rPr>
        <w:t>Parties:</w:t>
      </w:r>
    </w:p>
    <w:p w14:paraId="1C1BBB57"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(a)</w:t>
      </w:r>
      <w:r w:rsidRPr="00EE0850">
        <w:rPr>
          <w:rFonts w:eastAsia="Calibri"/>
          <w:kern w:val="22"/>
          <w:szCs w:val="22"/>
          <w:lang w:eastAsia="x-none"/>
        </w:rPr>
        <w:tab/>
        <w:t>To consider implementing interim measures in order to gain experience that can inform the development of legislative, administrative or policy measures on access and benefit-sharing;</w:t>
      </w:r>
    </w:p>
    <w:p w14:paraId="6EEEC002"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kern w:val="22"/>
          <w:szCs w:val="22"/>
          <w:lang w:eastAsia="x-none"/>
        </w:rPr>
      </w:pPr>
      <w:r w:rsidRPr="00EE0850">
        <w:rPr>
          <w:kern w:val="22"/>
          <w:szCs w:val="22"/>
          <w:lang w:eastAsia="x-none"/>
        </w:rPr>
        <w:t>(b)</w:t>
      </w:r>
      <w:r w:rsidRPr="00EE0850">
        <w:rPr>
          <w:kern w:val="22"/>
          <w:szCs w:val="22"/>
          <w:lang w:eastAsia="x-none"/>
        </w:rPr>
        <w:tab/>
        <w:t xml:space="preserve">To take into account, in the implementation of Article 8 of the Protocol, relevant work undertaken </w:t>
      </w:r>
      <w:r w:rsidRPr="00EE0850">
        <w:rPr>
          <w:rFonts w:eastAsia="Calibri"/>
          <w:kern w:val="22"/>
          <w:szCs w:val="22"/>
          <w:lang w:eastAsia="x-none"/>
        </w:rPr>
        <w:t>by</w:t>
      </w:r>
      <w:r w:rsidRPr="00EE0850">
        <w:rPr>
          <w:kern w:val="22"/>
          <w:szCs w:val="22"/>
          <w:lang w:eastAsia="x-none"/>
        </w:rPr>
        <w:t xml:space="preserve"> </w:t>
      </w:r>
      <w:r w:rsidRPr="00EE0850">
        <w:rPr>
          <w:rFonts w:eastAsia="Calibri"/>
          <w:kern w:val="22"/>
          <w:szCs w:val="22"/>
          <w:lang w:eastAsia="x-none"/>
        </w:rPr>
        <w:t>the Food and Agriculture Organization of the United Nations, the World Health Organization and other relevant organizations</w:t>
      </w:r>
      <w:r w:rsidRPr="00EE0850">
        <w:rPr>
          <w:kern w:val="22"/>
          <w:szCs w:val="22"/>
          <w:lang w:eastAsia="x-none"/>
        </w:rPr>
        <w:t>, as appropriate and in accordance with national circumstances;</w:t>
      </w:r>
    </w:p>
    <w:p w14:paraId="584910E6"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kern w:val="22"/>
          <w:szCs w:val="22"/>
          <w:lang w:eastAsia="x-none"/>
        </w:rPr>
      </w:pPr>
      <w:r w:rsidRPr="00EE0850">
        <w:rPr>
          <w:kern w:val="22"/>
          <w:szCs w:val="22"/>
          <w:lang w:eastAsia="x-none"/>
        </w:rPr>
        <w:t>(c)</w:t>
      </w:r>
      <w:r w:rsidRPr="00EE0850">
        <w:rPr>
          <w:kern w:val="22"/>
          <w:szCs w:val="22"/>
          <w:lang w:eastAsia="x-none"/>
        </w:rPr>
        <w:tab/>
        <w:t xml:space="preserve">To take note, in the implementation of Article 16 of the Protocol, of relevant work undertaken by the </w:t>
      </w:r>
      <w:r w:rsidRPr="00EE0850">
        <w:rPr>
          <w:rFonts w:eastAsia="Calibri"/>
          <w:kern w:val="22"/>
          <w:szCs w:val="22"/>
          <w:lang w:eastAsia="x-none"/>
        </w:rPr>
        <w:t>World Intellectual Property Organization, as appropriate, provided that it does not run counter to the objectives of the Convention and the Protocol;</w:t>
      </w:r>
    </w:p>
    <w:p w14:paraId="061A3148"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13.</w:t>
      </w:r>
      <w:r w:rsidRPr="00EE0850">
        <w:rPr>
          <w:rFonts w:eastAsia="Calibri"/>
          <w:kern w:val="22"/>
          <w:szCs w:val="22"/>
          <w:lang w:eastAsia="x-none"/>
        </w:rPr>
        <w:tab/>
      </w:r>
      <w:r w:rsidRPr="00EE0850">
        <w:rPr>
          <w:rFonts w:eastAsia="Calibri"/>
          <w:i/>
          <w:kern w:val="22"/>
          <w:szCs w:val="22"/>
          <w:lang w:eastAsia="x-none"/>
        </w:rPr>
        <w:t>Invites</w:t>
      </w:r>
      <w:r w:rsidRPr="00EE0850">
        <w:rPr>
          <w:rFonts w:eastAsia="Calibri"/>
          <w:kern w:val="22"/>
          <w:szCs w:val="22"/>
          <w:lang w:eastAsia="x-none"/>
        </w:rPr>
        <w:t xml:space="preserve"> indigenous peoples and local communities to engage in access and benefit-sharing processes in accordance with their customary practices, including by developing community protocols</w:t>
      </w:r>
      <w:r w:rsidRPr="00EE0850">
        <w:rPr>
          <w:rStyle w:val="FootnoteReference"/>
          <w:kern w:val="18"/>
          <w:sz w:val="22"/>
          <w:szCs w:val="22"/>
          <w:u w:val="none"/>
          <w:vertAlign w:val="superscript"/>
          <w:lang w:eastAsia="x-none"/>
        </w:rPr>
        <w:footnoteReference w:id="1"/>
      </w:r>
      <w:r w:rsidRPr="00EE0850">
        <w:rPr>
          <w:rFonts w:eastAsia="Calibri"/>
          <w:kern w:val="22"/>
          <w:szCs w:val="22"/>
          <w:lang w:eastAsia="x-none"/>
        </w:rPr>
        <w:t xml:space="preserve"> and procedures for access and benefit-sharing, and to make them available through the Access and Benefit</w:t>
      </w:r>
      <w:r w:rsidRPr="00EE0850">
        <w:rPr>
          <w:rFonts w:eastAsia="Calibri"/>
          <w:kern w:val="22"/>
          <w:szCs w:val="22"/>
          <w:lang w:eastAsia="x-none"/>
        </w:rPr>
        <w:noBreakHyphen/>
        <w:t xml:space="preserve">sharing Clearing-House, and </w:t>
      </w:r>
      <w:r w:rsidRPr="00EE0850">
        <w:rPr>
          <w:rFonts w:eastAsia="Calibri"/>
          <w:i/>
          <w:kern w:val="22"/>
          <w:szCs w:val="22"/>
          <w:lang w:eastAsia="x-none"/>
        </w:rPr>
        <w:t>invites</w:t>
      </w:r>
      <w:r w:rsidRPr="00EE0850">
        <w:rPr>
          <w:rFonts w:eastAsia="Calibri"/>
          <w:kern w:val="22"/>
          <w:szCs w:val="22"/>
          <w:lang w:eastAsia="x-none"/>
        </w:rPr>
        <w:t xml:space="preserve"> relevant organizations to provide guidance to support indigenous peoples and local communities in developing these community protocols and procedures;</w:t>
      </w:r>
    </w:p>
    <w:p w14:paraId="35E155F2"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14.</w:t>
      </w:r>
      <w:r w:rsidRPr="00EE0850">
        <w:rPr>
          <w:rFonts w:eastAsia="Calibri"/>
          <w:kern w:val="22"/>
          <w:szCs w:val="22"/>
          <w:lang w:eastAsia="x-none"/>
        </w:rPr>
        <w:tab/>
      </w:r>
      <w:r w:rsidRPr="00EE0850">
        <w:rPr>
          <w:rFonts w:eastAsia="Calibri"/>
          <w:i/>
          <w:kern w:val="22"/>
          <w:szCs w:val="22"/>
          <w:lang w:eastAsia="x-none"/>
        </w:rPr>
        <w:t xml:space="preserve">Invites </w:t>
      </w:r>
      <w:r w:rsidRPr="00EE0850">
        <w:rPr>
          <w:rFonts w:eastAsia="Calibri"/>
          <w:kern w:val="22"/>
          <w:szCs w:val="22"/>
          <w:lang w:eastAsia="x-none"/>
        </w:rPr>
        <w:t>relevant stakeholders and user organizations and networks to engage in access and benefit-sharing processes, including by developing tools, such as model contractual clauses, codes of conduct, guidelines, best practices and/or standards that address the needs of their constituency and facilitate compliance with access and benefit-sharing requirements, and to make these tools available through the Access and Benefit-sharing Clearing-House;</w:t>
      </w:r>
    </w:p>
    <w:p w14:paraId="20AB06F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15.</w:t>
      </w:r>
      <w:r w:rsidRPr="00EE0850">
        <w:rPr>
          <w:rFonts w:eastAsia="Calibri"/>
          <w:kern w:val="22"/>
          <w:szCs w:val="22"/>
          <w:lang w:eastAsia="x-none"/>
        </w:rPr>
        <w:tab/>
      </w:r>
      <w:r w:rsidRPr="00EE0850">
        <w:rPr>
          <w:rFonts w:eastAsia="Calibri"/>
          <w:i/>
          <w:kern w:val="22"/>
          <w:szCs w:val="22"/>
          <w:lang w:eastAsia="x-none"/>
        </w:rPr>
        <w:t>Notes</w:t>
      </w:r>
      <w:r w:rsidRPr="00EE0850">
        <w:rPr>
          <w:rFonts w:eastAsia="Calibri"/>
          <w:kern w:val="22"/>
          <w:szCs w:val="22"/>
          <w:lang w:eastAsia="x-none"/>
        </w:rPr>
        <w:t xml:space="preserve"> that the work on one or more international legal instruments relating to intellectual property with a view to ensuring the balanced and effective protection of genetic resources, traditional knowledge and traditional cultural expressions under</w:t>
      </w:r>
      <w:r w:rsidRPr="00EE0850">
        <w:rPr>
          <w:kern w:val="22"/>
          <w:szCs w:val="22"/>
          <w:lang w:eastAsia="x-none"/>
        </w:rPr>
        <w:t xml:space="preserve"> the </w:t>
      </w:r>
      <w:r w:rsidRPr="00EE0850">
        <w:rPr>
          <w:rFonts w:eastAsia="Calibri"/>
          <w:kern w:val="22"/>
          <w:szCs w:val="22"/>
          <w:lang w:eastAsia="x-none"/>
        </w:rPr>
        <w:t>World Intellectual Property Organization is ongoing, and that, therefore, it would be premature to assess how the outcomes of this process could contribute to the implementation of the Protocol;</w:t>
      </w:r>
    </w:p>
    <w:p w14:paraId="5C38358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16.</w:t>
      </w:r>
      <w:r w:rsidRPr="00EE0850">
        <w:rPr>
          <w:rFonts w:eastAsia="Calibri"/>
          <w:kern w:val="22"/>
          <w:szCs w:val="22"/>
          <w:lang w:eastAsia="x-none"/>
        </w:rPr>
        <w:tab/>
      </w:r>
      <w:r w:rsidRPr="00EE0850">
        <w:rPr>
          <w:rFonts w:eastAsia="Calibri"/>
          <w:i/>
          <w:kern w:val="22"/>
          <w:szCs w:val="22"/>
          <w:lang w:eastAsia="x-none"/>
        </w:rPr>
        <w:t>Also notes</w:t>
      </w:r>
      <w:r w:rsidRPr="00EE0850">
        <w:rPr>
          <w:rFonts w:eastAsia="Calibri"/>
          <w:kern w:val="22"/>
          <w:szCs w:val="22"/>
          <w:lang w:eastAsia="x-none"/>
        </w:rPr>
        <w:t xml:space="preserve"> that there is insufficient information to measure the effectiveness of Article 18 in accordance with Article 18, paragraph 4, of the Protocol;</w:t>
      </w:r>
    </w:p>
    <w:p w14:paraId="736B8F6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17.</w:t>
      </w:r>
      <w:r w:rsidRPr="00EE0850">
        <w:rPr>
          <w:rFonts w:eastAsia="Calibri"/>
          <w:kern w:val="22"/>
          <w:szCs w:val="22"/>
          <w:lang w:eastAsia="x-none"/>
        </w:rPr>
        <w:tab/>
      </w:r>
      <w:r w:rsidRPr="00EE0850">
        <w:rPr>
          <w:rFonts w:eastAsia="Calibri"/>
          <w:i/>
          <w:kern w:val="22"/>
          <w:szCs w:val="22"/>
          <w:lang w:eastAsia="x-none"/>
        </w:rPr>
        <w:t>Decides</w:t>
      </w:r>
      <w:r w:rsidRPr="00EE0850">
        <w:rPr>
          <w:rFonts w:eastAsia="Calibri"/>
          <w:kern w:val="22"/>
          <w:szCs w:val="22"/>
          <w:lang w:eastAsia="x-none"/>
        </w:rPr>
        <w:t xml:space="preserve"> to assess all elements relevant to the implementation of the Protocol, including that identified in paragraph 16, as well as progress on Article 10 on a global multilateral benefit-sharing mechanism, and Article 23 on technology transfer, collaboration and cooperation, at the second assessment and review of the Protocol;</w:t>
      </w:r>
    </w:p>
    <w:p w14:paraId="006873A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18.</w:t>
      </w:r>
      <w:r w:rsidRPr="00EE0850">
        <w:rPr>
          <w:rFonts w:eastAsia="Calibri"/>
          <w:kern w:val="22"/>
          <w:szCs w:val="22"/>
          <w:lang w:eastAsia="x-none"/>
        </w:rPr>
        <w:tab/>
      </w:r>
      <w:r w:rsidRPr="00EE0850">
        <w:rPr>
          <w:rFonts w:eastAsia="Calibri"/>
          <w:i/>
          <w:kern w:val="22"/>
          <w:szCs w:val="22"/>
          <w:lang w:eastAsia="x-none"/>
        </w:rPr>
        <w:t>Requests</w:t>
      </w:r>
      <w:r w:rsidRPr="00EE0850">
        <w:rPr>
          <w:rFonts w:eastAsia="Calibri"/>
          <w:kern w:val="22"/>
          <w:szCs w:val="22"/>
          <w:lang w:eastAsia="x-none"/>
        </w:rPr>
        <w:t xml:space="preserve"> the Executive Secretary:</w:t>
      </w:r>
    </w:p>
    <w:p w14:paraId="422A7C0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(a)</w:t>
      </w:r>
      <w:r w:rsidRPr="00EE0850">
        <w:rPr>
          <w:rFonts w:eastAsia="Calibri"/>
          <w:kern w:val="22"/>
          <w:szCs w:val="22"/>
          <w:u w:color="000000"/>
        </w:rPr>
        <w:tab/>
        <w:t xml:space="preserve">To carry out a targeted survey of </w:t>
      </w:r>
      <w:r w:rsidRPr="00EE0850">
        <w:rPr>
          <w:rFonts w:eastAsia="Calibri"/>
          <w:kern w:val="22"/>
          <w:szCs w:val="22"/>
        </w:rPr>
        <w:t>access and benefit-sharing</w:t>
      </w:r>
      <w:r w:rsidRPr="00EE0850" w:rsidDel="009041AD">
        <w:rPr>
          <w:rFonts w:eastAsia="Calibri"/>
          <w:kern w:val="22"/>
          <w:szCs w:val="22"/>
          <w:u w:color="000000"/>
        </w:rPr>
        <w:t xml:space="preserve"> </w:t>
      </w:r>
      <w:r w:rsidRPr="00EE0850">
        <w:rPr>
          <w:rFonts w:eastAsia="Calibri"/>
          <w:kern w:val="22"/>
          <w:szCs w:val="22"/>
          <w:u w:color="000000"/>
        </w:rPr>
        <w:t>national focal points, competent national authorities, and users and providers of genetic resources and/or associated traditional knowledge on challenges related to the implementation of the Protocol to provide an additional source of information in future processes for the assessment and review of the effectiveness of the Protocol;</w:t>
      </w:r>
    </w:p>
    <w:p w14:paraId="72E4092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(b)</w:t>
      </w:r>
      <w:r w:rsidRPr="00EE0850">
        <w:rPr>
          <w:rFonts w:eastAsia="Calibri"/>
          <w:kern w:val="22"/>
          <w:szCs w:val="22"/>
          <w:u w:color="000000"/>
        </w:rPr>
        <w:tab/>
        <w:t>To take into account the indicators contained in annex II when preparing the proposed format for the next national report on the implementation of the Nagoya Protocol;</w:t>
      </w:r>
    </w:p>
    <w:p w14:paraId="313F2C4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19.</w:t>
      </w:r>
      <w:r w:rsidRPr="00EE0850">
        <w:rPr>
          <w:rFonts w:eastAsia="Calibri"/>
          <w:kern w:val="22"/>
          <w:szCs w:val="22"/>
          <w:lang w:eastAsia="x-none"/>
        </w:rPr>
        <w:tab/>
      </w:r>
      <w:r w:rsidRPr="00EE0850">
        <w:rPr>
          <w:rFonts w:eastAsia="Calibri"/>
          <w:i/>
          <w:kern w:val="22"/>
          <w:szCs w:val="22"/>
          <w:lang w:eastAsia="x-none"/>
        </w:rPr>
        <w:t>Welcomes</w:t>
      </w:r>
      <w:r w:rsidRPr="00EE0850">
        <w:rPr>
          <w:rFonts w:eastAsia="Calibri"/>
          <w:kern w:val="22"/>
          <w:szCs w:val="22"/>
          <w:lang w:eastAsia="x-none"/>
        </w:rPr>
        <w:t xml:space="preserve"> progress made by the Secretariat in the implementation and operation of the Access and Benefit-sharing Clearing-House, and </w:t>
      </w:r>
      <w:r w:rsidRPr="00EE0850">
        <w:rPr>
          <w:rFonts w:eastAsia="Calibri"/>
          <w:i/>
          <w:kern w:val="22"/>
          <w:szCs w:val="22"/>
          <w:lang w:eastAsia="x-none"/>
        </w:rPr>
        <w:t>emphasizes</w:t>
      </w:r>
      <w:r w:rsidRPr="00EE0850">
        <w:rPr>
          <w:rFonts w:eastAsia="Calibri"/>
          <w:kern w:val="22"/>
          <w:szCs w:val="22"/>
          <w:lang w:eastAsia="x-none"/>
        </w:rPr>
        <w:t xml:space="preserve"> the importance of making information available on the procedures to follow in order to access genetic resources and associated traditional knowledge in a country;</w:t>
      </w:r>
    </w:p>
    <w:p w14:paraId="5F91776D"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20.</w:t>
      </w:r>
      <w:r w:rsidRPr="00EE0850">
        <w:rPr>
          <w:rFonts w:eastAsia="Calibri"/>
          <w:kern w:val="22"/>
          <w:szCs w:val="22"/>
          <w:lang w:eastAsia="x-none"/>
        </w:rPr>
        <w:tab/>
      </w:r>
      <w:r w:rsidRPr="00EE0850">
        <w:rPr>
          <w:rFonts w:eastAsia="Calibri"/>
          <w:i/>
          <w:kern w:val="22"/>
          <w:szCs w:val="22"/>
          <w:lang w:eastAsia="x-none"/>
        </w:rPr>
        <w:t>Requests</w:t>
      </w:r>
      <w:r w:rsidRPr="00EE0850">
        <w:rPr>
          <w:rFonts w:eastAsia="Calibri"/>
          <w:kern w:val="22"/>
          <w:szCs w:val="22"/>
          <w:lang w:eastAsia="x-none"/>
        </w:rPr>
        <w:t xml:space="preserve"> the Executive Secretary:</w:t>
      </w:r>
    </w:p>
    <w:p w14:paraId="6A9F8B2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(a)</w:t>
      </w:r>
      <w:r w:rsidRPr="00EE0850">
        <w:rPr>
          <w:rFonts w:eastAsia="Calibri"/>
          <w:kern w:val="22"/>
          <w:szCs w:val="22"/>
          <w:lang w:eastAsia="x-none"/>
        </w:rPr>
        <w:tab/>
        <w:t>To prioritize the translation of the Access and Benefit-sharing</w:t>
      </w:r>
      <w:r w:rsidRPr="00EE0850" w:rsidDel="00985E4F">
        <w:rPr>
          <w:rFonts w:eastAsia="Calibri"/>
          <w:kern w:val="22"/>
          <w:szCs w:val="22"/>
          <w:lang w:eastAsia="x-none"/>
        </w:rPr>
        <w:t xml:space="preserve"> </w:t>
      </w:r>
      <w:r w:rsidRPr="00EE0850">
        <w:rPr>
          <w:rFonts w:eastAsia="Calibri"/>
          <w:kern w:val="22"/>
          <w:szCs w:val="22"/>
          <w:lang w:eastAsia="x-none"/>
        </w:rPr>
        <w:t>Clearing-House into the six official languages of the United Nations;</w:t>
      </w:r>
    </w:p>
    <w:p w14:paraId="05AB43D9"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(b)</w:t>
      </w:r>
      <w:r w:rsidRPr="00EE0850">
        <w:rPr>
          <w:rFonts w:eastAsia="Calibri"/>
          <w:kern w:val="22"/>
          <w:szCs w:val="22"/>
          <w:lang w:eastAsia="x-none"/>
        </w:rPr>
        <w:tab/>
        <w:t>To continue to improve the performance of the Access and Benefit-sharing</w:t>
      </w:r>
      <w:r w:rsidRPr="00EE0850" w:rsidDel="00985E4F">
        <w:rPr>
          <w:rFonts w:eastAsia="Calibri"/>
          <w:kern w:val="22"/>
          <w:szCs w:val="22"/>
          <w:lang w:eastAsia="x-none"/>
        </w:rPr>
        <w:t xml:space="preserve"> </w:t>
      </w:r>
      <w:r w:rsidRPr="00EE0850">
        <w:rPr>
          <w:rFonts w:eastAsia="Calibri"/>
          <w:kern w:val="22"/>
          <w:szCs w:val="22"/>
          <w:lang w:eastAsia="x-none"/>
        </w:rPr>
        <w:t>Clearing-House</w:t>
      </w:r>
      <w:r w:rsidRPr="00EE0850">
        <w:rPr>
          <w:kern w:val="22"/>
          <w:szCs w:val="22"/>
          <w:lang w:eastAsia="x-none"/>
        </w:rPr>
        <w:t>;</w:t>
      </w:r>
    </w:p>
    <w:p w14:paraId="16569109"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(c)</w:t>
      </w:r>
      <w:r w:rsidRPr="00EE0850">
        <w:rPr>
          <w:rFonts w:eastAsia="Calibri"/>
          <w:kern w:val="22"/>
          <w:szCs w:val="22"/>
          <w:lang w:eastAsia="x-none"/>
        </w:rPr>
        <w:tab/>
        <w:t>To seek feedback from all types of users of the Access and Benefit-sharing</w:t>
      </w:r>
      <w:r w:rsidRPr="00EE0850" w:rsidDel="00985E4F">
        <w:rPr>
          <w:rFonts w:eastAsia="Calibri"/>
          <w:kern w:val="22"/>
          <w:szCs w:val="22"/>
          <w:lang w:eastAsia="x-none"/>
        </w:rPr>
        <w:t xml:space="preserve"> </w:t>
      </w:r>
      <w:r w:rsidRPr="00EE0850">
        <w:rPr>
          <w:rFonts w:eastAsia="Calibri"/>
          <w:kern w:val="22"/>
          <w:szCs w:val="22"/>
          <w:lang w:eastAsia="x-none"/>
        </w:rPr>
        <w:t>Clearing-House on its implementation and operation;</w:t>
      </w:r>
    </w:p>
    <w:p w14:paraId="1206B866"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lang w:eastAsia="x-none"/>
        </w:rPr>
      </w:pPr>
      <w:r w:rsidRPr="00EE0850">
        <w:rPr>
          <w:rFonts w:eastAsia="Calibri"/>
          <w:kern w:val="22"/>
          <w:szCs w:val="22"/>
          <w:lang w:eastAsia="x-none"/>
        </w:rPr>
        <w:t>21.</w:t>
      </w:r>
      <w:r w:rsidRPr="00EE0850">
        <w:rPr>
          <w:rFonts w:eastAsia="Calibri"/>
          <w:kern w:val="22"/>
          <w:szCs w:val="22"/>
          <w:lang w:eastAsia="x-none"/>
        </w:rPr>
        <w:tab/>
      </w:r>
      <w:r w:rsidRPr="00EE0850">
        <w:rPr>
          <w:rFonts w:eastAsia="Calibri"/>
          <w:i/>
          <w:kern w:val="22"/>
          <w:szCs w:val="22"/>
          <w:lang w:eastAsia="x-none"/>
        </w:rPr>
        <w:t>Also requests</w:t>
      </w:r>
      <w:r w:rsidRPr="00EE0850">
        <w:rPr>
          <w:rFonts w:eastAsia="Calibri"/>
          <w:kern w:val="22"/>
          <w:szCs w:val="22"/>
          <w:lang w:eastAsia="x-none"/>
        </w:rPr>
        <w:t xml:space="preserve"> the Executive Secretary to continue providing technical assistance for the submission of information on the Access and Benefit-sharing Clearing-House, including:</w:t>
      </w:r>
    </w:p>
    <w:p w14:paraId="26DCE863"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(a)</w:t>
      </w:r>
      <w:r w:rsidRPr="00EE0850">
        <w:rPr>
          <w:rFonts w:eastAsia="Calibri"/>
          <w:kern w:val="22"/>
          <w:szCs w:val="22"/>
          <w:u w:color="000000"/>
        </w:rPr>
        <w:tab/>
        <w:t>Encouraging the publication by Parties, as well as non-Parties, of all mandatory and other relevant information available at the national level in the Access and Benefit-Sharing Clearing-House and to provide training in the use of the Access and Benefit-Sharing Clearing-House;</w:t>
      </w:r>
    </w:p>
    <w:p w14:paraId="03CBF4D0"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(b)</w:t>
      </w:r>
      <w:r w:rsidRPr="00EE0850">
        <w:rPr>
          <w:rFonts w:eastAsia="Calibri"/>
          <w:kern w:val="22"/>
          <w:szCs w:val="22"/>
          <w:u w:color="000000"/>
        </w:rPr>
        <w:tab/>
        <w:t>Encouraging the publication of reference records, as appropriate, by relevant stakeholders, indigenous peoples and local communities, and relevant organizations on the Access and Benefit-Sharing Clearing-House;</w:t>
      </w:r>
    </w:p>
    <w:p w14:paraId="427B70A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(c)</w:t>
      </w:r>
      <w:r w:rsidRPr="00EE0850">
        <w:rPr>
          <w:rFonts w:eastAsia="Calibri"/>
          <w:kern w:val="22"/>
          <w:szCs w:val="22"/>
          <w:u w:color="000000"/>
        </w:rPr>
        <w:tab/>
        <w:t>Increasing understanding of the functioning of the system for monitoring the utilization of genetic resources through the Access and Benefit-Sharing Clearing-House;</w:t>
      </w:r>
    </w:p>
    <w:p w14:paraId="149EA7F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b/>
          <w:snapToGrid w:val="0"/>
          <w:kern w:val="22"/>
          <w:szCs w:val="22"/>
          <w:lang w:eastAsia="en-CA"/>
        </w:rPr>
      </w:pPr>
      <w:r w:rsidRPr="00EE0850">
        <w:rPr>
          <w:rFonts w:eastAsia="Calibri"/>
          <w:kern w:val="22"/>
          <w:szCs w:val="22"/>
          <w:u w:color="000000"/>
        </w:rPr>
        <w:t>(d)</w:t>
      </w:r>
      <w:r w:rsidRPr="00EE0850">
        <w:rPr>
          <w:rFonts w:eastAsia="Calibri"/>
          <w:kern w:val="22"/>
          <w:szCs w:val="22"/>
          <w:u w:color="000000"/>
        </w:rPr>
        <w:tab/>
        <w:t>Encouraging the use of the interoperability features of the Access and Benefit-sharing Clearing-House, such as the application programming interface;</w:t>
      </w:r>
    </w:p>
    <w:p w14:paraId="259F7A84" w14:textId="77777777" w:rsidR="009F5D7B" w:rsidRPr="00EE0850" w:rsidRDefault="009F5D7B" w:rsidP="000C6220">
      <w:pPr>
        <w:pStyle w:val="ListParagraph"/>
        <w:keepNext/>
        <w:numPr>
          <w:ilvl w:val="0"/>
          <w:numId w:val="55"/>
        </w:numPr>
        <w:spacing w:before="120" w:line="240" w:lineRule="auto"/>
        <w:ind w:left="0" w:hanging="11"/>
        <w:contextualSpacing w:val="0"/>
        <w:jc w:val="center"/>
        <w:rPr>
          <w:b/>
          <w:snapToGrid w:val="0"/>
          <w:kern w:val="22"/>
          <w:szCs w:val="22"/>
          <w:lang w:eastAsia="x-none"/>
        </w:rPr>
      </w:pPr>
      <w:r w:rsidRPr="00EE0850">
        <w:rPr>
          <w:b/>
          <w:snapToGrid w:val="0"/>
          <w:kern w:val="22"/>
          <w:szCs w:val="22"/>
          <w:lang w:eastAsia="en-CA"/>
        </w:rPr>
        <w:t>Second assessment and review of the effectiveness of the Protocol</w:t>
      </w:r>
    </w:p>
    <w:p w14:paraId="722BD91D" w14:textId="77777777" w:rsidR="009F5D7B" w:rsidRPr="00EE0850" w:rsidRDefault="009F5D7B" w:rsidP="000C6220">
      <w:pPr>
        <w:pStyle w:val="ListParagraph"/>
        <w:suppressLineNumbers/>
        <w:suppressAutoHyphens/>
        <w:kinsoku w:val="0"/>
        <w:overflowPunct w:val="0"/>
        <w:autoSpaceDE w:val="0"/>
        <w:autoSpaceDN w:val="0"/>
        <w:adjustRightInd w:val="0"/>
        <w:snapToGrid w:val="0"/>
        <w:spacing w:before="120" w:line="240" w:lineRule="auto"/>
        <w:ind w:left="0" w:firstLine="720"/>
        <w:contextualSpacing w:val="0"/>
        <w:rPr>
          <w:i/>
          <w:kern w:val="22"/>
          <w:szCs w:val="22"/>
          <w:lang w:eastAsia="x-none"/>
        </w:rPr>
      </w:pPr>
      <w:r w:rsidRPr="00EE0850">
        <w:rPr>
          <w:i/>
          <w:kern w:val="22"/>
          <w:szCs w:val="22"/>
          <w:lang w:eastAsia="x-none"/>
        </w:rPr>
        <w:t>The Conference of the Parties serving as the meeting of the Parties to the Nagoya Protocol</w:t>
      </w:r>
    </w:p>
    <w:p w14:paraId="17353276" w14:textId="77777777" w:rsidR="009F5D7B" w:rsidRPr="00EE0850" w:rsidRDefault="009F5D7B" w:rsidP="000C6220">
      <w:pPr>
        <w:suppressLineNumbers/>
        <w:shd w:val="clear" w:color="auto" w:fill="FFFFFF" w:themeFill="background1"/>
        <w:suppressAutoHyphens/>
        <w:kinsoku w:val="0"/>
        <w:overflowPunct w:val="0"/>
        <w:autoSpaceDE w:val="0"/>
        <w:autoSpaceDN w:val="0"/>
        <w:snapToGrid w:val="0"/>
        <w:spacing w:before="120" w:line="240" w:lineRule="auto"/>
        <w:ind w:firstLine="720"/>
        <w:rPr>
          <w:i/>
          <w:snapToGrid w:val="0"/>
          <w:kern w:val="22"/>
          <w:szCs w:val="22"/>
          <w:lang w:eastAsia="en-CA"/>
        </w:rPr>
      </w:pPr>
      <w:r w:rsidRPr="00EE0850">
        <w:rPr>
          <w:i/>
          <w:kern w:val="22"/>
          <w:szCs w:val="22"/>
        </w:rPr>
        <w:t>Having considered</w:t>
      </w:r>
      <w:r w:rsidRPr="00EE0850">
        <w:rPr>
          <w:kern w:val="22"/>
          <w:szCs w:val="22"/>
        </w:rPr>
        <w:t xml:space="preserve"> the note by the Executive Secretary on assessment and review of the effectiveness of the Protocol (Article 31),</w:t>
      </w:r>
      <w:r w:rsidRPr="00EE0850">
        <w:rPr>
          <w:kern w:val="22"/>
          <w:szCs w:val="22"/>
          <w:vertAlign w:val="superscript"/>
        </w:rPr>
        <w:footnoteReference w:id="2"/>
      </w:r>
    </w:p>
    <w:p w14:paraId="6EDD9555" w14:textId="77777777" w:rsidR="009F5D7B" w:rsidRPr="00EE0850" w:rsidRDefault="009F5D7B" w:rsidP="000C6220">
      <w:pPr>
        <w:suppressLineNumbers/>
        <w:shd w:val="clear" w:color="auto" w:fill="FFFFFF" w:themeFill="background1"/>
        <w:suppressAutoHyphens/>
        <w:kinsoku w:val="0"/>
        <w:overflowPunct w:val="0"/>
        <w:autoSpaceDE w:val="0"/>
        <w:autoSpaceDN w:val="0"/>
        <w:snapToGrid w:val="0"/>
        <w:spacing w:before="120" w:line="240" w:lineRule="auto"/>
        <w:ind w:firstLine="720"/>
        <w:rPr>
          <w:i/>
          <w:snapToGrid w:val="0"/>
          <w:kern w:val="22"/>
          <w:szCs w:val="22"/>
          <w:lang w:eastAsia="en-CA"/>
        </w:rPr>
      </w:pPr>
      <w:r w:rsidRPr="00EE0850">
        <w:rPr>
          <w:i/>
          <w:snapToGrid w:val="0"/>
          <w:kern w:val="22"/>
          <w:szCs w:val="22"/>
          <w:lang w:eastAsia="en-CA"/>
        </w:rPr>
        <w:t xml:space="preserve">Mindful </w:t>
      </w:r>
      <w:r w:rsidRPr="00EE0850">
        <w:rPr>
          <w:snapToGrid w:val="0"/>
          <w:kern w:val="22"/>
          <w:szCs w:val="22"/>
          <w:lang w:eastAsia="en-CA"/>
        </w:rPr>
        <w:t>of the linkages between the submission of national reports and the assessment and review process,</w:t>
      </w:r>
    </w:p>
    <w:p w14:paraId="45B6CE1F" w14:textId="77777777" w:rsidR="009F5D7B" w:rsidRPr="00EE0850" w:rsidRDefault="009F5D7B" w:rsidP="000C6220">
      <w:pPr>
        <w:suppressLineNumbers/>
        <w:shd w:val="clear" w:color="auto" w:fill="FFFFFF" w:themeFill="background1"/>
        <w:suppressAutoHyphens/>
        <w:kinsoku w:val="0"/>
        <w:overflowPunct w:val="0"/>
        <w:autoSpaceDE w:val="0"/>
        <w:autoSpaceDN w:val="0"/>
        <w:snapToGrid w:val="0"/>
        <w:spacing w:before="120" w:line="240" w:lineRule="auto"/>
        <w:ind w:firstLine="720"/>
        <w:rPr>
          <w:snapToGrid w:val="0"/>
          <w:kern w:val="22"/>
          <w:szCs w:val="22"/>
          <w:lang w:eastAsia="en-CA"/>
        </w:rPr>
      </w:pPr>
      <w:r w:rsidRPr="00EE0850">
        <w:rPr>
          <w:snapToGrid w:val="0"/>
          <w:kern w:val="22"/>
          <w:szCs w:val="22"/>
          <w:lang w:eastAsia="en-CA"/>
        </w:rPr>
        <w:t>1.</w:t>
      </w:r>
      <w:r w:rsidRPr="00EE0850">
        <w:rPr>
          <w:snapToGrid w:val="0"/>
          <w:kern w:val="22"/>
          <w:szCs w:val="22"/>
          <w:lang w:eastAsia="en-CA"/>
        </w:rPr>
        <w:tab/>
      </w:r>
      <w:r w:rsidRPr="00EE0850">
        <w:rPr>
          <w:i/>
          <w:snapToGrid w:val="0"/>
          <w:kern w:val="22"/>
          <w:szCs w:val="22"/>
          <w:lang w:eastAsia="en-CA"/>
        </w:rPr>
        <w:t>Decides</w:t>
      </w:r>
      <w:r w:rsidRPr="00EE0850">
        <w:rPr>
          <w:snapToGrid w:val="0"/>
          <w:kern w:val="22"/>
          <w:szCs w:val="22"/>
          <w:lang w:eastAsia="en-CA"/>
        </w:rPr>
        <w:t xml:space="preserve"> to conduct the second assessment and review of the effectiveness of the Protocol at the sixth meeting of the Conference of the Parties serving as the meeting of the Parties to the Protocol, in 2024;</w:t>
      </w:r>
    </w:p>
    <w:p w14:paraId="110E5900" w14:textId="77777777" w:rsidR="009F5D7B" w:rsidRPr="00EE0850" w:rsidRDefault="009F5D7B" w:rsidP="000C6220">
      <w:pPr>
        <w:suppressLineNumbers/>
        <w:shd w:val="clear" w:color="auto" w:fill="FFFFFF" w:themeFill="background1"/>
        <w:suppressAutoHyphens/>
        <w:spacing w:before="120" w:line="240" w:lineRule="auto"/>
        <w:ind w:firstLine="720"/>
        <w:rPr>
          <w:snapToGrid w:val="0"/>
          <w:kern w:val="22"/>
          <w:szCs w:val="22"/>
          <w:lang w:eastAsia="en-CA"/>
        </w:rPr>
      </w:pPr>
      <w:r w:rsidRPr="00EE0850">
        <w:rPr>
          <w:snapToGrid w:val="0"/>
          <w:kern w:val="22"/>
          <w:szCs w:val="22"/>
          <w:lang w:eastAsia="en-CA"/>
        </w:rPr>
        <w:t>2.</w:t>
      </w:r>
      <w:r w:rsidRPr="00EE0850">
        <w:rPr>
          <w:snapToGrid w:val="0"/>
          <w:kern w:val="22"/>
          <w:szCs w:val="22"/>
          <w:lang w:eastAsia="en-CA"/>
        </w:rPr>
        <w:tab/>
      </w:r>
      <w:r w:rsidRPr="00EE0850">
        <w:rPr>
          <w:i/>
          <w:snapToGrid w:val="0"/>
          <w:kern w:val="22"/>
          <w:szCs w:val="22"/>
          <w:lang w:eastAsia="en-CA"/>
        </w:rPr>
        <w:t>Requests</w:t>
      </w:r>
      <w:r w:rsidRPr="00EE0850">
        <w:rPr>
          <w:snapToGrid w:val="0"/>
          <w:kern w:val="22"/>
          <w:szCs w:val="22"/>
          <w:lang w:eastAsia="en-CA"/>
        </w:rPr>
        <w:t xml:space="preserve"> the Executive Secretary to propose a methodology for conducting the second assessment and review of the effectiveness of the Protocol, taking into account the outcomes and lessons learned from the first assessment and review process, experiences from the assessment and review process under the Cartagena Protocol on Biosafety, and the post-2020 global biodiversity framework;</w:t>
      </w:r>
    </w:p>
    <w:p w14:paraId="6E791164" w14:textId="77777777" w:rsidR="009F5D7B" w:rsidRPr="00EE0850" w:rsidRDefault="009F5D7B" w:rsidP="000C6220">
      <w:pPr>
        <w:suppressLineNumbers/>
        <w:shd w:val="clear" w:color="auto" w:fill="FFFFFF" w:themeFill="background1"/>
        <w:suppressAutoHyphens/>
        <w:spacing w:before="120" w:line="240" w:lineRule="auto"/>
        <w:ind w:firstLine="720"/>
        <w:rPr>
          <w:snapToGrid w:val="0"/>
          <w:kern w:val="22"/>
          <w:szCs w:val="22"/>
          <w:lang w:eastAsia="en-CA"/>
        </w:rPr>
      </w:pPr>
      <w:r w:rsidRPr="00EE0850">
        <w:rPr>
          <w:snapToGrid w:val="0"/>
          <w:kern w:val="22"/>
          <w:szCs w:val="22"/>
          <w:lang w:eastAsia="en-CA"/>
        </w:rPr>
        <w:t>3.</w:t>
      </w:r>
      <w:r w:rsidRPr="00EE0850">
        <w:rPr>
          <w:i/>
          <w:snapToGrid w:val="0"/>
          <w:kern w:val="22"/>
          <w:szCs w:val="22"/>
          <w:lang w:eastAsia="en-CA"/>
        </w:rPr>
        <w:tab/>
        <w:t>Requests</w:t>
      </w:r>
      <w:r w:rsidRPr="00EE0850">
        <w:rPr>
          <w:snapToGrid w:val="0"/>
          <w:kern w:val="22"/>
          <w:szCs w:val="22"/>
          <w:lang w:eastAsia="en-CA"/>
        </w:rPr>
        <w:t xml:space="preserve"> the Subsidiary Body on Implementation to consider, at its fourth meeting, the proposed methodology referred to in paragraph 2 above and make recommendations for the consideration of the Conference of the Parties serving as the meeting of the Parties to the Protocol at its fifth meeting;</w:t>
      </w:r>
    </w:p>
    <w:p w14:paraId="359D129A" w14:textId="77777777" w:rsidR="009F5D7B" w:rsidRPr="00EE0850" w:rsidRDefault="009F5D7B" w:rsidP="000C6220">
      <w:pPr>
        <w:suppressLineNumbers/>
        <w:shd w:val="clear" w:color="auto" w:fill="FFFFFF" w:themeFill="background1"/>
        <w:suppressAutoHyphens/>
        <w:kinsoku w:val="0"/>
        <w:overflowPunct w:val="0"/>
        <w:autoSpaceDE w:val="0"/>
        <w:autoSpaceDN w:val="0"/>
        <w:snapToGrid w:val="0"/>
        <w:spacing w:before="120" w:line="240" w:lineRule="auto"/>
        <w:ind w:firstLine="720"/>
        <w:rPr>
          <w:snapToGrid w:val="0"/>
          <w:kern w:val="22"/>
          <w:szCs w:val="22"/>
          <w:lang w:eastAsia="en-CA"/>
        </w:rPr>
      </w:pPr>
      <w:r w:rsidRPr="00EE0850">
        <w:rPr>
          <w:snapToGrid w:val="0"/>
          <w:kern w:val="22"/>
          <w:szCs w:val="22"/>
          <w:lang w:eastAsia="en-CA"/>
        </w:rPr>
        <w:t>4.</w:t>
      </w:r>
      <w:r w:rsidRPr="00EE0850">
        <w:rPr>
          <w:snapToGrid w:val="0"/>
          <w:kern w:val="22"/>
          <w:szCs w:val="22"/>
          <w:lang w:eastAsia="en-CA"/>
        </w:rPr>
        <w:tab/>
      </w:r>
      <w:r w:rsidRPr="00EE0850">
        <w:rPr>
          <w:i/>
          <w:snapToGrid w:val="0"/>
          <w:kern w:val="22"/>
          <w:szCs w:val="22"/>
          <w:lang w:eastAsia="en-CA"/>
        </w:rPr>
        <w:t xml:space="preserve">Decides </w:t>
      </w:r>
      <w:r w:rsidRPr="00EE0850">
        <w:rPr>
          <w:snapToGrid w:val="0"/>
          <w:kern w:val="22"/>
          <w:szCs w:val="22"/>
          <w:lang w:eastAsia="en-CA"/>
        </w:rPr>
        <w:t>to revisit the issue of intervals for subsequent assessment and review of the effectiveness of the Protocol at a subsequent meeting of the Conference of the Parties serving as the meeting of the Parties to the Protocol.</w:t>
      </w:r>
    </w:p>
    <w:p w14:paraId="65DF7FBA" w14:textId="77777777" w:rsidR="009F5D7B" w:rsidRPr="00EE0850" w:rsidRDefault="009F5D7B" w:rsidP="000C6220">
      <w:pPr>
        <w:suppressLineNumbers/>
        <w:shd w:val="clear" w:color="auto" w:fill="FFFFFF" w:themeFill="background1"/>
        <w:suppressAutoHyphens/>
        <w:kinsoku w:val="0"/>
        <w:overflowPunct w:val="0"/>
        <w:autoSpaceDE w:val="0"/>
        <w:autoSpaceDN w:val="0"/>
        <w:adjustRightInd w:val="0"/>
        <w:snapToGrid w:val="0"/>
        <w:spacing w:after="0" w:line="240" w:lineRule="auto"/>
        <w:rPr>
          <w:rFonts w:eastAsia="Calibri"/>
          <w:kern w:val="22"/>
          <w:szCs w:val="22"/>
          <w:u w:color="000000"/>
        </w:rPr>
      </w:pPr>
    </w:p>
    <w:p w14:paraId="4A33DDFC" w14:textId="77777777" w:rsidR="009F5D7B" w:rsidRPr="00EE0850" w:rsidRDefault="009F5D7B" w:rsidP="000C6220">
      <w:pPr>
        <w:keepNext/>
        <w:suppressLineNumbers/>
        <w:suppressAutoHyphens/>
        <w:kinsoku w:val="0"/>
        <w:overflowPunct w:val="0"/>
        <w:autoSpaceDE w:val="0"/>
        <w:autoSpaceDN w:val="0"/>
        <w:adjustRightInd w:val="0"/>
        <w:snapToGrid w:val="0"/>
        <w:spacing w:line="240" w:lineRule="auto"/>
        <w:jc w:val="center"/>
        <w:outlineLvl w:val="2"/>
        <w:rPr>
          <w:i/>
          <w:kern w:val="22"/>
          <w:szCs w:val="22"/>
        </w:rPr>
      </w:pPr>
      <w:r w:rsidRPr="00EE0850">
        <w:rPr>
          <w:i/>
          <w:kern w:val="22"/>
          <w:szCs w:val="22"/>
        </w:rPr>
        <w:t>Annex I</w:t>
      </w:r>
    </w:p>
    <w:p w14:paraId="42D7D71A" w14:textId="77777777" w:rsidR="009F5D7B" w:rsidRPr="00EE0850" w:rsidRDefault="009F5D7B" w:rsidP="000C6220">
      <w:pPr>
        <w:keepNext/>
        <w:suppressLineNumbers/>
        <w:suppressAutoHyphens/>
        <w:kinsoku w:val="0"/>
        <w:overflowPunct w:val="0"/>
        <w:autoSpaceDE w:val="0"/>
        <w:autoSpaceDN w:val="0"/>
        <w:adjustRightInd w:val="0"/>
        <w:snapToGrid w:val="0"/>
        <w:spacing w:before="120" w:line="240" w:lineRule="auto"/>
        <w:jc w:val="center"/>
        <w:rPr>
          <w:b/>
          <w:kern w:val="22"/>
          <w:szCs w:val="22"/>
        </w:rPr>
      </w:pPr>
      <w:r w:rsidRPr="00EE0850">
        <w:rPr>
          <w:b/>
          <w:kern w:val="22"/>
          <w:szCs w:val="22"/>
        </w:rPr>
        <w:t>KEY FINDINGS</w:t>
      </w:r>
    </w:p>
    <w:p w14:paraId="6D63D004" w14:textId="77777777" w:rsidR="009F5D7B" w:rsidRPr="00EE0850" w:rsidRDefault="009F5D7B" w:rsidP="000C6220">
      <w:pPr>
        <w:keepNext/>
        <w:suppressLineNumbers/>
        <w:suppressAutoHyphens/>
        <w:kinsoku w:val="0"/>
        <w:overflowPunct w:val="0"/>
        <w:autoSpaceDE w:val="0"/>
        <w:autoSpaceDN w:val="0"/>
        <w:adjustRightInd w:val="0"/>
        <w:snapToGrid w:val="0"/>
        <w:spacing w:line="240" w:lineRule="auto"/>
        <w:ind w:left="1267" w:hanging="1267"/>
        <w:rPr>
          <w:rFonts w:ascii="Times New Roman Bold" w:eastAsia="Calibri" w:hAnsi="Times New Roman Bold"/>
          <w:b/>
          <w:color w:val="000000"/>
          <w:spacing w:val="-1"/>
          <w:kern w:val="22"/>
          <w:szCs w:val="22"/>
          <w:u w:color="000000"/>
        </w:rPr>
      </w:pPr>
      <w:r w:rsidRPr="00EE0850">
        <w:rPr>
          <w:rFonts w:ascii="Times New Roman Bold" w:eastAsia="Calibri" w:hAnsi="Times New Roman Bold"/>
          <w:b/>
          <w:color w:val="000000"/>
          <w:spacing w:val="-1"/>
          <w:kern w:val="22"/>
          <w:szCs w:val="22"/>
          <w:u w:color="000000"/>
        </w:rPr>
        <w:t>Element (a):</w:t>
      </w:r>
      <w:r w:rsidRPr="00EE0850">
        <w:rPr>
          <w:rFonts w:ascii="Times New Roman Bold" w:eastAsia="Calibri" w:hAnsi="Times New Roman Bold"/>
          <w:b/>
          <w:color w:val="000000"/>
          <w:spacing w:val="-1"/>
          <w:kern w:val="22"/>
          <w:szCs w:val="22"/>
          <w:u w:color="000000"/>
        </w:rPr>
        <w:tab/>
        <w:t>Extent of implementation of the provisions of the Nagoya Protocol and related obligations of Parties, including assessment of progress by Parties in establishing institutional structures and access and benefit-sharing</w:t>
      </w:r>
      <w:r w:rsidRPr="00EE0850" w:rsidDel="00CE65DF">
        <w:rPr>
          <w:rFonts w:ascii="Times New Roman Bold" w:eastAsia="Calibri" w:hAnsi="Times New Roman Bold"/>
          <w:b/>
          <w:color w:val="000000"/>
          <w:spacing w:val="-1"/>
          <w:kern w:val="22"/>
          <w:szCs w:val="22"/>
          <w:u w:color="000000"/>
        </w:rPr>
        <w:t xml:space="preserve"> </w:t>
      </w:r>
      <w:r w:rsidRPr="00EE0850">
        <w:rPr>
          <w:rFonts w:ascii="Times New Roman Bold" w:eastAsia="Calibri" w:hAnsi="Times New Roman Bold"/>
          <w:b/>
          <w:color w:val="000000"/>
          <w:spacing w:val="-1"/>
          <w:kern w:val="22"/>
          <w:szCs w:val="22"/>
          <w:u w:color="000000"/>
        </w:rPr>
        <w:t>measures to implement the Protocol</w:t>
      </w:r>
    </w:p>
    <w:p w14:paraId="293025E9"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w:t>
      </w:r>
      <w:r w:rsidRPr="00EE0850">
        <w:rPr>
          <w:kern w:val="22"/>
          <w:szCs w:val="22"/>
          <w:lang w:eastAsia="x-none"/>
        </w:rPr>
        <w:tab/>
        <w:t>In order to make the Nagoya Protocol operational, Parties need to establish access and benefit-sharing (ABS) legislative, administrative and policy measures and institutional arrangements and many Parties are still in the process of establishing these measures and institutions. For many Parties, this process is time-consuming and challenging.</w:t>
      </w:r>
    </w:p>
    <w:p w14:paraId="372B2A3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w:t>
      </w:r>
      <w:r w:rsidRPr="00EE0850">
        <w:rPr>
          <w:kern w:val="22"/>
          <w:szCs w:val="22"/>
          <w:lang w:eastAsia="x-none"/>
        </w:rPr>
        <w:tab/>
        <w:t>Progress in establishing institutional arrangements, such as competent national authorities and checkpoints, is closely related to progress in adopting ABS measures. Some measures adopted prior to the Nagoya Protocol included the designation of competent national authorities. However, the designation of checkpoints is a new requirement created by the Protocol and still needs to be addressed by many Parties.</w:t>
      </w:r>
    </w:p>
    <w:p w14:paraId="0E007B1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3.</w:t>
      </w:r>
      <w:r w:rsidRPr="00EE0850">
        <w:rPr>
          <w:kern w:val="22"/>
          <w:szCs w:val="22"/>
          <w:lang w:eastAsia="x-none"/>
        </w:rPr>
        <w:tab/>
        <w:t>Although the publication of mandatory information in the ABS Clearing-House is essential for the implementation of the Protocol, a number of Parties have not yet published on the ABS Clearing-House all available national information in accordance with Article 14 of the Nagoya Protocol.</w:t>
      </w:r>
    </w:p>
    <w:p w14:paraId="43800BA2"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4.</w:t>
      </w:r>
      <w:r w:rsidRPr="00EE0850">
        <w:rPr>
          <w:kern w:val="22"/>
          <w:szCs w:val="22"/>
          <w:lang w:eastAsia="x-none"/>
        </w:rPr>
        <w:tab/>
        <w:t>Considering its cross-cutting nature, the implementation of the Protocol requires the participation of indigenous peoples and local communities and relevant stakeholders (e.g. different business sectors and the scientific community) as well as coordination among different institutions and ministries (e.g. science and education, agriculture, trade, intellectual property). To assist in addressing this challenge, appropriate mechanisms could be established to facilitate coordination and participation, and awareness-raising and capacity-building may be required.</w:t>
      </w:r>
    </w:p>
    <w:p w14:paraId="224B289C"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5.</w:t>
      </w:r>
      <w:r w:rsidRPr="00EE0850">
        <w:rPr>
          <w:kern w:val="22"/>
          <w:szCs w:val="22"/>
          <w:lang w:eastAsia="x-none"/>
        </w:rPr>
        <w:tab/>
        <w:t>Other key challenges include developing ABS measures that support benefit-sharing while creating legal certainty, avoiding unnecessary complexity, delays and increased burdens and costs on users and</w:t>
      </w:r>
      <w:r w:rsidRPr="00EE0850" w:rsidDel="00560BF1">
        <w:rPr>
          <w:kern w:val="22"/>
          <w:szCs w:val="22"/>
          <w:lang w:eastAsia="x-none"/>
        </w:rPr>
        <w:t xml:space="preserve"> </w:t>
      </w:r>
      <w:r w:rsidRPr="00EE0850">
        <w:rPr>
          <w:kern w:val="22"/>
          <w:szCs w:val="22"/>
          <w:lang w:eastAsia="x-none"/>
        </w:rPr>
        <w:t>limited human resources working on ABS and the Nagoya Protocol in many Parties.</w:t>
      </w:r>
    </w:p>
    <w:p w14:paraId="3861AB95"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6.</w:t>
      </w:r>
      <w:r w:rsidRPr="00EE0850">
        <w:rPr>
          <w:kern w:val="22"/>
          <w:szCs w:val="22"/>
          <w:lang w:eastAsia="x-none"/>
        </w:rPr>
        <w:tab/>
        <w:t>In the light of these challenges, the development of interim measures could be considered as a first step. The needs of users of genetic resources and associated traditional knowledge, including relevant stakeholders from different sectors, should also be taken into account in developing ABS measures. Regional approaches may also be useful to support harmonized implementation of the Protocol.</w:t>
      </w:r>
      <w:r w:rsidRPr="00EE0850">
        <w:rPr>
          <w:rFonts w:eastAsia="Calibri"/>
          <w:kern w:val="22"/>
          <w:szCs w:val="22"/>
          <w:vertAlign w:val="superscript"/>
          <w:lang w:eastAsia="x-none"/>
        </w:rPr>
        <w:footnoteReference w:id="3"/>
      </w:r>
    </w:p>
    <w:p w14:paraId="160054D7"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7.</w:t>
      </w:r>
      <w:r w:rsidRPr="00EE0850">
        <w:rPr>
          <w:kern w:val="22"/>
          <w:szCs w:val="22"/>
          <w:lang w:eastAsia="x-none"/>
        </w:rPr>
        <w:tab/>
        <w:t>Implementing some of the new elements of the Protocol, namely the provisions on compliance, monitoring the utilization of genetic resources, including the designation of checkpoints, and the obligations related to indigenous peoples and local communities, presents a particular challenge.</w:t>
      </w:r>
    </w:p>
    <w:p w14:paraId="25C36A30"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8.</w:t>
      </w:r>
      <w:r w:rsidRPr="00EE0850">
        <w:rPr>
          <w:kern w:val="22"/>
          <w:szCs w:val="22"/>
          <w:lang w:eastAsia="x-none"/>
        </w:rPr>
        <w:tab/>
        <w:t>The Nagoya Protocol does not distinguish between countries that are users and countries that are providers of genetic resources, and obligations in the Protocol apply to all Parties, including provisions related to compliance with domestic legislation or regulatory requirements according to Articles 15 and 16.</w:t>
      </w:r>
    </w:p>
    <w:p w14:paraId="54CD821C"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9.</w:t>
      </w:r>
      <w:r w:rsidRPr="00EE0850">
        <w:rPr>
          <w:kern w:val="22"/>
          <w:szCs w:val="22"/>
          <w:lang w:eastAsia="x-none"/>
        </w:rPr>
        <w:tab/>
        <w:t>With respect to checkpoints, there is a need for Parties to better understand their functions and options for their designation in the light of their national context. There is also a need to build the capacity of checkpoints to enable them to carry out their functions.</w:t>
      </w:r>
    </w:p>
    <w:p w14:paraId="6B0561BB"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10.</w:t>
      </w:r>
      <w:r w:rsidRPr="00EE0850">
        <w:rPr>
          <w:kern w:val="22"/>
          <w:szCs w:val="22"/>
          <w:lang w:eastAsia="x-none"/>
        </w:rPr>
        <w:tab/>
        <w:t>With respect to indigenous peoples and local communities, challenges include: determining how the concept of “indigenous peoples and local communities” applies at the national level; clarifying the rights of indigenous peoples and local communities over genetic resources and/or traditional knowledge associated with genetic resources; identifying the different groups of indigenous peoples and local communities; understanding the way they are organized; and linking traditional knowledge with the holder/s of such knowledge. In order to address these challenges, the following could be considered:</w:t>
      </w:r>
    </w:p>
    <w:p w14:paraId="488342E9"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09"/>
        <w:rPr>
          <w:rFonts w:eastAsia="Calibri"/>
          <w:kern w:val="22"/>
          <w:szCs w:val="22"/>
          <w:u w:color="000000"/>
        </w:rPr>
      </w:pPr>
      <w:r w:rsidRPr="00EE0850">
        <w:rPr>
          <w:rFonts w:eastAsia="Calibri"/>
          <w:kern w:val="22"/>
          <w:szCs w:val="22"/>
          <w:u w:color="000000"/>
        </w:rPr>
        <w:t>(a)</w:t>
      </w:r>
      <w:r w:rsidRPr="00EE0850">
        <w:rPr>
          <w:rFonts w:eastAsia="Calibri"/>
          <w:kern w:val="22"/>
          <w:szCs w:val="22"/>
          <w:u w:color="000000"/>
        </w:rPr>
        <w:tab/>
        <w:t>Building the capacity of Parties to support the implementation of the provisions of the Protocol related to indigenous peoples and local communities as well as the capacity of indigenous peoples and local communities with respect to ABS issues;</w:t>
      </w:r>
    </w:p>
    <w:p w14:paraId="6EAAC7C6"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09"/>
        <w:rPr>
          <w:rFonts w:eastAsia="Calibri"/>
          <w:kern w:val="22"/>
          <w:szCs w:val="22"/>
          <w:u w:color="000000"/>
        </w:rPr>
      </w:pPr>
      <w:r w:rsidRPr="00EE0850">
        <w:rPr>
          <w:rFonts w:eastAsia="Calibri"/>
          <w:kern w:val="22"/>
          <w:szCs w:val="22"/>
          <w:u w:color="000000"/>
        </w:rPr>
        <w:t>(b)</w:t>
      </w:r>
      <w:r w:rsidRPr="00EE0850">
        <w:rPr>
          <w:rFonts w:eastAsia="Calibri"/>
          <w:kern w:val="22"/>
          <w:szCs w:val="22"/>
          <w:u w:color="000000"/>
        </w:rPr>
        <w:tab/>
        <w:t>Relevant work of the Ad Hoc Open-ended Working Group on Article 8(j) and Related Provisions on the concept of indigenous peoples and local communities;</w:t>
      </w:r>
      <w:r w:rsidRPr="00EE0850">
        <w:rPr>
          <w:rFonts w:eastAsia="Calibri"/>
          <w:kern w:val="22"/>
          <w:szCs w:val="22"/>
          <w:vertAlign w:val="superscript"/>
        </w:rPr>
        <w:footnoteReference w:id="4"/>
      </w:r>
    </w:p>
    <w:p w14:paraId="28BEDCAF"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09"/>
        <w:rPr>
          <w:rFonts w:eastAsia="Calibri"/>
          <w:kern w:val="22"/>
          <w:szCs w:val="22"/>
          <w:u w:color="000000"/>
        </w:rPr>
      </w:pPr>
      <w:r w:rsidRPr="00EE0850">
        <w:rPr>
          <w:rFonts w:eastAsia="Calibri"/>
          <w:kern w:val="22"/>
          <w:szCs w:val="22"/>
          <w:u w:color="000000"/>
        </w:rPr>
        <w:t>(c)</w:t>
      </w:r>
      <w:r w:rsidRPr="00EE0850">
        <w:rPr>
          <w:rFonts w:eastAsia="Calibri"/>
          <w:kern w:val="22"/>
          <w:szCs w:val="22"/>
          <w:u w:color="000000"/>
        </w:rPr>
        <w:tab/>
        <w:t>National mechanisms for the participation of indigenous peoples and local communities in the implementation of the provisions of the Protocol related to indigenous peoples and local communities, taking into account national circumstances;</w:t>
      </w:r>
    </w:p>
    <w:p w14:paraId="3D24F2D3"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09"/>
        <w:rPr>
          <w:rFonts w:eastAsia="Calibri"/>
          <w:kern w:val="22"/>
          <w:szCs w:val="22"/>
          <w:u w:color="000000"/>
        </w:rPr>
      </w:pPr>
      <w:r w:rsidRPr="00EE0850">
        <w:rPr>
          <w:rFonts w:eastAsia="Calibri"/>
          <w:kern w:val="22"/>
          <w:szCs w:val="22"/>
          <w:u w:color="000000"/>
        </w:rPr>
        <w:t>(d)</w:t>
      </w:r>
      <w:r w:rsidRPr="00EE0850">
        <w:rPr>
          <w:rFonts w:eastAsia="Calibri"/>
          <w:kern w:val="22"/>
          <w:szCs w:val="22"/>
          <w:u w:color="000000"/>
        </w:rPr>
        <w:tab/>
        <w:t>Support for coordination and institution building within and among indigenous peoples and local communities to address ABS issues including through the development of community protocols;</w:t>
      </w:r>
    </w:p>
    <w:p w14:paraId="4D846CE8"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09"/>
        <w:rPr>
          <w:rFonts w:eastAsia="Calibri"/>
          <w:kern w:val="22"/>
          <w:szCs w:val="22"/>
          <w:u w:color="000000"/>
        </w:rPr>
      </w:pPr>
      <w:r w:rsidRPr="00EE0850">
        <w:rPr>
          <w:rFonts w:eastAsia="Calibri"/>
          <w:kern w:val="22"/>
          <w:szCs w:val="22"/>
          <w:u w:color="000000"/>
        </w:rPr>
        <w:t>(e)</w:t>
      </w:r>
      <w:r w:rsidRPr="00EE0850">
        <w:rPr>
          <w:rFonts w:eastAsia="Calibri"/>
          <w:kern w:val="22"/>
          <w:szCs w:val="22"/>
          <w:u w:color="000000"/>
        </w:rPr>
        <w:tab/>
        <w:t>Capacity-building to support indigenous peoples and local communities in developing minimum requirements for mutually agreed terms and model contractual clauses for benefit-sharing arising from the utilization of traditional knowledge associated with genetic resources.</w:t>
      </w:r>
    </w:p>
    <w:p w14:paraId="6C52DB77"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11.</w:t>
      </w:r>
      <w:r w:rsidRPr="00EE0850">
        <w:rPr>
          <w:kern w:val="22"/>
          <w:szCs w:val="22"/>
          <w:lang w:eastAsia="x-none"/>
        </w:rPr>
        <w:tab/>
        <w:t>Parties have different approaches to prior informed consent, mutually agreed terms and the issuance of permits. It is important for Parties to make clear information available on the ABS Clearing-House on the procedures to follow to access genetic resources and associated traditional knowledge.</w:t>
      </w:r>
    </w:p>
    <w:p w14:paraId="41BA669B"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12.</w:t>
      </w:r>
      <w:r w:rsidRPr="00EE0850">
        <w:rPr>
          <w:kern w:val="22"/>
          <w:szCs w:val="22"/>
          <w:lang w:eastAsia="x-none"/>
        </w:rPr>
        <w:tab/>
        <w:t>In addition, in the development and implementation of ABS legislation or regulatory requirements it is important that Parties take into account special considerations in accordance with Article 8 of the Protocol. Relevant work undertaken under the Food and Agriculture Organization of the United Nations,</w:t>
      </w:r>
      <w:r w:rsidRPr="00EE0850">
        <w:rPr>
          <w:rFonts w:eastAsia="Calibri"/>
          <w:kern w:val="22"/>
          <w:szCs w:val="22"/>
          <w:vertAlign w:val="superscript"/>
          <w:lang w:eastAsia="x-none"/>
        </w:rPr>
        <w:footnoteReference w:id="5"/>
      </w:r>
      <w:r w:rsidRPr="00EE0850">
        <w:rPr>
          <w:kern w:val="22"/>
          <w:szCs w:val="22"/>
          <w:lang w:eastAsia="x-none"/>
        </w:rPr>
        <w:t xml:space="preserve"> the World Health Organization and other organizations may be useful in this regard.</w:t>
      </w:r>
    </w:p>
    <w:p w14:paraId="26FF243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13.</w:t>
      </w:r>
      <w:r w:rsidRPr="00EE0850">
        <w:rPr>
          <w:kern w:val="22"/>
          <w:szCs w:val="22"/>
          <w:lang w:eastAsia="x-none"/>
        </w:rPr>
        <w:tab/>
        <w:t xml:space="preserve">The importance of sharing information and experience in relation to transboundary cooperation (Article 11) was highlighted. In particular, experiences acquired in </w:t>
      </w:r>
      <w:proofErr w:type="spellStart"/>
      <w:r w:rsidRPr="00EE0850">
        <w:rPr>
          <w:kern w:val="22"/>
          <w:szCs w:val="22"/>
          <w:lang w:eastAsia="x-none"/>
        </w:rPr>
        <w:t>subregional</w:t>
      </w:r>
      <w:proofErr w:type="spellEnd"/>
      <w:r w:rsidRPr="00EE0850">
        <w:rPr>
          <w:kern w:val="22"/>
          <w:szCs w:val="22"/>
          <w:lang w:eastAsia="x-none"/>
        </w:rPr>
        <w:t xml:space="preserve"> and bilateral projects could be relevant to assist in the implementation of this article. Regional structures or projects were identified by some as a way to address this issue, while noting that reinforcement of the capacity of regional structures to play that role would be needed.</w:t>
      </w:r>
    </w:p>
    <w:p w14:paraId="251E59DB"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14.</w:t>
      </w:r>
      <w:r w:rsidRPr="00EE0850">
        <w:rPr>
          <w:kern w:val="22"/>
          <w:szCs w:val="22"/>
          <w:lang w:eastAsia="x-none"/>
        </w:rPr>
        <w:tab/>
        <w:t>Capacity-building could also support harmonized implementation of the Protocol among countries that share the same genetic resources or traditional knowledge associated with genetic resources.</w:t>
      </w:r>
    </w:p>
    <w:p w14:paraId="1869FFA7" w14:textId="77777777" w:rsidR="009F5D7B" w:rsidRPr="00EE0850" w:rsidRDefault="009F5D7B" w:rsidP="000C6220">
      <w:pPr>
        <w:keepNext/>
        <w:suppressLineNumbers/>
        <w:suppressAutoHyphens/>
        <w:kinsoku w:val="0"/>
        <w:overflowPunct w:val="0"/>
        <w:autoSpaceDE w:val="0"/>
        <w:autoSpaceDN w:val="0"/>
        <w:adjustRightInd w:val="0"/>
        <w:snapToGrid w:val="0"/>
        <w:spacing w:line="240" w:lineRule="auto"/>
        <w:jc w:val="left"/>
        <w:rPr>
          <w:b/>
          <w:kern w:val="22"/>
          <w:szCs w:val="22"/>
        </w:rPr>
      </w:pPr>
      <w:r w:rsidRPr="00EE0850">
        <w:rPr>
          <w:b/>
          <w:kern w:val="22"/>
          <w:szCs w:val="22"/>
        </w:rPr>
        <w:t>Element (b) Establishment of a reference point to measure effectiveness</w:t>
      </w:r>
    </w:p>
    <w:p w14:paraId="35815C05"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15.</w:t>
      </w:r>
      <w:r w:rsidRPr="00EE0850">
        <w:rPr>
          <w:kern w:val="22"/>
          <w:szCs w:val="22"/>
          <w:lang w:eastAsia="x-none"/>
        </w:rPr>
        <w:tab/>
        <w:t>Some Parties reported on having received benefits received from the utilization of genetic resources and associated traditional knowledge.</w:t>
      </w:r>
    </w:p>
    <w:p w14:paraId="3EB4080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16.</w:t>
      </w:r>
      <w:r w:rsidRPr="00EE0850">
        <w:rPr>
          <w:kern w:val="22"/>
          <w:szCs w:val="22"/>
          <w:lang w:eastAsia="x-none"/>
        </w:rPr>
        <w:tab/>
        <w:t>With regard to how the implementation of the Nagoya Protocol contributed to conservation and sustainable use of biodiversity in their country, many considered that it was premature to answer this question as implementation of the Nagoya Protocol was at an early stage.</w:t>
      </w:r>
    </w:p>
    <w:p w14:paraId="1BA5CB9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17.</w:t>
      </w:r>
      <w:r w:rsidRPr="00EE0850">
        <w:rPr>
          <w:kern w:val="22"/>
          <w:szCs w:val="22"/>
          <w:lang w:eastAsia="x-none"/>
        </w:rPr>
        <w:tab/>
        <w:t>The most common contribution reported is an increase of awareness of the value of conservation and sustainable use of biodiversity and ecosystem services. Examples of other contributions highlighted by countries are the following:</w:t>
      </w:r>
    </w:p>
    <w:p w14:paraId="427F4248"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(a)</w:t>
      </w:r>
      <w:r w:rsidRPr="00EE0850">
        <w:rPr>
          <w:rFonts w:eastAsia="Calibri"/>
          <w:kern w:val="22"/>
          <w:szCs w:val="22"/>
          <w:u w:color="000000"/>
        </w:rPr>
        <w:tab/>
      </w:r>
      <w:r w:rsidRPr="00EE0850">
        <w:rPr>
          <w:kern w:val="22"/>
          <w:szCs w:val="22"/>
        </w:rPr>
        <w:t>M</w:t>
      </w:r>
      <w:r w:rsidRPr="00EE0850">
        <w:rPr>
          <w:rFonts w:eastAsia="Calibri"/>
          <w:kern w:val="22"/>
          <w:szCs w:val="22"/>
          <w:u w:color="000000"/>
        </w:rPr>
        <w:t>anagers of natural resources or authorities are more aware of the potential advantages of the Nagoya Protocol and are developing conservation practices;</w:t>
      </w:r>
    </w:p>
    <w:p w14:paraId="271E9E5F"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(b)</w:t>
      </w:r>
      <w:r w:rsidRPr="00EE0850">
        <w:rPr>
          <w:rFonts w:eastAsia="Calibri"/>
          <w:kern w:val="22"/>
          <w:szCs w:val="22"/>
          <w:u w:color="000000"/>
        </w:rPr>
        <w:tab/>
        <w:t xml:space="preserve">Implementing the Nagoya Protocol helped improving the knowledge about species, including through the development of databases or inventories and their population, and supports the </w:t>
      </w:r>
      <w:proofErr w:type="spellStart"/>
      <w:r w:rsidRPr="00EE0850">
        <w:rPr>
          <w:rFonts w:eastAsia="Calibri"/>
          <w:kern w:val="22"/>
          <w:szCs w:val="22"/>
          <w:u w:color="000000"/>
        </w:rPr>
        <w:t>valorization</w:t>
      </w:r>
      <w:proofErr w:type="spellEnd"/>
      <w:r w:rsidRPr="00EE0850">
        <w:rPr>
          <w:rFonts w:eastAsia="Calibri"/>
          <w:kern w:val="22"/>
          <w:szCs w:val="22"/>
          <w:u w:color="000000"/>
        </w:rPr>
        <w:t xml:space="preserve"> of genetic resources and special conservation approaches;</w:t>
      </w:r>
    </w:p>
    <w:p w14:paraId="5CAE70A9"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(c)</w:t>
      </w:r>
      <w:r w:rsidRPr="00EE0850">
        <w:rPr>
          <w:rFonts w:eastAsia="Calibri"/>
          <w:kern w:val="22"/>
          <w:szCs w:val="22"/>
          <w:u w:color="000000"/>
        </w:rPr>
        <w:tab/>
        <w:t>Increased involvement of communities in conservation and sustainable use;</w:t>
      </w:r>
    </w:p>
    <w:p w14:paraId="2B24EE8B"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(d)</w:t>
      </w:r>
      <w:r w:rsidRPr="00EE0850">
        <w:rPr>
          <w:rFonts w:eastAsia="Calibri"/>
          <w:kern w:val="22"/>
          <w:szCs w:val="22"/>
          <w:u w:color="000000"/>
        </w:rPr>
        <w:tab/>
        <w:t>Increased compliance by users of genetic resources;</w:t>
      </w:r>
    </w:p>
    <w:p w14:paraId="42E01A98"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(e)</w:t>
      </w:r>
      <w:r w:rsidRPr="00EE0850">
        <w:rPr>
          <w:rFonts w:eastAsia="Calibri"/>
          <w:kern w:val="22"/>
          <w:szCs w:val="22"/>
          <w:u w:color="000000"/>
        </w:rPr>
        <w:tab/>
        <w:t xml:space="preserve">Recognition of research and development as a key to the country’s </w:t>
      </w:r>
      <w:proofErr w:type="spellStart"/>
      <w:r w:rsidRPr="00EE0850">
        <w:rPr>
          <w:rFonts w:eastAsia="Calibri"/>
          <w:kern w:val="22"/>
          <w:szCs w:val="22"/>
          <w:u w:color="000000"/>
        </w:rPr>
        <w:t>valorization</w:t>
      </w:r>
      <w:proofErr w:type="spellEnd"/>
      <w:r w:rsidRPr="00EE0850">
        <w:rPr>
          <w:rFonts w:eastAsia="Calibri"/>
          <w:kern w:val="22"/>
          <w:szCs w:val="22"/>
          <w:u w:color="000000"/>
        </w:rPr>
        <w:t xml:space="preserve"> of genetic resources;</w:t>
      </w:r>
    </w:p>
    <w:p w14:paraId="2A6919BA" w14:textId="77777777" w:rsidR="009F5D7B" w:rsidRPr="00EE0850" w:rsidRDefault="009F5D7B" w:rsidP="000C6220">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line="240" w:lineRule="auto"/>
        <w:ind w:firstLine="720"/>
        <w:rPr>
          <w:rFonts w:eastAsia="Calibri"/>
          <w:kern w:val="22"/>
          <w:szCs w:val="22"/>
          <w:u w:color="000000"/>
        </w:rPr>
      </w:pPr>
      <w:r w:rsidRPr="00EE0850">
        <w:rPr>
          <w:rFonts w:eastAsia="Calibri"/>
          <w:kern w:val="22"/>
          <w:szCs w:val="22"/>
          <w:u w:color="000000"/>
        </w:rPr>
        <w:t>(f)</w:t>
      </w:r>
      <w:r w:rsidRPr="00EE0850">
        <w:rPr>
          <w:rFonts w:eastAsia="Calibri"/>
          <w:kern w:val="22"/>
          <w:szCs w:val="22"/>
          <w:u w:color="000000"/>
        </w:rPr>
        <w:tab/>
        <w:t>Implementing the Protocol played a key role in factoring elements of biodiversity conservation and use in government development agenda, including the 2030 Agenda.</w:t>
      </w:r>
    </w:p>
    <w:p w14:paraId="1D0CCC9D" w14:textId="77777777" w:rsidR="009F5D7B" w:rsidRPr="00EE0850" w:rsidRDefault="009F5D7B" w:rsidP="000C6220">
      <w:pPr>
        <w:keepNext/>
        <w:suppressLineNumbers/>
        <w:suppressAutoHyphens/>
        <w:kinsoku w:val="0"/>
        <w:overflowPunct w:val="0"/>
        <w:autoSpaceDE w:val="0"/>
        <w:autoSpaceDN w:val="0"/>
        <w:adjustRightInd w:val="0"/>
        <w:snapToGrid w:val="0"/>
        <w:spacing w:line="240" w:lineRule="auto"/>
        <w:jc w:val="left"/>
        <w:rPr>
          <w:rFonts w:eastAsia="Calibri"/>
          <w:b/>
          <w:color w:val="000000"/>
          <w:kern w:val="22"/>
          <w:szCs w:val="22"/>
          <w:u w:color="000000"/>
        </w:rPr>
      </w:pPr>
      <w:r w:rsidRPr="00EE0850">
        <w:rPr>
          <w:rFonts w:eastAsia="Calibri"/>
          <w:b/>
          <w:color w:val="000000"/>
          <w:kern w:val="22"/>
          <w:szCs w:val="22"/>
          <w:u w:color="000000"/>
        </w:rPr>
        <w:t>Element (c): Establishment of a reference point on support available for implementation</w:t>
      </w:r>
    </w:p>
    <w:p w14:paraId="0F1266EC"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18.</w:t>
      </w:r>
      <w:r w:rsidRPr="00EE0850">
        <w:rPr>
          <w:kern w:val="22"/>
          <w:szCs w:val="22"/>
          <w:lang w:eastAsia="x-none"/>
        </w:rPr>
        <w:tab/>
        <w:t>Although a number of capacity-building and development initiatives are currently supporting ratification and implementation of the Nagoya Protocol, many Parties still lack the necessary capacity and financial resources to make the Protocol operational. Capacity-building and development support therefore continue to be essential in order to make progress in the implementation of the Protocol, in particular for developing country Parties and Parties with economies in transition.</w:t>
      </w:r>
    </w:p>
    <w:p w14:paraId="500334F0"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19.</w:t>
      </w:r>
      <w:r w:rsidRPr="00EE0850">
        <w:rPr>
          <w:kern w:val="22"/>
          <w:szCs w:val="22"/>
          <w:lang w:eastAsia="x-none"/>
        </w:rPr>
        <w:tab/>
        <w:t>The wealth of information and experiences available in the national reports and in the ABS Clearing-House, as well as the exchange of experiences, may be useful to Parties in the establishment of institutional structures and the development of ABS measures. This information could also be taken into account in capacity-building projects. In addition, the use of existing tools and resources (e.g. guidelines, capacity-building materials) to support implementation could be encouraged.</w:t>
      </w:r>
    </w:p>
    <w:p w14:paraId="2612C6C9" w14:textId="77777777" w:rsidR="009F5D7B" w:rsidRPr="00EE0850" w:rsidRDefault="009F5D7B" w:rsidP="000C6220">
      <w:pPr>
        <w:keepNext/>
        <w:suppressLineNumbers/>
        <w:suppressAutoHyphens/>
        <w:kinsoku w:val="0"/>
        <w:overflowPunct w:val="0"/>
        <w:autoSpaceDE w:val="0"/>
        <w:autoSpaceDN w:val="0"/>
        <w:adjustRightInd w:val="0"/>
        <w:snapToGrid w:val="0"/>
        <w:spacing w:line="240" w:lineRule="auto"/>
        <w:jc w:val="left"/>
        <w:rPr>
          <w:rFonts w:eastAsia="Calibri"/>
          <w:b/>
          <w:color w:val="000000"/>
          <w:kern w:val="22"/>
          <w:szCs w:val="22"/>
          <w:u w:color="000000"/>
        </w:rPr>
      </w:pPr>
      <w:r w:rsidRPr="00EE0850">
        <w:rPr>
          <w:rFonts w:eastAsia="Calibri"/>
          <w:b/>
          <w:color w:val="000000"/>
          <w:kern w:val="22"/>
          <w:szCs w:val="22"/>
          <w:u w:color="000000"/>
        </w:rPr>
        <w:t>Element (d): Assessment of effectiveness of Article 18 (extent of implementation)</w:t>
      </w:r>
    </w:p>
    <w:p w14:paraId="3960E09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20.</w:t>
      </w:r>
      <w:r w:rsidRPr="00EE0850">
        <w:rPr>
          <w:kern w:val="22"/>
          <w:szCs w:val="22"/>
          <w:lang w:eastAsia="x-none"/>
        </w:rPr>
        <w:tab/>
        <w:t>The provisions of Article 18 on compliance with mutually agreed terms are often implemented at the national level through existing laws (e.g. contractual law, private international law, domestic measures related to access to justice) rather than through specific ABS measures.</w:t>
      </w:r>
    </w:p>
    <w:p w14:paraId="5493E275"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21.</w:t>
      </w:r>
      <w:r w:rsidRPr="00EE0850">
        <w:rPr>
          <w:kern w:val="22"/>
          <w:szCs w:val="22"/>
          <w:lang w:eastAsia="x-none"/>
        </w:rPr>
        <w:tab/>
        <w:t>When one party of a contract resides in a foreign country, the contractual relationship falls in the domain of private international law. Private international law seeks to regulate, first, which jurisdiction applies to a dispute; second, which law applies to the dispute; and third, whether and how eventual decisions or judgments are recognized and may be enforced in another jurisdiction. Each State has its own national rules on these matters, but some of these may have been harmonized through international agreements, guidelines, and model laws.</w:t>
      </w:r>
    </w:p>
    <w:p w14:paraId="48637CCB"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22.</w:t>
      </w:r>
      <w:r w:rsidRPr="00EE0850">
        <w:rPr>
          <w:kern w:val="22"/>
          <w:szCs w:val="22"/>
          <w:lang w:eastAsia="x-none"/>
        </w:rPr>
        <w:tab/>
        <w:t>Those developing ABS measures and/or implementing the Protocol may not be aware of all applicable legislation dealing with contractual law, private international law, domestic measures related to access to justice. A mechanism to support national coordination could assist in drawing from the expertise of other institutions dealing with these issues.</w:t>
      </w:r>
    </w:p>
    <w:p w14:paraId="2BB74CD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23.</w:t>
      </w:r>
      <w:r w:rsidRPr="00EE0850">
        <w:rPr>
          <w:kern w:val="22"/>
          <w:szCs w:val="22"/>
          <w:lang w:eastAsia="x-none"/>
        </w:rPr>
        <w:tab/>
        <w:t>Information contained in the interim national report, as well as the exchange of experiences may be useful for Parties to understand how the implementation of Article 18 can be supported.</w:t>
      </w:r>
    </w:p>
    <w:p w14:paraId="320CA150" w14:textId="77777777" w:rsidR="009F5D7B" w:rsidRPr="00EE0850" w:rsidRDefault="009F5D7B" w:rsidP="000C6220">
      <w:pPr>
        <w:keepNext/>
        <w:suppressLineNumbers/>
        <w:suppressAutoHyphens/>
        <w:kinsoku w:val="0"/>
        <w:overflowPunct w:val="0"/>
        <w:autoSpaceDE w:val="0"/>
        <w:autoSpaceDN w:val="0"/>
        <w:adjustRightInd w:val="0"/>
        <w:snapToGrid w:val="0"/>
        <w:spacing w:line="240" w:lineRule="auto"/>
        <w:ind w:left="1267" w:hanging="1267"/>
        <w:rPr>
          <w:rFonts w:eastAsia="Calibri"/>
          <w:b/>
          <w:color w:val="000000"/>
          <w:kern w:val="22"/>
          <w:szCs w:val="22"/>
          <w:u w:color="000000"/>
        </w:rPr>
      </w:pPr>
      <w:r w:rsidRPr="00EE0850">
        <w:rPr>
          <w:rFonts w:eastAsia="Calibri"/>
          <w:b/>
          <w:color w:val="000000"/>
          <w:kern w:val="22"/>
          <w:szCs w:val="22"/>
          <w:u w:color="000000"/>
        </w:rPr>
        <w:t>Element (e):</w:t>
      </w:r>
      <w:r w:rsidRPr="00EE0850">
        <w:rPr>
          <w:rFonts w:eastAsia="Calibri"/>
          <w:b/>
          <w:color w:val="000000"/>
          <w:kern w:val="22"/>
          <w:szCs w:val="22"/>
          <w:u w:color="000000"/>
        </w:rPr>
        <w:tab/>
      </w:r>
      <w:r w:rsidRPr="00EE0850">
        <w:rPr>
          <w:rFonts w:eastAsia="Calibri"/>
          <w:b/>
          <w:kern w:val="22"/>
          <w:szCs w:val="22"/>
        </w:rPr>
        <w:t>Assessment of implementation of Article 16 in light of developments in other relevant international organizations, including, inter alia, the World Intellectual Property Organization</w:t>
      </w:r>
    </w:p>
    <w:p w14:paraId="29954A8A"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24.</w:t>
      </w:r>
      <w:r w:rsidRPr="00EE0850">
        <w:rPr>
          <w:kern w:val="22"/>
          <w:szCs w:val="22"/>
          <w:lang w:eastAsia="x-none"/>
        </w:rPr>
        <w:tab/>
        <w:t>Many Parties are still in the process of establishing ABS measures and institutions arrangements to implement the Protocol. Implementation of the provisions on compliance and the obligations related to indigenous peoples and local communities are particularly challenging for Parties.</w:t>
      </w:r>
    </w:p>
    <w:p w14:paraId="5F5946C1" w14:textId="77777777" w:rsidR="009F5D7B" w:rsidRPr="00EE0850" w:rsidRDefault="009F5D7B" w:rsidP="000C6220">
      <w:pPr>
        <w:suppressLineNumbers/>
        <w:suppressAutoHyphens/>
        <w:kinsoku w:val="0"/>
        <w:overflowPunct w:val="0"/>
        <w:autoSpaceDE w:val="0"/>
        <w:autoSpaceDN w:val="0"/>
        <w:adjustRightInd w:val="0"/>
        <w:snapToGrid w:val="0"/>
        <w:spacing w:line="240" w:lineRule="auto"/>
        <w:rPr>
          <w:kern w:val="22"/>
          <w:szCs w:val="22"/>
        </w:rPr>
      </w:pPr>
      <w:r w:rsidRPr="00EE0850">
        <w:rPr>
          <w:kern w:val="22"/>
          <w:szCs w:val="22"/>
        </w:rPr>
        <w:t>25.</w:t>
      </w:r>
      <w:r w:rsidRPr="00EE0850">
        <w:rPr>
          <w:kern w:val="22"/>
          <w:szCs w:val="22"/>
        </w:rPr>
        <w:tab/>
        <w:t>The work on one or more international legal instrument(s) relating to intellectual property with a view to ensuring the balanced and effective protection of genetic resources, traditional knowledge and traditional cultural expressions under</w:t>
      </w:r>
      <w:r w:rsidRPr="00EE0850">
        <w:t xml:space="preserve"> </w:t>
      </w:r>
      <w:r w:rsidRPr="00EE0850">
        <w:rPr>
          <w:kern w:val="22"/>
          <w:szCs w:val="22"/>
        </w:rPr>
        <w:t>the World Intellectual Property Organization (WIPO) is still on going, and it is premature to assess how the outcomes of this process could contribute to implementation of the Nagoya Protocol.</w:t>
      </w:r>
    </w:p>
    <w:p w14:paraId="7EFC43E9"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26.</w:t>
      </w:r>
      <w:r w:rsidRPr="00EE0850">
        <w:rPr>
          <w:kern w:val="22"/>
          <w:szCs w:val="22"/>
          <w:lang w:eastAsia="x-none"/>
        </w:rPr>
        <w:tab/>
        <w:t xml:space="preserve">However, there are a number of existing tools and resources that could be used by Parties in advancing the implementation of Article 16 of the Nagoya Protocol, including those developed by WIPO and the CBD </w:t>
      </w:r>
      <w:proofErr w:type="spellStart"/>
      <w:r w:rsidRPr="00EE0850">
        <w:rPr>
          <w:kern w:val="22"/>
          <w:szCs w:val="22"/>
          <w:lang w:eastAsia="x-none"/>
        </w:rPr>
        <w:t>Mo’otz</w:t>
      </w:r>
      <w:proofErr w:type="spellEnd"/>
      <w:r w:rsidRPr="00EE0850">
        <w:rPr>
          <w:kern w:val="22"/>
          <w:szCs w:val="22"/>
          <w:lang w:eastAsia="x-none"/>
        </w:rPr>
        <w:t xml:space="preserve"> </w:t>
      </w:r>
      <w:proofErr w:type="spellStart"/>
      <w:r w:rsidRPr="00EE0850">
        <w:rPr>
          <w:kern w:val="22"/>
          <w:szCs w:val="22"/>
          <w:lang w:eastAsia="x-none"/>
        </w:rPr>
        <w:t>Kuxtal</w:t>
      </w:r>
      <w:proofErr w:type="spellEnd"/>
      <w:r w:rsidRPr="00EE0850">
        <w:rPr>
          <w:kern w:val="22"/>
          <w:szCs w:val="22"/>
          <w:lang w:eastAsia="x-none"/>
        </w:rPr>
        <w:t xml:space="preserve"> voluntary guidelines.</w:t>
      </w:r>
      <w:r w:rsidRPr="00EE0850">
        <w:rPr>
          <w:kern w:val="22"/>
          <w:szCs w:val="22"/>
          <w:vertAlign w:val="superscript"/>
          <w:lang w:eastAsia="x-none"/>
        </w:rPr>
        <w:footnoteReference w:id="6"/>
      </w:r>
    </w:p>
    <w:p w14:paraId="2EC62DC4" w14:textId="77777777" w:rsidR="009F5D7B" w:rsidRPr="00EE0850" w:rsidRDefault="009F5D7B" w:rsidP="000C6220">
      <w:pPr>
        <w:keepNext/>
        <w:suppressLineNumbers/>
        <w:suppressAutoHyphens/>
        <w:kinsoku w:val="0"/>
        <w:overflowPunct w:val="0"/>
        <w:autoSpaceDE w:val="0"/>
        <w:autoSpaceDN w:val="0"/>
        <w:adjustRightInd w:val="0"/>
        <w:snapToGrid w:val="0"/>
        <w:spacing w:line="240" w:lineRule="auto"/>
        <w:ind w:left="1267" w:hanging="1267"/>
        <w:rPr>
          <w:rFonts w:eastAsia="Calibri"/>
          <w:b/>
          <w:color w:val="000000"/>
          <w:kern w:val="22"/>
          <w:szCs w:val="22"/>
          <w:u w:color="000000"/>
        </w:rPr>
      </w:pPr>
      <w:r w:rsidRPr="00EE0850">
        <w:rPr>
          <w:rFonts w:eastAsia="Calibri"/>
          <w:b/>
          <w:color w:val="000000"/>
          <w:kern w:val="22"/>
          <w:szCs w:val="22"/>
          <w:u w:color="000000"/>
        </w:rPr>
        <w:t>Element (f):</w:t>
      </w:r>
      <w:r w:rsidRPr="00EE0850">
        <w:rPr>
          <w:rFonts w:eastAsia="Calibri"/>
          <w:b/>
          <w:color w:val="000000"/>
          <w:kern w:val="22"/>
          <w:szCs w:val="22"/>
          <w:u w:color="000000"/>
        </w:rPr>
        <w:tab/>
        <w:t>Stock-taking of the use of model contractual clauses, codes of conduct, guidelines, best practices and standards as well as indigenous peoples and local communities’ customary laws, community protocols and procedures</w:t>
      </w:r>
    </w:p>
    <w:p w14:paraId="03D6963E"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27.</w:t>
      </w:r>
      <w:r w:rsidRPr="00EE0850">
        <w:rPr>
          <w:kern w:val="22"/>
          <w:szCs w:val="22"/>
          <w:lang w:eastAsia="x-none"/>
        </w:rPr>
        <w:tab/>
        <w:t>A wide range of model contractual clauses, codes of conduct, guidelines, best practices and standards have been developed both by Governments and organizations. However, there is less information on how these tools are being used. It is unclear how the use of the tools could be measured.</w:t>
      </w:r>
    </w:p>
    <w:p w14:paraId="5A4E7A6D"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28.</w:t>
      </w:r>
      <w:r w:rsidRPr="00EE0850">
        <w:rPr>
          <w:kern w:val="22"/>
          <w:szCs w:val="22"/>
          <w:lang w:eastAsia="x-none"/>
        </w:rPr>
        <w:tab/>
        <w:t>User organizations and networks play an important role in addressing the needs of their members by developing tools that can bring clarity on how ABS can be incorporated in their practice and assisting their member organizations in complying with ABS requirements.</w:t>
      </w:r>
    </w:p>
    <w:p w14:paraId="0FBB8064"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29.</w:t>
      </w:r>
      <w:r w:rsidRPr="00EE0850">
        <w:rPr>
          <w:kern w:val="22"/>
          <w:szCs w:val="22"/>
          <w:lang w:eastAsia="x-none"/>
        </w:rPr>
        <w:tab/>
        <w:t>Implementing the provisions related to indigenous peoples and local communities is one of the main challenges identified by Parties. Community protocols on ABS can help to address some of the challenges identified in paragraph 10 above. They can help the indigenous peoples and local communities that develop them to articulate their values, practices and aspirations. They can also help Governments to implement the provisions of the Protocol related to indigenous peoples and local communities, and they provide clarity and certainty to users on how to have access to genetic resources and/or associated traditional knowledge held by indigenous peoples and local communities.</w:t>
      </w:r>
    </w:p>
    <w:p w14:paraId="2739392C"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rPr>
      </w:pPr>
      <w:r w:rsidRPr="00EE0850">
        <w:rPr>
          <w:kern w:val="22"/>
          <w:szCs w:val="22"/>
        </w:rPr>
        <w:t>30.</w:t>
      </w:r>
      <w:r w:rsidRPr="00EE0850">
        <w:rPr>
          <w:kern w:val="22"/>
          <w:szCs w:val="22"/>
        </w:rPr>
        <w:tab/>
        <w:t xml:space="preserve">Community protocols are being developed and used in a variety of contexts, including but not limited to ABS. Some deal with </w:t>
      </w:r>
      <w:proofErr w:type="spellStart"/>
      <w:r w:rsidRPr="00EE0850">
        <w:rPr>
          <w:kern w:val="22"/>
          <w:szCs w:val="22"/>
        </w:rPr>
        <w:t>biotrade</w:t>
      </w:r>
      <w:proofErr w:type="spellEnd"/>
      <w:r w:rsidRPr="00EE0850">
        <w:rPr>
          <w:kern w:val="22"/>
          <w:szCs w:val="22"/>
        </w:rPr>
        <w:t xml:space="preserve"> or land issues and include some ABS elements as part of a wider context. Incorporating ABS elements in existing community protocols dealing with resource or land management or </w:t>
      </w:r>
      <w:proofErr w:type="spellStart"/>
      <w:r w:rsidRPr="00EE0850">
        <w:rPr>
          <w:kern w:val="22"/>
          <w:szCs w:val="22"/>
        </w:rPr>
        <w:t>biotrade</w:t>
      </w:r>
      <w:proofErr w:type="spellEnd"/>
      <w:r w:rsidRPr="00EE0850">
        <w:rPr>
          <w:kern w:val="22"/>
          <w:szCs w:val="22"/>
        </w:rPr>
        <w:t xml:space="preserve"> may facilitate the process. Supporting indigenous peoples and local communities in developing community protocols is essential, as well as doing so in way that ensures that the outcomes represent community values, practices and aspirations.</w:t>
      </w:r>
    </w:p>
    <w:p w14:paraId="59531357" w14:textId="77777777" w:rsidR="009F5D7B" w:rsidRPr="00EE0850" w:rsidRDefault="009F5D7B" w:rsidP="000C6220">
      <w:pPr>
        <w:keepNext/>
        <w:keepLines/>
        <w:suppressLineNumbers/>
        <w:suppressAutoHyphens/>
        <w:kinsoku w:val="0"/>
        <w:overflowPunct w:val="0"/>
        <w:autoSpaceDE w:val="0"/>
        <w:autoSpaceDN w:val="0"/>
        <w:adjustRightInd w:val="0"/>
        <w:snapToGrid w:val="0"/>
        <w:spacing w:line="240" w:lineRule="auto"/>
        <w:ind w:left="1264" w:hanging="1264"/>
        <w:rPr>
          <w:rFonts w:eastAsia="Calibri"/>
          <w:b/>
          <w:color w:val="000000"/>
          <w:kern w:val="22"/>
          <w:szCs w:val="22"/>
          <w:u w:color="000000"/>
        </w:rPr>
      </w:pPr>
      <w:r w:rsidRPr="00EE0850">
        <w:rPr>
          <w:rFonts w:eastAsia="Calibri"/>
          <w:b/>
          <w:color w:val="000000"/>
          <w:kern w:val="22"/>
          <w:szCs w:val="22"/>
          <w:u w:color="000000"/>
        </w:rPr>
        <w:t>Element (g):</w:t>
      </w:r>
      <w:r w:rsidRPr="00EE0850">
        <w:rPr>
          <w:rFonts w:eastAsia="Calibri"/>
          <w:b/>
          <w:color w:val="000000"/>
          <w:kern w:val="22"/>
          <w:szCs w:val="22"/>
          <w:u w:color="000000"/>
        </w:rPr>
        <w:tab/>
        <w:t>Review of implementation and operation of the Access and Benefit-sharing Clearing-House, including number of access and benefit-sharing measures made available; number of countries that have published information on their competent national authorities; number of internationally recognized certificates of compliance that have been constituted and number of checkpoint communiqués published</w:t>
      </w:r>
    </w:p>
    <w:p w14:paraId="6319DFF2"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31.</w:t>
      </w:r>
      <w:r w:rsidRPr="00EE0850">
        <w:rPr>
          <w:kern w:val="22"/>
          <w:szCs w:val="22"/>
          <w:lang w:eastAsia="x-none"/>
        </w:rPr>
        <w:tab/>
        <w:t>Approximately half of the users of the ABS Clearing-House are users of genetic resources or associated traditional knowledge and consult the ABS Clearing-House to find national information. Feedback received highlights the important need to provide improved and clear information on national ABS requirements and procedures. This information should provide users with simple and easy to understand guidance on the necessary steps to apply for access to genetic resources and associated traditional knowledge.</w:t>
      </w:r>
    </w:p>
    <w:p w14:paraId="72B143F7"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32.</w:t>
      </w:r>
      <w:r w:rsidRPr="00EE0850">
        <w:rPr>
          <w:kern w:val="22"/>
          <w:szCs w:val="22"/>
          <w:lang w:eastAsia="x-none"/>
        </w:rPr>
        <w:tab/>
        <w:t>Relevant stakeholders, in particular the business and scientific communities, could benefit from more outreach and awareness-raising both as users of genetic resources and as potential contributors of relevant information (e.g. model clauses, codes of conduct, awareness-raising materials). The implementation of the ABS Clearing-House could also benefit from a greater understanding of their needs in terms of functionality and design of the ABS Clearing-House.</w:t>
      </w:r>
    </w:p>
    <w:p w14:paraId="1589610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33.</w:t>
      </w:r>
      <w:r w:rsidRPr="00EE0850">
        <w:rPr>
          <w:kern w:val="22"/>
          <w:szCs w:val="22"/>
          <w:lang w:eastAsia="x-none"/>
        </w:rPr>
        <w:tab/>
        <w:t>Technical assistance for use of the ABS Clearing-House still required. The live chat is a very valued feature by users of the ABS Clearing-House. Capacity-building on the use of the ABS Clearing-House and implementation of the Protocol is closely related. Many questions received through the live chat and during the capacity-building activities for the ABS Clearing-House are about implementation of the Protocol rather than the technical support to use the clearing-house.</w:t>
      </w:r>
    </w:p>
    <w:p w14:paraId="525B2A0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rPr>
          <w:kern w:val="22"/>
          <w:szCs w:val="22"/>
          <w:lang w:eastAsia="x-none"/>
        </w:rPr>
      </w:pPr>
    </w:p>
    <w:p w14:paraId="0E67E6AC" w14:textId="77777777" w:rsidR="009F5D7B" w:rsidRPr="00EE0850" w:rsidRDefault="009F5D7B" w:rsidP="000C6220">
      <w:pPr>
        <w:suppressLineNumbers/>
        <w:suppressAutoHyphens/>
        <w:kinsoku w:val="0"/>
        <w:overflowPunct w:val="0"/>
        <w:autoSpaceDE w:val="0"/>
        <w:autoSpaceDN w:val="0"/>
        <w:adjustRightInd w:val="0"/>
        <w:snapToGrid w:val="0"/>
        <w:spacing w:line="240" w:lineRule="auto"/>
        <w:jc w:val="center"/>
        <w:outlineLvl w:val="2"/>
        <w:rPr>
          <w:i/>
          <w:kern w:val="22"/>
          <w:szCs w:val="22"/>
        </w:rPr>
      </w:pPr>
      <w:r w:rsidRPr="00EE0850">
        <w:rPr>
          <w:i/>
          <w:kern w:val="22"/>
          <w:szCs w:val="22"/>
        </w:rPr>
        <w:t>Annex II</w:t>
      </w:r>
    </w:p>
    <w:p w14:paraId="43091AB1" w14:textId="77777777" w:rsidR="009F5D7B" w:rsidRPr="00EE0850" w:rsidRDefault="009F5D7B" w:rsidP="000C6220">
      <w:pPr>
        <w:keepNext/>
        <w:suppressLineNumbers/>
        <w:suppressAutoHyphens/>
        <w:kinsoku w:val="0"/>
        <w:overflowPunct w:val="0"/>
        <w:autoSpaceDE w:val="0"/>
        <w:autoSpaceDN w:val="0"/>
        <w:adjustRightInd w:val="0"/>
        <w:snapToGrid w:val="0"/>
        <w:spacing w:before="120" w:line="240" w:lineRule="auto"/>
        <w:jc w:val="center"/>
        <w:rPr>
          <w:b/>
          <w:kern w:val="22"/>
          <w:szCs w:val="22"/>
        </w:rPr>
      </w:pPr>
      <w:r w:rsidRPr="00EE0850">
        <w:rPr>
          <w:b/>
          <w:kern w:val="22"/>
          <w:szCs w:val="22"/>
        </w:rPr>
        <w:t>FRAMEWORK OF INDICATORS AND REFERENCE POINTS TO MEASURE PROGRESS</w:t>
      </w:r>
    </w:p>
    <w:p w14:paraId="4F51D9B5"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spacing w:val="-2"/>
          <w:kern w:val="22"/>
          <w:szCs w:val="22"/>
          <w:lang w:eastAsia="x-none"/>
        </w:rPr>
      </w:pPr>
      <w:r w:rsidRPr="00EE0850">
        <w:rPr>
          <w:spacing w:val="-2"/>
          <w:kern w:val="22"/>
          <w:szCs w:val="22"/>
          <w:lang w:eastAsia="x-none"/>
        </w:rPr>
        <w:t>1.</w:t>
      </w:r>
      <w:r w:rsidRPr="00EE0850">
        <w:rPr>
          <w:spacing w:val="-2"/>
          <w:kern w:val="22"/>
          <w:szCs w:val="22"/>
          <w:lang w:eastAsia="x-none"/>
        </w:rPr>
        <w:tab/>
        <w:t>The following table proposes indicators for each of the elements addressed by the first assessment and review. Reference points are included for most of the indicators proposed. These reference points determine a baseline against which progress can be measured in the future for each of the indicators. The indicators proposed are mostly based on existing questions of the interim national report. However, there are instances where no conclusive information could be drawn from the responses to the interim national report, and therefore, a new text is suggested for those indicators. The new or revised indicators are identified in the table.</w:t>
      </w:r>
    </w:p>
    <w:p w14:paraId="1219D3B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2.</w:t>
      </w:r>
      <w:r w:rsidRPr="00EE0850">
        <w:rPr>
          <w:kern w:val="22"/>
          <w:szCs w:val="22"/>
          <w:lang w:eastAsia="x-none"/>
        </w:rPr>
        <w:tab/>
        <w:t>It also includes the source of information used to establish the reference point. For ease of reference, it follows the structure and order of the format of the interim national report and includes reference to the element/s under which the indicator is being considered.</w:t>
      </w:r>
    </w:p>
    <w:p w14:paraId="03DAE61A"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rPr>
          <w:kern w:val="22"/>
          <w:szCs w:val="22"/>
          <w:lang w:eastAsia="x-none"/>
        </w:rPr>
      </w:pPr>
      <w:r w:rsidRPr="00EE0850">
        <w:rPr>
          <w:kern w:val="22"/>
          <w:szCs w:val="22"/>
          <w:lang w:eastAsia="x-none"/>
        </w:rPr>
        <w:t>3.</w:t>
      </w:r>
      <w:r w:rsidRPr="00EE0850">
        <w:rPr>
          <w:kern w:val="22"/>
          <w:szCs w:val="22"/>
          <w:lang w:eastAsia="x-none"/>
        </w:rPr>
        <w:tab/>
        <w:t>The framework is flexible tool that can be adapted as further progress is made with implementation.</w:t>
      </w:r>
    </w:p>
    <w:p w14:paraId="7FBA1AC7" w14:textId="77777777" w:rsidR="009F5D7B" w:rsidRPr="00EE0850" w:rsidRDefault="009F5D7B">
      <w:pPr>
        <w:suppressLineNumbers/>
        <w:suppressAutoHyphens/>
        <w:kinsoku w:val="0"/>
        <w:overflowPunct w:val="0"/>
        <w:autoSpaceDE w:val="0"/>
        <w:autoSpaceDN w:val="0"/>
        <w:adjustRightInd w:val="0"/>
        <w:snapToGrid w:val="0"/>
        <w:rPr>
          <w:kern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104"/>
        <w:gridCol w:w="1506"/>
        <w:gridCol w:w="1614"/>
      </w:tblGrid>
      <w:tr w:rsidR="009F5D7B" w:rsidRPr="00EE0850" w14:paraId="60FEB663" w14:textId="77777777" w:rsidTr="005111BD">
        <w:trPr>
          <w:cantSplit/>
          <w:tblHeader/>
          <w:jc w:val="center"/>
        </w:trPr>
        <w:tc>
          <w:tcPr>
            <w:tcW w:w="5552" w:type="dxa"/>
            <w:shd w:val="pct5" w:color="auto" w:fill="auto"/>
            <w:tcMar>
              <w:top w:w="29" w:type="dxa"/>
              <w:left w:w="115" w:type="dxa"/>
              <w:bottom w:w="29" w:type="dxa"/>
              <w:right w:w="115" w:type="dxa"/>
            </w:tcMar>
            <w:vAlign w:val="center"/>
          </w:tcPr>
          <w:p w14:paraId="21A2525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b/>
                <w:kern w:val="22"/>
                <w:szCs w:val="22"/>
              </w:rPr>
            </w:pPr>
            <w:r w:rsidRPr="00EE0850">
              <w:rPr>
                <w:b/>
                <w:kern w:val="22"/>
                <w:szCs w:val="22"/>
              </w:rPr>
              <w:t>Framework of indicators</w:t>
            </w:r>
          </w:p>
        </w:tc>
        <w:tc>
          <w:tcPr>
            <w:tcW w:w="1104" w:type="dxa"/>
            <w:shd w:val="pct5" w:color="auto" w:fill="auto"/>
            <w:tcMar>
              <w:top w:w="29" w:type="dxa"/>
              <w:left w:w="115" w:type="dxa"/>
              <w:bottom w:w="29" w:type="dxa"/>
              <w:right w:w="115" w:type="dxa"/>
            </w:tcMar>
            <w:vAlign w:val="center"/>
          </w:tcPr>
          <w:p w14:paraId="6B3E55E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b/>
                <w:kern w:val="22"/>
                <w:szCs w:val="22"/>
              </w:rPr>
            </w:pPr>
            <w:r w:rsidRPr="00EE0850">
              <w:rPr>
                <w:b/>
                <w:kern w:val="22"/>
                <w:szCs w:val="22"/>
              </w:rPr>
              <w:t>Element</w:t>
            </w:r>
          </w:p>
        </w:tc>
        <w:tc>
          <w:tcPr>
            <w:tcW w:w="1506" w:type="dxa"/>
            <w:shd w:val="pct5" w:color="auto" w:fill="auto"/>
            <w:tcMar>
              <w:top w:w="29" w:type="dxa"/>
              <w:left w:w="115" w:type="dxa"/>
              <w:bottom w:w="29" w:type="dxa"/>
              <w:right w:w="115" w:type="dxa"/>
            </w:tcMar>
            <w:vAlign w:val="center"/>
          </w:tcPr>
          <w:p w14:paraId="51719D5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b/>
                <w:kern w:val="22"/>
                <w:szCs w:val="22"/>
              </w:rPr>
            </w:pPr>
            <w:r w:rsidRPr="00EE0850">
              <w:rPr>
                <w:rFonts w:hint="eastAsia"/>
                <w:b/>
                <w:kern w:val="22"/>
                <w:szCs w:val="22"/>
              </w:rPr>
              <w:t>Reference point (as of 22 February 2018)</w:t>
            </w:r>
          </w:p>
        </w:tc>
        <w:tc>
          <w:tcPr>
            <w:tcW w:w="1614" w:type="dxa"/>
            <w:shd w:val="pct5" w:color="auto" w:fill="auto"/>
            <w:tcMar>
              <w:top w:w="29" w:type="dxa"/>
              <w:left w:w="115" w:type="dxa"/>
              <w:bottom w:w="29" w:type="dxa"/>
              <w:right w:w="115" w:type="dxa"/>
            </w:tcMar>
            <w:vAlign w:val="center"/>
          </w:tcPr>
          <w:p w14:paraId="0EAEBFB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b/>
                <w:kern w:val="22"/>
                <w:szCs w:val="22"/>
              </w:rPr>
            </w:pPr>
            <w:r w:rsidRPr="00EE0850">
              <w:rPr>
                <w:b/>
                <w:kern w:val="22"/>
                <w:szCs w:val="22"/>
              </w:rPr>
              <w:t>Source</w:t>
            </w:r>
          </w:p>
        </w:tc>
      </w:tr>
      <w:tr w:rsidR="009F5D7B" w:rsidRPr="00EE0850" w14:paraId="6ABA72F2"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26A7D00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1.</w:t>
            </w:r>
            <w:r w:rsidRPr="00EE0850">
              <w:rPr>
                <w:kern w:val="22"/>
                <w:szCs w:val="22"/>
              </w:rPr>
              <w:tab/>
              <w:t>Number of Parties to the CBD that have ratified the Nagoya Protocol</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0EE565A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p>
        </w:tc>
        <w:tc>
          <w:tcPr>
            <w:tcW w:w="1506" w:type="dxa"/>
            <w:tcBorders>
              <w:bottom w:val="single" w:sz="4" w:space="0" w:color="auto"/>
            </w:tcBorders>
            <w:shd w:val="clear" w:color="auto" w:fill="auto"/>
            <w:tcMar>
              <w:top w:w="29" w:type="dxa"/>
              <w:left w:w="115" w:type="dxa"/>
              <w:bottom w:w="29" w:type="dxa"/>
              <w:right w:w="115" w:type="dxa"/>
            </w:tcMar>
            <w:vAlign w:val="center"/>
          </w:tcPr>
          <w:p w14:paraId="1178A25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105 (54%)</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5BF896B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United Nations Treaty Collection</w:t>
            </w:r>
          </w:p>
        </w:tc>
      </w:tr>
      <w:tr w:rsidR="009F5D7B" w:rsidRPr="00EE0850" w14:paraId="49E205FF"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0DD89BEA"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b/>
                <w:kern w:val="22"/>
                <w:szCs w:val="22"/>
              </w:rPr>
            </w:pPr>
            <w:r w:rsidRPr="00EE0850">
              <w:rPr>
                <w:b/>
                <w:kern w:val="22"/>
                <w:szCs w:val="22"/>
              </w:rPr>
              <w:t>Institutional structures for the implementation of the Protocol</w:t>
            </w:r>
          </w:p>
        </w:tc>
      </w:tr>
      <w:tr w:rsidR="009F5D7B" w:rsidRPr="00EE0850" w14:paraId="7ADCE3C1" w14:textId="77777777" w:rsidTr="005111BD">
        <w:trPr>
          <w:cantSplit/>
          <w:jc w:val="center"/>
        </w:trPr>
        <w:tc>
          <w:tcPr>
            <w:tcW w:w="5552" w:type="dxa"/>
            <w:shd w:val="clear" w:color="auto" w:fill="auto"/>
            <w:tcMar>
              <w:top w:w="29" w:type="dxa"/>
              <w:left w:w="115" w:type="dxa"/>
              <w:bottom w:w="29" w:type="dxa"/>
              <w:right w:w="115" w:type="dxa"/>
            </w:tcMar>
          </w:tcPr>
          <w:p w14:paraId="7F0CE4F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2.</w:t>
            </w:r>
            <w:r w:rsidRPr="00EE0850">
              <w:rPr>
                <w:kern w:val="22"/>
                <w:szCs w:val="22"/>
              </w:rPr>
              <w:tab/>
              <w:t>Number and percentage of Parties with legislative, administrative and policy measures on ABS</w:t>
            </w:r>
          </w:p>
        </w:tc>
        <w:tc>
          <w:tcPr>
            <w:tcW w:w="1104" w:type="dxa"/>
            <w:shd w:val="clear" w:color="auto" w:fill="auto"/>
            <w:tcMar>
              <w:top w:w="29" w:type="dxa"/>
              <w:left w:w="115" w:type="dxa"/>
              <w:bottom w:w="29" w:type="dxa"/>
              <w:right w:w="115" w:type="dxa"/>
            </w:tcMar>
            <w:vAlign w:val="center"/>
          </w:tcPr>
          <w:p w14:paraId="2CB9F0E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w:t>
            </w:r>
          </w:p>
        </w:tc>
        <w:tc>
          <w:tcPr>
            <w:tcW w:w="1506" w:type="dxa"/>
            <w:shd w:val="clear" w:color="auto" w:fill="auto"/>
            <w:tcMar>
              <w:top w:w="29" w:type="dxa"/>
              <w:left w:w="115" w:type="dxa"/>
              <w:bottom w:w="29" w:type="dxa"/>
              <w:right w:w="115" w:type="dxa"/>
            </w:tcMar>
            <w:vAlign w:val="center"/>
          </w:tcPr>
          <w:p w14:paraId="745C189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75 (71%)</w:t>
            </w:r>
          </w:p>
        </w:tc>
        <w:tc>
          <w:tcPr>
            <w:tcW w:w="1614" w:type="dxa"/>
            <w:shd w:val="clear" w:color="auto" w:fill="auto"/>
            <w:tcMar>
              <w:top w:w="29" w:type="dxa"/>
              <w:left w:w="115" w:type="dxa"/>
              <w:bottom w:w="29" w:type="dxa"/>
              <w:right w:w="115" w:type="dxa"/>
            </w:tcMar>
            <w:vAlign w:val="center"/>
          </w:tcPr>
          <w:p w14:paraId="0C288C6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Q.4 ABS-CH CBD report</w:t>
            </w:r>
          </w:p>
          <w:p w14:paraId="0A9E6D8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NBSAP</w:t>
            </w:r>
          </w:p>
        </w:tc>
      </w:tr>
      <w:tr w:rsidR="009F5D7B" w:rsidRPr="00EE0850" w14:paraId="1779212B" w14:textId="77777777" w:rsidTr="005111BD">
        <w:trPr>
          <w:cantSplit/>
          <w:jc w:val="center"/>
        </w:trPr>
        <w:tc>
          <w:tcPr>
            <w:tcW w:w="5552" w:type="dxa"/>
            <w:shd w:val="clear" w:color="auto" w:fill="auto"/>
            <w:tcMar>
              <w:top w:w="29" w:type="dxa"/>
              <w:left w:w="115" w:type="dxa"/>
              <w:bottom w:w="29" w:type="dxa"/>
              <w:right w:w="115" w:type="dxa"/>
            </w:tcMar>
          </w:tcPr>
          <w:p w14:paraId="071A4BC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3.</w:t>
            </w:r>
            <w:r w:rsidRPr="00EE0850">
              <w:rPr>
                <w:kern w:val="22"/>
                <w:szCs w:val="22"/>
              </w:rPr>
              <w:tab/>
              <w:t>Number of Parties that have published information on legislative, administrative or policy measures on ABS in the ABS Clearing-House</w:t>
            </w:r>
          </w:p>
        </w:tc>
        <w:tc>
          <w:tcPr>
            <w:tcW w:w="1104" w:type="dxa"/>
            <w:shd w:val="clear" w:color="auto" w:fill="auto"/>
            <w:tcMar>
              <w:top w:w="29" w:type="dxa"/>
              <w:left w:w="115" w:type="dxa"/>
              <w:bottom w:w="29" w:type="dxa"/>
              <w:right w:w="115" w:type="dxa"/>
            </w:tcMar>
            <w:vAlign w:val="center"/>
          </w:tcPr>
          <w:p w14:paraId="16DA54C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(g)</w:t>
            </w:r>
          </w:p>
        </w:tc>
        <w:tc>
          <w:tcPr>
            <w:tcW w:w="1506" w:type="dxa"/>
            <w:shd w:val="clear" w:color="auto" w:fill="auto"/>
            <w:tcMar>
              <w:top w:w="29" w:type="dxa"/>
              <w:left w:w="115" w:type="dxa"/>
              <w:bottom w:w="29" w:type="dxa"/>
              <w:right w:w="115" w:type="dxa"/>
            </w:tcMar>
            <w:vAlign w:val="center"/>
          </w:tcPr>
          <w:p w14:paraId="50F352A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45 (43%);</w:t>
            </w:r>
          </w:p>
        </w:tc>
        <w:tc>
          <w:tcPr>
            <w:tcW w:w="1614" w:type="dxa"/>
            <w:shd w:val="clear" w:color="auto" w:fill="auto"/>
            <w:tcMar>
              <w:top w:w="29" w:type="dxa"/>
              <w:left w:w="115" w:type="dxa"/>
              <w:bottom w:w="29" w:type="dxa"/>
              <w:right w:w="115" w:type="dxa"/>
            </w:tcMar>
            <w:vAlign w:val="center"/>
          </w:tcPr>
          <w:p w14:paraId="21B77E6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ABS-CH</w:t>
            </w:r>
          </w:p>
        </w:tc>
      </w:tr>
      <w:tr w:rsidR="009F5D7B" w:rsidRPr="00EE0850" w14:paraId="37F803BF" w14:textId="77777777" w:rsidTr="005111BD">
        <w:trPr>
          <w:cantSplit/>
          <w:jc w:val="center"/>
        </w:trPr>
        <w:tc>
          <w:tcPr>
            <w:tcW w:w="5552" w:type="dxa"/>
            <w:shd w:val="clear" w:color="auto" w:fill="auto"/>
            <w:tcMar>
              <w:top w:w="29" w:type="dxa"/>
              <w:left w:w="115" w:type="dxa"/>
              <w:bottom w:w="29" w:type="dxa"/>
              <w:right w:w="115" w:type="dxa"/>
            </w:tcMar>
          </w:tcPr>
          <w:p w14:paraId="1CFA29B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4.</w:t>
            </w:r>
            <w:r w:rsidRPr="00EE0850">
              <w:rPr>
                <w:kern w:val="22"/>
                <w:szCs w:val="22"/>
              </w:rPr>
              <w:tab/>
              <w:t>Number and percentage of Parties with national focal points on ABS</w:t>
            </w:r>
          </w:p>
        </w:tc>
        <w:tc>
          <w:tcPr>
            <w:tcW w:w="1104" w:type="dxa"/>
            <w:shd w:val="clear" w:color="auto" w:fill="auto"/>
            <w:tcMar>
              <w:top w:w="29" w:type="dxa"/>
              <w:left w:w="115" w:type="dxa"/>
              <w:bottom w:w="29" w:type="dxa"/>
              <w:right w:w="115" w:type="dxa"/>
            </w:tcMar>
            <w:vAlign w:val="center"/>
          </w:tcPr>
          <w:p w14:paraId="44201D9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w:t>
            </w:r>
          </w:p>
        </w:tc>
        <w:tc>
          <w:tcPr>
            <w:tcW w:w="1506" w:type="dxa"/>
            <w:shd w:val="clear" w:color="auto" w:fill="auto"/>
            <w:tcMar>
              <w:top w:w="29" w:type="dxa"/>
              <w:left w:w="115" w:type="dxa"/>
              <w:bottom w:w="29" w:type="dxa"/>
              <w:right w:w="115" w:type="dxa"/>
            </w:tcMar>
            <w:vAlign w:val="center"/>
          </w:tcPr>
          <w:p w14:paraId="1F1AF85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103 (98%)</w:t>
            </w:r>
          </w:p>
        </w:tc>
        <w:tc>
          <w:tcPr>
            <w:tcW w:w="1614" w:type="dxa"/>
            <w:shd w:val="clear" w:color="auto" w:fill="auto"/>
            <w:tcMar>
              <w:top w:w="29" w:type="dxa"/>
              <w:left w:w="115" w:type="dxa"/>
              <w:bottom w:w="29" w:type="dxa"/>
              <w:right w:w="115" w:type="dxa"/>
            </w:tcMar>
            <w:vAlign w:val="center"/>
          </w:tcPr>
          <w:p w14:paraId="68B662C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Q.5 ABS-CH</w:t>
            </w:r>
          </w:p>
        </w:tc>
      </w:tr>
      <w:tr w:rsidR="009F5D7B" w:rsidRPr="00EE0850" w14:paraId="69E678B7" w14:textId="77777777" w:rsidTr="005111BD">
        <w:trPr>
          <w:cantSplit/>
          <w:jc w:val="center"/>
        </w:trPr>
        <w:tc>
          <w:tcPr>
            <w:tcW w:w="5552" w:type="dxa"/>
            <w:shd w:val="clear" w:color="auto" w:fill="auto"/>
            <w:tcMar>
              <w:top w:w="29" w:type="dxa"/>
              <w:left w:w="115" w:type="dxa"/>
              <w:bottom w:w="29" w:type="dxa"/>
              <w:right w:w="115" w:type="dxa"/>
            </w:tcMar>
          </w:tcPr>
          <w:p w14:paraId="40B48A9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5.</w:t>
            </w:r>
            <w:r w:rsidRPr="00EE0850">
              <w:rPr>
                <w:kern w:val="22"/>
                <w:szCs w:val="22"/>
              </w:rPr>
              <w:tab/>
              <w:t>Number and percentage of Parties with one or more competent national authorities</w:t>
            </w:r>
          </w:p>
        </w:tc>
        <w:tc>
          <w:tcPr>
            <w:tcW w:w="1104" w:type="dxa"/>
            <w:shd w:val="clear" w:color="auto" w:fill="auto"/>
            <w:tcMar>
              <w:top w:w="29" w:type="dxa"/>
              <w:left w:w="115" w:type="dxa"/>
              <w:bottom w:w="29" w:type="dxa"/>
              <w:right w:w="115" w:type="dxa"/>
            </w:tcMar>
            <w:vAlign w:val="center"/>
          </w:tcPr>
          <w:p w14:paraId="69363C7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w:t>
            </w:r>
          </w:p>
        </w:tc>
        <w:tc>
          <w:tcPr>
            <w:tcW w:w="1506" w:type="dxa"/>
            <w:shd w:val="clear" w:color="auto" w:fill="auto"/>
            <w:tcMar>
              <w:top w:w="29" w:type="dxa"/>
              <w:left w:w="115" w:type="dxa"/>
              <w:bottom w:w="29" w:type="dxa"/>
              <w:right w:w="115" w:type="dxa"/>
            </w:tcMar>
            <w:vAlign w:val="center"/>
          </w:tcPr>
          <w:p w14:paraId="60B9969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57 (54%)</w:t>
            </w:r>
          </w:p>
        </w:tc>
        <w:tc>
          <w:tcPr>
            <w:tcW w:w="1614" w:type="dxa"/>
            <w:shd w:val="clear" w:color="auto" w:fill="auto"/>
            <w:tcMar>
              <w:top w:w="29" w:type="dxa"/>
              <w:left w:w="115" w:type="dxa"/>
              <w:bottom w:w="29" w:type="dxa"/>
              <w:right w:w="115" w:type="dxa"/>
            </w:tcMar>
            <w:vAlign w:val="center"/>
          </w:tcPr>
          <w:p w14:paraId="4AD3DD8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Q.6 ABS-CH CBD report</w:t>
            </w:r>
          </w:p>
          <w:p w14:paraId="3CE64B6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NBSAP</w:t>
            </w:r>
          </w:p>
        </w:tc>
      </w:tr>
      <w:tr w:rsidR="009F5D7B" w:rsidRPr="00EE0850" w14:paraId="67FE6D2A" w14:textId="77777777" w:rsidTr="005111BD">
        <w:trPr>
          <w:cantSplit/>
          <w:jc w:val="center"/>
        </w:trPr>
        <w:tc>
          <w:tcPr>
            <w:tcW w:w="5552" w:type="dxa"/>
            <w:shd w:val="clear" w:color="auto" w:fill="auto"/>
            <w:tcMar>
              <w:top w:w="29" w:type="dxa"/>
              <w:left w:w="115" w:type="dxa"/>
              <w:bottom w:w="29" w:type="dxa"/>
              <w:right w:w="115" w:type="dxa"/>
            </w:tcMar>
          </w:tcPr>
          <w:p w14:paraId="49B1F25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6.</w:t>
            </w:r>
            <w:r w:rsidRPr="00EE0850">
              <w:rPr>
                <w:kern w:val="22"/>
                <w:szCs w:val="22"/>
              </w:rPr>
              <w:tab/>
              <w:t>Number and percentage of Parties that have published information on competent national authorities</w:t>
            </w:r>
            <w:r w:rsidRPr="00EE0850">
              <w:rPr>
                <w:rFonts w:eastAsia="Calibri"/>
                <w:kern w:val="22"/>
                <w:szCs w:val="22"/>
              </w:rPr>
              <w:t xml:space="preserve"> </w:t>
            </w:r>
            <w:r w:rsidRPr="00EE0850">
              <w:rPr>
                <w:kern w:val="22"/>
                <w:szCs w:val="22"/>
              </w:rPr>
              <w:t>in the ABS Clearing-House</w:t>
            </w:r>
          </w:p>
        </w:tc>
        <w:tc>
          <w:tcPr>
            <w:tcW w:w="1104" w:type="dxa"/>
            <w:shd w:val="clear" w:color="auto" w:fill="auto"/>
            <w:tcMar>
              <w:top w:w="29" w:type="dxa"/>
              <w:left w:w="115" w:type="dxa"/>
              <w:bottom w:w="29" w:type="dxa"/>
              <w:right w:w="115" w:type="dxa"/>
            </w:tcMar>
            <w:vAlign w:val="center"/>
          </w:tcPr>
          <w:p w14:paraId="4AAA3EE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(g)</w:t>
            </w:r>
          </w:p>
        </w:tc>
        <w:tc>
          <w:tcPr>
            <w:tcW w:w="1506" w:type="dxa"/>
            <w:shd w:val="clear" w:color="auto" w:fill="auto"/>
            <w:tcMar>
              <w:top w:w="29" w:type="dxa"/>
              <w:left w:w="115" w:type="dxa"/>
              <w:bottom w:w="29" w:type="dxa"/>
              <w:right w:w="115" w:type="dxa"/>
            </w:tcMar>
            <w:vAlign w:val="center"/>
          </w:tcPr>
          <w:p w14:paraId="003D161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45 (43%)</w:t>
            </w:r>
          </w:p>
        </w:tc>
        <w:tc>
          <w:tcPr>
            <w:tcW w:w="1614" w:type="dxa"/>
            <w:shd w:val="clear" w:color="auto" w:fill="auto"/>
            <w:tcMar>
              <w:top w:w="29" w:type="dxa"/>
              <w:left w:w="115" w:type="dxa"/>
              <w:bottom w:w="29" w:type="dxa"/>
              <w:right w:w="115" w:type="dxa"/>
            </w:tcMar>
            <w:vAlign w:val="center"/>
          </w:tcPr>
          <w:p w14:paraId="4284495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ABS-CH</w:t>
            </w:r>
          </w:p>
        </w:tc>
      </w:tr>
      <w:tr w:rsidR="009F5D7B" w:rsidRPr="00EE0850" w14:paraId="31DE5C7F" w14:textId="77777777" w:rsidTr="005111BD">
        <w:trPr>
          <w:cantSplit/>
          <w:jc w:val="center"/>
        </w:trPr>
        <w:tc>
          <w:tcPr>
            <w:tcW w:w="5552" w:type="dxa"/>
            <w:shd w:val="clear" w:color="auto" w:fill="auto"/>
            <w:tcMar>
              <w:top w:w="29" w:type="dxa"/>
              <w:left w:w="115" w:type="dxa"/>
              <w:bottom w:w="29" w:type="dxa"/>
              <w:right w:w="115" w:type="dxa"/>
            </w:tcMar>
          </w:tcPr>
          <w:p w14:paraId="26AED55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Calibri"/>
                <w:color w:val="000000"/>
                <w:kern w:val="22"/>
                <w:szCs w:val="22"/>
                <w:u w:color="000000"/>
              </w:rPr>
            </w:pPr>
            <w:r w:rsidRPr="00EE0850">
              <w:rPr>
                <w:rFonts w:eastAsia="Calibri"/>
                <w:color w:val="000000"/>
                <w:kern w:val="22"/>
                <w:szCs w:val="22"/>
                <w:u w:color="000000"/>
              </w:rPr>
              <w:t>7.</w:t>
            </w:r>
            <w:r w:rsidRPr="00EE0850">
              <w:rPr>
                <w:rFonts w:eastAsia="Calibri"/>
                <w:color w:val="000000"/>
                <w:kern w:val="22"/>
                <w:szCs w:val="22"/>
                <w:u w:color="000000"/>
              </w:rPr>
              <w:tab/>
            </w:r>
            <w:r w:rsidRPr="00EE0850">
              <w:rPr>
                <w:rFonts w:eastAsia="Calibri"/>
                <w:i/>
                <w:color w:val="000000"/>
                <w:kern w:val="22"/>
                <w:szCs w:val="22"/>
                <w:u w:color="000000"/>
              </w:rPr>
              <w:t>New:</w:t>
            </w:r>
            <w:r w:rsidRPr="00EE0850">
              <w:rPr>
                <w:rFonts w:eastAsia="Calibri"/>
                <w:color w:val="000000"/>
                <w:kern w:val="22"/>
                <w:szCs w:val="22"/>
                <w:u w:color="000000"/>
              </w:rPr>
              <w:t xml:space="preserve"> Number and percentage of Parties that have issued </w:t>
            </w:r>
            <w:r w:rsidRPr="00EE0850">
              <w:rPr>
                <w:rFonts w:eastAsia="SimSun"/>
                <w:kern w:val="22"/>
                <w:szCs w:val="22"/>
              </w:rPr>
              <w:t>permits or their equivalents</w:t>
            </w:r>
          </w:p>
        </w:tc>
        <w:tc>
          <w:tcPr>
            <w:tcW w:w="1104" w:type="dxa"/>
            <w:shd w:val="clear" w:color="auto" w:fill="auto"/>
            <w:tcMar>
              <w:top w:w="29" w:type="dxa"/>
              <w:left w:w="115" w:type="dxa"/>
              <w:bottom w:w="29" w:type="dxa"/>
              <w:right w:w="115" w:type="dxa"/>
            </w:tcMar>
            <w:vAlign w:val="center"/>
          </w:tcPr>
          <w:p w14:paraId="1C3AAEA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w:t>
            </w:r>
          </w:p>
        </w:tc>
        <w:tc>
          <w:tcPr>
            <w:tcW w:w="1506" w:type="dxa"/>
            <w:shd w:val="clear" w:color="auto" w:fill="auto"/>
            <w:tcMar>
              <w:top w:w="29" w:type="dxa"/>
              <w:left w:w="115" w:type="dxa"/>
              <w:bottom w:w="29" w:type="dxa"/>
              <w:right w:w="115" w:type="dxa"/>
            </w:tcMar>
            <w:vAlign w:val="center"/>
          </w:tcPr>
          <w:p w14:paraId="124B7D9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19 (18%)</w:t>
            </w:r>
          </w:p>
        </w:tc>
        <w:tc>
          <w:tcPr>
            <w:tcW w:w="1614" w:type="dxa"/>
            <w:shd w:val="clear" w:color="auto" w:fill="auto"/>
            <w:tcMar>
              <w:top w:w="29" w:type="dxa"/>
              <w:left w:w="115" w:type="dxa"/>
              <w:bottom w:w="29" w:type="dxa"/>
              <w:right w:w="115" w:type="dxa"/>
            </w:tcMar>
            <w:vAlign w:val="center"/>
          </w:tcPr>
          <w:p w14:paraId="751E98F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Calibri"/>
                <w:color w:val="000000"/>
                <w:kern w:val="22"/>
                <w:szCs w:val="22"/>
                <w:u w:color="000000"/>
              </w:rPr>
            </w:pPr>
            <w:r w:rsidRPr="00EE0850">
              <w:rPr>
                <w:rFonts w:eastAsia="Calibri"/>
                <w:color w:val="000000"/>
                <w:kern w:val="22"/>
                <w:szCs w:val="22"/>
                <w:u w:color="000000"/>
              </w:rPr>
              <w:t>NR format requires revision</w:t>
            </w:r>
          </w:p>
        </w:tc>
      </w:tr>
      <w:tr w:rsidR="009F5D7B" w:rsidRPr="00EE0850" w14:paraId="172D08E7" w14:textId="77777777" w:rsidTr="005111BD">
        <w:trPr>
          <w:cantSplit/>
          <w:jc w:val="center"/>
        </w:trPr>
        <w:tc>
          <w:tcPr>
            <w:tcW w:w="5552" w:type="dxa"/>
            <w:shd w:val="clear" w:color="auto" w:fill="auto"/>
            <w:tcMar>
              <w:top w:w="29" w:type="dxa"/>
              <w:left w:w="115" w:type="dxa"/>
              <w:bottom w:w="29" w:type="dxa"/>
              <w:right w:w="115" w:type="dxa"/>
            </w:tcMar>
          </w:tcPr>
          <w:p w14:paraId="3A8F533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Calibri"/>
                <w:color w:val="000000"/>
                <w:kern w:val="22"/>
                <w:szCs w:val="22"/>
                <w:u w:color="000000"/>
              </w:rPr>
            </w:pPr>
            <w:r w:rsidRPr="00EE0850">
              <w:rPr>
                <w:rFonts w:eastAsia="Calibri"/>
                <w:color w:val="000000"/>
                <w:kern w:val="22"/>
                <w:szCs w:val="22"/>
                <w:u w:color="000000"/>
              </w:rPr>
              <w:t>8.</w:t>
            </w:r>
            <w:r w:rsidRPr="00EE0850">
              <w:rPr>
                <w:rFonts w:eastAsia="Calibri"/>
                <w:color w:val="000000"/>
                <w:kern w:val="22"/>
                <w:szCs w:val="22"/>
                <w:u w:color="000000"/>
              </w:rPr>
              <w:tab/>
              <w:t>Number and percentage of Parties that have published internationally recognized certificates of compliance (IRCCs) in the ABS Clearing-House</w:t>
            </w:r>
          </w:p>
        </w:tc>
        <w:tc>
          <w:tcPr>
            <w:tcW w:w="1104" w:type="dxa"/>
            <w:shd w:val="clear" w:color="auto" w:fill="auto"/>
            <w:tcMar>
              <w:top w:w="29" w:type="dxa"/>
              <w:left w:w="115" w:type="dxa"/>
              <w:bottom w:w="29" w:type="dxa"/>
              <w:right w:w="115" w:type="dxa"/>
            </w:tcMar>
            <w:vAlign w:val="center"/>
          </w:tcPr>
          <w:p w14:paraId="2778787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(b) (g)</w:t>
            </w:r>
          </w:p>
        </w:tc>
        <w:tc>
          <w:tcPr>
            <w:tcW w:w="1506" w:type="dxa"/>
            <w:shd w:val="clear" w:color="auto" w:fill="auto"/>
            <w:tcMar>
              <w:top w:w="29" w:type="dxa"/>
              <w:left w:w="115" w:type="dxa"/>
              <w:bottom w:w="29" w:type="dxa"/>
              <w:right w:w="115" w:type="dxa"/>
            </w:tcMar>
            <w:vAlign w:val="center"/>
          </w:tcPr>
          <w:p w14:paraId="53B14C8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12 (11%)</w:t>
            </w:r>
          </w:p>
        </w:tc>
        <w:tc>
          <w:tcPr>
            <w:tcW w:w="1614" w:type="dxa"/>
            <w:shd w:val="clear" w:color="auto" w:fill="auto"/>
            <w:tcMar>
              <w:top w:w="29" w:type="dxa"/>
              <w:left w:w="115" w:type="dxa"/>
              <w:bottom w:w="29" w:type="dxa"/>
              <w:right w:w="115" w:type="dxa"/>
            </w:tcMar>
            <w:vAlign w:val="center"/>
          </w:tcPr>
          <w:p w14:paraId="53D0FFA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Calibri"/>
                <w:color w:val="000000"/>
                <w:kern w:val="22"/>
                <w:szCs w:val="22"/>
                <w:u w:color="000000"/>
              </w:rPr>
            </w:pPr>
            <w:r w:rsidRPr="00EE0850">
              <w:rPr>
                <w:rFonts w:eastAsia="Calibri"/>
                <w:color w:val="000000"/>
                <w:kern w:val="22"/>
                <w:szCs w:val="22"/>
                <w:u w:color="000000"/>
              </w:rPr>
              <w:t xml:space="preserve">Q.7, 8,16 </w:t>
            </w:r>
          </w:p>
          <w:p w14:paraId="13ED71A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Calibri"/>
                <w:color w:val="000000"/>
                <w:kern w:val="22"/>
                <w:szCs w:val="22"/>
                <w:u w:color="000000"/>
              </w:rPr>
            </w:pPr>
            <w:r w:rsidRPr="00EE0850">
              <w:rPr>
                <w:rFonts w:eastAsia="Calibri"/>
                <w:color w:val="000000"/>
                <w:kern w:val="22"/>
                <w:szCs w:val="22"/>
                <w:u w:color="000000"/>
              </w:rPr>
              <w:t>ABS-CH</w:t>
            </w:r>
          </w:p>
        </w:tc>
      </w:tr>
      <w:tr w:rsidR="009F5D7B" w:rsidRPr="00EE0850" w14:paraId="22EBCAAE" w14:textId="77777777" w:rsidTr="005111BD">
        <w:trPr>
          <w:cantSplit/>
          <w:jc w:val="center"/>
        </w:trPr>
        <w:tc>
          <w:tcPr>
            <w:tcW w:w="5552" w:type="dxa"/>
            <w:shd w:val="clear" w:color="auto" w:fill="auto"/>
            <w:tcMar>
              <w:top w:w="29" w:type="dxa"/>
              <w:left w:w="115" w:type="dxa"/>
              <w:bottom w:w="29" w:type="dxa"/>
              <w:right w:w="115" w:type="dxa"/>
            </w:tcMar>
          </w:tcPr>
          <w:p w14:paraId="35BB507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9.</w:t>
            </w:r>
            <w:r w:rsidRPr="00EE0850">
              <w:rPr>
                <w:rFonts w:eastAsia="SimSun"/>
                <w:kern w:val="22"/>
                <w:szCs w:val="22"/>
              </w:rPr>
              <w:tab/>
              <w:t>Number of IRCCs available in the ABS Clearing-House</w:t>
            </w:r>
          </w:p>
        </w:tc>
        <w:tc>
          <w:tcPr>
            <w:tcW w:w="1104" w:type="dxa"/>
            <w:shd w:val="clear" w:color="auto" w:fill="auto"/>
            <w:tcMar>
              <w:top w:w="29" w:type="dxa"/>
              <w:left w:w="115" w:type="dxa"/>
              <w:bottom w:w="29" w:type="dxa"/>
              <w:right w:w="115" w:type="dxa"/>
            </w:tcMar>
            <w:vAlign w:val="center"/>
          </w:tcPr>
          <w:p w14:paraId="6E0B018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(g)</w:t>
            </w:r>
          </w:p>
        </w:tc>
        <w:tc>
          <w:tcPr>
            <w:tcW w:w="1506" w:type="dxa"/>
            <w:shd w:val="clear" w:color="auto" w:fill="auto"/>
            <w:tcMar>
              <w:top w:w="29" w:type="dxa"/>
              <w:left w:w="115" w:type="dxa"/>
              <w:bottom w:w="29" w:type="dxa"/>
              <w:right w:w="115" w:type="dxa"/>
            </w:tcMar>
            <w:vAlign w:val="center"/>
          </w:tcPr>
          <w:p w14:paraId="3746948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146</w:t>
            </w:r>
          </w:p>
        </w:tc>
        <w:tc>
          <w:tcPr>
            <w:tcW w:w="1614" w:type="dxa"/>
            <w:shd w:val="clear" w:color="auto" w:fill="auto"/>
            <w:tcMar>
              <w:top w:w="29" w:type="dxa"/>
              <w:left w:w="115" w:type="dxa"/>
              <w:bottom w:w="29" w:type="dxa"/>
              <w:right w:w="115" w:type="dxa"/>
            </w:tcMar>
            <w:vAlign w:val="center"/>
          </w:tcPr>
          <w:p w14:paraId="29BBC11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ABS-CH</w:t>
            </w:r>
          </w:p>
        </w:tc>
      </w:tr>
      <w:tr w:rsidR="009F5D7B" w:rsidRPr="00EE0850" w14:paraId="47FDE0F8" w14:textId="77777777" w:rsidTr="005111BD">
        <w:trPr>
          <w:cantSplit/>
          <w:jc w:val="center"/>
        </w:trPr>
        <w:tc>
          <w:tcPr>
            <w:tcW w:w="5552" w:type="dxa"/>
            <w:shd w:val="clear" w:color="auto" w:fill="auto"/>
            <w:tcMar>
              <w:top w:w="29" w:type="dxa"/>
              <w:left w:w="115" w:type="dxa"/>
              <w:bottom w:w="29" w:type="dxa"/>
              <w:right w:w="115" w:type="dxa"/>
            </w:tcMar>
          </w:tcPr>
          <w:p w14:paraId="4ACB2C9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10.</w:t>
            </w:r>
            <w:r w:rsidRPr="00EE0850">
              <w:rPr>
                <w:kern w:val="22"/>
                <w:szCs w:val="22"/>
              </w:rPr>
              <w:tab/>
              <w:t>Number and percentage of Parties with one or more checkpoints</w:t>
            </w:r>
          </w:p>
        </w:tc>
        <w:tc>
          <w:tcPr>
            <w:tcW w:w="1104" w:type="dxa"/>
            <w:shd w:val="clear" w:color="auto" w:fill="auto"/>
            <w:tcMar>
              <w:top w:w="29" w:type="dxa"/>
              <w:left w:w="115" w:type="dxa"/>
              <w:bottom w:w="29" w:type="dxa"/>
              <w:right w:w="115" w:type="dxa"/>
            </w:tcMar>
            <w:vAlign w:val="center"/>
          </w:tcPr>
          <w:p w14:paraId="6F7A32E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w:t>
            </w:r>
          </w:p>
        </w:tc>
        <w:tc>
          <w:tcPr>
            <w:tcW w:w="1506" w:type="dxa"/>
            <w:shd w:val="clear" w:color="auto" w:fill="auto"/>
            <w:tcMar>
              <w:top w:w="29" w:type="dxa"/>
              <w:left w:w="115" w:type="dxa"/>
              <w:bottom w:w="29" w:type="dxa"/>
              <w:right w:w="115" w:type="dxa"/>
            </w:tcMar>
            <w:vAlign w:val="center"/>
          </w:tcPr>
          <w:p w14:paraId="3DFEF16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29 (27%)</w:t>
            </w:r>
          </w:p>
        </w:tc>
        <w:tc>
          <w:tcPr>
            <w:tcW w:w="1614" w:type="dxa"/>
            <w:shd w:val="clear" w:color="auto" w:fill="auto"/>
            <w:tcMar>
              <w:top w:w="29" w:type="dxa"/>
              <w:left w:w="115" w:type="dxa"/>
              <w:bottom w:w="29" w:type="dxa"/>
              <w:right w:w="115" w:type="dxa"/>
            </w:tcMar>
            <w:vAlign w:val="center"/>
          </w:tcPr>
          <w:p w14:paraId="787ED1A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Q.9 ABS-CH CBD report</w:t>
            </w:r>
          </w:p>
          <w:p w14:paraId="343DF57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NBSAP</w:t>
            </w:r>
          </w:p>
        </w:tc>
      </w:tr>
      <w:tr w:rsidR="009F5D7B" w:rsidRPr="00EE0850" w14:paraId="09DD1608" w14:textId="77777777" w:rsidTr="005111BD">
        <w:trPr>
          <w:cantSplit/>
          <w:jc w:val="center"/>
        </w:trPr>
        <w:tc>
          <w:tcPr>
            <w:tcW w:w="5552" w:type="dxa"/>
            <w:shd w:val="clear" w:color="auto" w:fill="auto"/>
            <w:tcMar>
              <w:top w:w="29" w:type="dxa"/>
              <w:left w:w="115" w:type="dxa"/>
              <w:bottom w:w="29" w:type="dxa"/>
              <w:right w:w="115" w:type="dxa"/>
            </w:tcMar>
          </w:tcPr>
          <w:p w14:paraId="71AC59A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11.</w:t>
            </w:r>
            <w:r w:rsidRPr="00EE0850">
              <w:rPr>
                <w:kern w:val="22"/>
                <w:szCs w:val="22"/>
              </w:rPr>
              <w:tab/>
              <w:t>Number and percentage of Parties that have published information on checkpoints</w:t>
            </w:r>
          </w:p>
        </w:tc>
        <w:tc>
          <w:tcPr>
            <w:tcW w:w="1104" w:type="dxa"/>
            <w:shd w:val="clear" w:color="auto" w:fill="auto"/>
            <w:tcMar>
              <w:top w:w="29" w:type="dxa"/>
              <w:left w:w="115" w:type="dxa"/>
              <w:bottom w:w="29" w:type="dxa"/>
              <w:right w:w="115" w:type="dxa"/>
            </w:tcMar>
            <w:vAlign w:val="center"/>
          </w:tcPr>
          <w:p w14:paraId="7BF8CB3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(g)</w:t>
            </w:r>
          </w:p>
        </w:tc>
        <w:tc>
          <w:tcPr>
            <w:tcW w:w="1506" w:type="dxa"/>
            <w:shd w:val="clear" w:color="auto" w:fill="auto"/>
            <w:tcMar>
              <w:top w:w="29" w:type="dxa"/>
              <w:left w:w="115" w:type="dxa"/>
              <w:bottom w:w="29" w:type="dxa"/>
              <w:right w:w="115" w:type="dxa"/>
            </w:tcMar>
            <w:vAlign w:val="center"/>
          </w:tcPr>
          <w:p w14:paraId="1298CB9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20 (19%)</w:t>
            </w:r>
          </w:p>
        </w:tc>
        <w:tc>
          <w:tcPr>
            <w:tcW w:w="1614" w:type="dxa"/>
            <w:shd w:val="clear" w:color="auto" w:fill="auto"/>
            <w:tcMar>
              <w:top w:w="29" w:type="dxa"/>
              <w:left w:w="115" w:type="dxa"/>
              <w:bottom w:w="29" w:type="dxa"/>
              <w:right w:w="115" w:type="dxa"/>
            </w:tcMar>
            <w:vAlign w:val="center"/>
          </w:tcPr>
          <w:p w14:paraId="0AC6DB7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ABS-CH</w:t>
            </w:r>
          </w:p>
        </w:tc>
      </w:tr>
      <w:tr w:rsidR="009F5D7B" w:rsidRPr="00EE0850" w14:paraId="1761D48A" w14:textId="77777777" w:rsidTr="005111BD">
        <w:trPr>
          <w:cantSplit/>
          <w:jc w:val="center"/>
        </w:trPr>
        <w:tc>
          <w:tcPr>
            <w:tcW w:w="5552" w:type="dxa"/>
            <w:shd w:val="clear" w:color="auto" w:fill="auto"/>
            <w:tcMar>
              <w:top w:w="29" w:type="dxa"/>
              <w:left w:w="115" w:type="dxa"/>
              <w:bottom w:w="29" w:type="dxa"/>
              <w:right w:w="115" w:type="dxa"/>
            </w:tcMar>
          </w:tcPr>
          <w:p w14:paraId="01A2E92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12.</w:t>
            </w:r>
            <w:r w:rsidRPr="00EE0850">
              <w:rPr>
                <w:kern w:val="22"/>
                <w:szCs w:val="22"/>
              </w:rPr>
              <w:tab/>
              <w:t>Number and percentage of Parties that have made information available to the ABS Clearing-House (CNA, checkpoint, ABS measures, IRCC)</w:t>
            </w:r>
          </w:p>
        </w:tc>
        <w:tc>
          <w:tcPr>
            <w:tcW w:w="1104" w:type="dxa"/>
            <w:shd w:val="clear" w:color="auto" w:fill="auto"/>
            <w:tcMar>
              <w:top w:w="29" w:type="dxa"/>
              <w:left w:w="115" w:type="dxa"/>
              <w:bottom w:w="29" w:type="dxa"/>
              <w:right w:w="115" w:type="dxa"/>
            </w:tcMar>
            <w:vAlign w:val="center"/>
          </w:tcPr>
          <w:p w14:paraId="61D84CF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(a)(g)</w:t>
            </w:r>
          </w:p>
        </w:tc>
        <w:tc>
          <w:tcPr>
            <w:tcW w:w="1506" w:type="dxa"/>
            <w:shd w:val="clear" w:color="auto" w:fill="auto"/>
            <w:tcMar>
              <w:top w:w="29" w:type="dxa"/>
              <w:left w:w="115" w:type="dxa"/>
              <w:bottom w:w="29" w:type="dxa"/>
              <w:right w:w="115" w:type="dxa"/>
            </w:tcMar>
            <w:vAlign w:val="center"/>
          </w:tcPr>
          <w:p w14:paraId="420EB0D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54 (51%)</w:t>
            </w:r>
          </w:p>
        </w:tc>
        <w:tc>
          <w:tcPr>
            <w:tcW w:w="1614" w:type="dxa"/>
            <w:shd w:val="clear" w:color="auto" w:fill="auto"/>
            <w:tcMar>
              <w:top w:w="29" w:type="dxa"/>
              <w:left w:w="115" w:type="dxa"/>
              <w:bottom w:w="29" w:type="dxa"/>
              <w:right w:w="115" w:type="dxa"/>
            </w:tcMar>
            <w:vAlign w:val="center"/>
          </w:tcPr>
          <w:p w14:paraId="48A259F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Q.3 ABS-CH</w:t>
            </w:r>
          </w:p>
        </w:tc>
      </w:tr>
      <w:tr w:rsidR="009F5D7B" w:rsidRPr="00EE0850" w14:paraId="78A096A8"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1F235F0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13.</w:t>
            </w:r>
            <w:r w:rsidRPr="00EE0850">
              <w:rPr>
                <w:rFonts w:eastAsia="SimSun"/>
                <w:kern w:val="22"/>
                <w:szCs w:val="22"/>
              </w:rPr>
              <w:tab/>
            </w:r>
            <w:r w:rsidRPr="00EE0850">
              <w:rPr>
                <w:kern w:val="22"/>
                <w:szCs w:val="22"/>
              </w:rPr>
              <w:t>Number and percentage of Parties that have information (CNA, checkpoint, ABS measures, permits) t</w:t>
            </w:r>
            <w:r w:rsidRPr="00EE0850">
              <w:rPr>
                <w:rFonts w:eastAsia="SimSun"/>
                <w:kern w:val="22"/>
                <w:szCs w:val="22"/>
              </w:rPr>
              <w:t>hat have not yet been made available to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2B00EEB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5DD319F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46 (44%)</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069885C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Q.4, 6, 9 ABS-CH CBD report</w:t>
            </w:r>
          </w:p>
          <w:p w14:paraId="2451FE9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NBSAP</w:t>
            </w:r>
          </w:p>
        </w:tc>
      </w:tr>
      <w:tr w:rsidR="009F5D7B" w:rsidRPr="00EE0850" w14:paraId="50CF360B"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43C0A6E3"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rFonts w:eastAsia="SimSun"/>
                <w:b/>
                <w:kern w:val="22"/>
                <w:szCs w:val="22"/>
              </w:rPr>
            </w:pPr>
            <w:r w:rsidRPr="00EE0850">
              <w:rPr>
                <w:rFonts w:eastAsia="SimSun"/>
                <w:b/>
                <w:kern w:val="22"/>
                <w:szCs w:val="22"/>
              </w:rPr>
              <w:t>Legislative, administrative or policy measures on ABS: Access to genetic resources (Article 6)</w:t>
            </w:r>
          </w:p>
        </w:tc>
      </w:tr>
      <w:tr w:rsidR="009F5D7B" w:rsidRPr="00EE0850" w14:paraId="00A33B0F" w14:textId="77777777" w:rsidTr="005111BD">
        <w:trPr>
          <w:cantSplit/>
          <w:jc w:val="center"/>
        </w:trPr>
        <w:tc>
          <w:tcPr>
            <w:tcW w:w="5552" w:type="dxa"/>
            <w:shd w:val="clear" w:color="auto" w:fill="auto"/>
            <w:tcMar>
              <w:top w:w="29" w:type="dxa"/>
              <w:left w:w="115" w:type="dxa"/>
              <w:bottom w:w="29" w:type="dxa"/>
              <w:right w:w="115" w:type="dxa"/>
            </w:tcMar>
          </w:tcPr>
          <w:p w14:paraId="38592D3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14.</w:t>
            </w:r>
            <w:r w:rsidRPr="00EE0850">
              <w:rPr>
                <w:rFonts w:eastAsia="SimSun"/>
                <w:kern w:val="22"/>
                <w:szCs w:val="22"/>
              </w:rPr>
              <w:tab/>
              <w:t>Number and percentage of Parties requiring prior informed consent for access to genetic resources that provide information on how to apply for prior informed consent as provided in Article 6.3 (c)</w:t>
            </w:r>
          </w:p>
        </w:tc>
        <w:tc>
          <w:tcPr>
            <w:tcW w:w="1104" w:type="dxa"/>
            <w:shd w:val="clear" w:color="auto" w:fill="auto"/>
            <w:tcMar>
              <w:top w:w="29" w:type="dxa"/>
              <w:left w:w="115" w:type="dxa"/>
              <w:bottom w:w="29" w:type="dxa"/>
              <w:right w:w="115" w:type="dxa"/>
            </w:tcMar>
            <w:vAlign w:val="center"/>
          </w:tcPr>
          <w:p w14:paraId="5027B1E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(a) (b)</w:t>
            </w:r>
          </w:p>
        </w:tc>
        <w:tc>
          <w:tcPr>
            <w:tcW w:w="1506" w:type="dxa"/>
            <w:shd w:val="clear" w:color="auto" w:fill="auto"/>
            <w:tcMar>
              <w:top w:w="29" w:type="dxa"/>
              <w:left w:w="115" w:type="dxa"/>
              <w:bottom w:w="29" w:type="dxa"/>
              <w:right w:w="115" w:type="dxa"/>
            </w:tcMar>
            <w:vAlign w:val="center"/>
          </w:tcPr>
          <w:p w14:paraId="1DE0C37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27 (73%)</w:t>
            </w:r>
          </w:p>
        </w:tc>
        <w:tc>
          <w:tcPr>
            <w:tcW w:w="1614" w:type="dxa"/>
            <w:shd w:val="clear" w:color="auto" w:fill="auto"/>
            <w:tcMar>
              <w:top w:w="29" w:type="dxa"/>
              <w:left w:w="115" w:type="dxa"/>
              <w:bottom w:w="29" w:type="dxa"/>
              <w:right w:w="115" w:type="dxa"/>
            </w:tcMar>
            <w:vAlign w:val="center"/>
          </w:tcPr>
          <w:p w14:paraId="52B83A5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Q.13</w:t>
            </w:r>
          </w:p>
        </w:tc>
      </w:tr>
      <w:tr w:rsidR="009F5D7B" w:rsidRPr="00EE0850" w14:paraId="404631CF" w14:textId="77777777" w:rsidTr="005111BD">
        <w:trPr>
          <w:cantSplit/>
          <w:jc w:val="center"/>
        </w:trPr>
        <w:tc>
          <w:tcPr>
            <w:tcW w:w="5552" w:type="dxa"/>
            <w:shd w:val="clear" w:color="auto" w:fill="auto"/>
            <w:tcMar>
              <w:top w:w="29" w:type="dxa"/>
              <w:left w:w="115" w:type="dxa"/>
              <w:bottom w:w="29" w:type="dxa"/>
              <w:right w:w="115" w:type="dxa"/>
            </w:tcMar>
          </w:tcPr>
          <w:p w14:paraId="111D4FF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15.</w:t>
            </w:r>
            <w:r w:rsidRPr="00EE0850">
              <w:rPr>
                <w:rFonts w:eastAsia="SimSun"/>
                <w:kern w:val="22"/>
                <w:szCs w:val="22"/>
              </w:rPr>
              <w:tab/>
              <w:t>Number and percentage of Parties requiring prior informed consent</w:t>
            </w:r>
            <w:r w:rsidRPr="00EE0850">
              <w:rPr>
                <w:rFonts w:eastAsia="Calibri"/>
                <w:kern w:val="22"/>
                <w:szCs w:val="22"/>
              </w:rPr>
              <w:t xml:space="preserve"> </w:t>
            </w:r>
            <w:r w:rsidRPr="00EE0850">
              <w:rPr>
                <w:rFonts w:eastAsia="SimSun"/>
                <w:kern w:val="22"/>
                <w:szCs w:val="22"/>
              </w:rPr>
              <w:t>providing for the issuance at the time of access of a permit or its equivalent as provided in Article 6.3 (e)</w:t>
            </w:r>
          </w:p>
        </w:tc>
        <w:tc>
          <w:tcPr>
            <w:tcW w:w="1104" w:type="dxa"/>
            <w:shd w:val="clear" w:color="auto" w:fill="auto"/>
            <w:tcMar>
              <w:top w:w="29" w:type="dxa"/>
              <w:left w:w="115" w:type="dxa"/>
              <w:bottom w:w="29" w:type="dxa"/>
              <w:right w:w="115" w:type="dxa"/>
            </w:tcMar>
            <w:vAlign w:val="center"/>
          </w:tcPr>
          <w:p w14:paraId="2C90B1C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(a) (b)</w:t>
            </w:r>
          </w:p>
        </w:tc>
        <w:tc>
          <w:tcPr>
            <w:tcW w:w="1506" w:type="dxa"/>
            <w:shd w:val="clear" w:color="auto" w:fill="auto"/>
            <w:tcMar>
              <w:top w:w="29" w:type="dxa"/>
              <w:left w:w="115" w:type="dxa"/>
              <w:bottom w:w="29" w:type="dxa"/>
              <w:right w:w="115" w:type="dxa"/>
            </w:tcMar>
            <w:vAlign w:val="center"/>
          </w:tcPr>
          <w:p w14:paraId="46022EB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32 (86%)</w:t>
            </w:r>
          </w:p>
        </w:tc>
        <w:tc>
          <w:tcPr>
            <w:tcW w:w="1614" w:type="dxa"/>
            <w:shd w:val="clear" w:color="auto" w:fill="auto"/>
            <w:tcMar>
              <w:top w:w="29" w:type="dxa"/>
              <w:left w:w="115" w:type="dxa"/>
              <w:bottom w:w="29" w:type="dxa"/>
              <w:right w:w="115" w:type="dxa"/>
            </w:tcMar>
            <w:vAlign w:val="center"/>
          </w:tcPr>
          <w:p w14:paraId="5CC658B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Q.15</w:t>
            </w:r>
          </w:p>
        </w:tc>
      </w:tr>
      <w:tr w:rsidR="009F5D7B" w:rsidRPr="00EE0850" w14:paraId="672E398B" w14:textId="77777777" w:rsidTr="005111BD">
        <w:trPr>
          <w:cantSplit/>
          <w:jc w:val="center"/>
        </w:trPr>
        <w:tc>
          <w:tcPr>
            <w:tcW w:w="5552" w:type="dxa"/>
            <w:shd w:val="clear" w:color="auto" w:fill="auto"/>
            <w:tcMar>
              <w:top w:w="29" w:type="dxa"/>
              <w:left w:w="115" w:type="dxa"/>
              <w:bottom w:w="29" w:type="dxa"/>
              <w:right w:w="115" w:type="dxa"/>
            </w:tcMar>
          </w:tcPr>
          <w:p w14:paraId="5FF1970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16.</w:t>
            </w:r>
            <w:r w:rsidRPr="00EE0850">
              <w:rPr>
                <w:rFonts w:eastAsia="SimSun"/>
                <w:kern w:val="22"/>
                <w:szCs w:val="22"/>
              </w:rPr>
              <w:tab/>
            </w:r>
            <w:r w:rsidRPr="00EE0850">
              <w:rPr>
                <w:rFonts w:eastAsia="Calibri"/>
                <w:color w:val="000000"/>
                <w:kern w:val="22"/>
                <w:szCs w:val="22"/>
                <w:u w:color="000000"/>
              </w:rPr>
              <w:t>Number and percentage of Parties requiring prior informed consent for access to genetic resources that have rules and procedures for requiring and establishing mutually agreed terms as provided in Article 6.3 (g)</w:t>
            </w:r>
          </w:p>
        </w:tc>
        <w:tc>
          <w:tcPr>
            <w:tcW w:w="1104" w:type="dxa"/>
            <w:shd w:val="clear" w:color="auto" w:fill="auto"/>
            <w:tcMar>
              <w:top w:w="29" w:type="dxa"/>
              <w:left w:w="115" w:type="dxa"/>
              <w:bottom w:w="29" w:type="dxa"/>
              <w:right w:w="115" w:type="dxa"/>
            </w:tcMar>
            <w:vAlign w:val="center"/>
          </w:tcPr>
          <w:p w14:paraId="523CF18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(a)</w:t>
            </w:r>
          </w:p>
        </w:tc>
        <w:tc>
          <w:tcPr>
            <w:tcW w:w="1506" w:type="dxa"/>
            <w:shd w:val="clear" w:color="auto" w:fill="auto"/>
            <w:tcMar>
              <w:top w:w="29" w:type="dxa"/>
              <w:left w:w="115" w:type="dxa"/>
              <w:bottom w:w="29" w:type="dxa"/>
              <w:right w:w="115" w:type="dxa"/>
            </w:tcMar>
            <w:vAlign w:val="center"/>
          </w:tcPr>
          <w:p w14:paraId="070A315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28 (76%)</w:t>
            </w:r>
          </w:p>
        </w:tc>
        <w:tc>
          <w:tcPr>
            <w:tcW w:w="1614" w:type="dxa"/>
            <w:shd w:val="clear" w:color="auto" w:fill="auto"/>
            <w:tcMar>
              <w:top w:w="29" w:type="dxa"/>
              <w:left w:w="115" w:type="dxa"/>
              <w:bottom w:w="29" w:type="dxa"/>
              <w:right w:w="115" w:type="dxa"/>
            </w:tcMar>
            <w:vAlign w:val="center"/>
          </w:tcPr>
          <w:p w14:paraId="2D13AF0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Calibri"/>
                <w:color w:val="000000"/>
                <w:kern w:val="22"/>
                <w:szCs w:val="22"/>
                <w:u w:color="000000"/>
              </w:rPr>
            </w:pPr>
            <w:r w:rsidRPr="00EE0850">
              <w:rPr>
                <w:rFonts w:eastAsia="Calibri"/>
                <w:color w:val="000000"/>
                <w:kern w:val="22"/>
                <w:szCs w:val="22"/>
                <w:u w:color="000000"/>
              </w:rPr>
              <w:t>Q.17</w:t>
            </w:r>
          </w:p>
        </w:tc>
      </w:tr>
      <w:tr w:rsidR="009F5D7B" w:rsidRPr="00EE0850" w14:paraId="61120A55" w14:textId="77777777" w:rsidTr="005111BD">
        <w:trPr>
          <w:cantSplit/>
          <w:jc w:val="center"/>
        </w:trPr>
        <w:tc>
          <w:tcPr>
            <w:tcW w:w="5552" w:type="dxa"/>
            <w:shd w:val="clear" w:color="auto" w:fill="auto"/>
            <w:tcMar>
              <w:top w:w="29" w:type="dxa"/>
              <w:left w:w="115" w:type="dxa"/>
              <w:bottom w:w="29" w:type="dxa"/>
              <w:right w:w="115" w:type="dxa"/>
            </w:tcMar>
          </w:tcPr>
          <w:p w14:paraId="7362647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17.</w:t>
            </w:r>
            <w:r w:rsidRPr="00EE0850">
              <w:rPr>
                <w:rFonts w:eastAsia="SimSun"/>
                <w:kern w:val="22"/>
                <w:szCs w:val="22"/>
              </w:rPr>
              <w:tab/>
            </w:r>
            <w:r w:rsidRPr="00EE0850">
              <w:rPr>
                <w:rFonts w:eastAsia="Calibri"/>
                <w:i/>
                <w:color w:val="000000"/>
                <w:kern w:val="22"/>
                <w:szCs w:val="22"/>
                <w:u w:color="000000"/>
              </w:rPr>
              <w:t>Revised:</w:t>
            </w:r>
            <w:r w:rsidRPr="00EE0850">
              <w:rPr>
                <w:rFonts w:eastAsia="Calibri"/>
                <w:color w:val="000000"/>
                <w:kern w:val="22"/>
                <w:szCs w:val="22"/>
                <w:u w:color="000000"/>
              </w:rPr>
              <w:t xml:space="preserve"> Number and percentage of Parties </w:t>
            </w:r>
            <w:r w:rsidRPr="00EE0850">
              <w:rPr>
                <w:rFonts w:eastAsia="SimSun"/>
                <w:kern w:val="22"/>
                <w:szCs w:val="22"/>
              </w:rPr>
              <w:t>requiring prior informed consent for access to genetic resources for their utilization which received monetary benefits from granting access to genetic resources since entry into force of the Protocol</w:t>
            </w:r>
          </w:p>
        </w:tc>
        <w:tc>
          <w:tcPr>
            <w:tcW w:w="1104" w:type="dxa"/>
            <w:shd w:val="clear" w:color="auto" w:fill="auto"/>
            <w:tcMar>
              <w:top w:w="29" w:type="dxa"/>
              <w:left w:w="115" w:type="dxa"/>
              <w:bottom w:w="29" w:type="dxa"/>
              <w:right w:w="115" w:type="dxa"/>
            </w:tcMar>
            <w:vAlign w:val="center"/>
          </w:tcPr>
          <w:p w14:paraId="20B4C9F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52B53DD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Not conclusive data</w:t>
            </w:r>
          </w:p>
        </w:tc>
        <w:tc>
          <w:tcPr>
            <w:tcW w:w="1614" w:type="dxa"/>
            <w:shd w:val="clear" w:color="auto" w:fill="auto"/>
            <w:tcMar>
              <w:top w:w="29" w:type="dxa"/>
              <w:left w:w="115" w:type="dxa"/>
              <w:bottom w:w="29" w:type="dxa"/>
              <w:right w:w="115" w:type="dxa"/>
            </w:tcMar>
            <w:vAlign w:val="center"/>
          </w:tcPr>
          <w:p w14:paraId="0E11EF3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Q.18 requires revision</w:t>
            </w:r>
          </w:p>
        </w:tc>
      </w:tr>
      <w:tr w:rsidR="009F5D7B" w:rsidRPr="00EE0850" w14:paraId="40468DB9" w14:textId="77777777" w:rsidTr="005111BD">
        <w:trPr>
          <w:cantSplit/>
          <w:jc w:val="center"/>
        </w:trPr>
        <w:tc>
          <w:tcPr>
            <w:tcW w:w="5552" w:type="dxa"/>
            <w:shd w:val="clear" w:color="auto" w:fill="auto"/>
            <w:tcMar>
              <w:top w:w="29" w:type="dxa"/>
              <w:left w:w="115" w:type="dxa"/>
              <w:bottom w:w="29" w:type="dxa"/>
              <w:right w:w="115" w:type="dxa"/>
            </w:tcMar>
          </w:tcPr>
          <w:p w14:paraId="0C234F6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18.</w:t>
            </w:r>
            <w:r w:rsidRPr="00EE0850">
              <w:rPr>
                <w:rFonts w:eastAsia="SimSun"/>
                <w:kern w:val="22"/>
                <w:szCs w:val="22"/>
              </w:rPr>
              <w:tab/>
            </w:r>
            <w:r w:rsidRPr="00EE0850">
              <w:rPr>
                <w:rFonts w:eastAsia="Calibri"/>
                <w:i/>
                <w:color w:val="000000"/>
                <w:kern w:val="22"/>
                <w:szCs w:val="22"/>
                <w:u w:color="000000"/>
              </w:rPr>
              <w:t>New:</w:t>
            </w:r>
            <w:r w:rsidRPr="00EE0850">
              <w:rPr>
                <w:rFonts w:eastAsia="Calibri"/>
                <w:color w:val="000000"/>
                <w:kern w:val="22"/>
                <w:szCs w:val="22"/>
                <w:u w:color="000000"/>
              </w:rPr>
              <w:t xml:space="preserve"> </w:t>
            </w:r>
            <w:r w:rsidRPr="00EE0850">
              <w:rPr>
                <w:rFonts w:eastAsia="SimSun"/>
                <w:kern w:val="22"/>
                <w:szCs w:val="22"/>
              </w:rPr>
              <w:t>Amount of monetary benefits (in USD) received from granting access to genetic resources for their utilization since entry into force of the Protocol</w:t>
            </w:r>
          </w:p>
        </w:tc>
        <w:tc>
          <w:tcPr>
            <w:tcW w:w="1104" w:type="dxa"/>
            <w:shd w:val="clear" w:color="auto" w:fill="auto"/>
            <w:tcMar>
              <w:top w:w="29" w:type="dxa"/>
              <w:left w:w="115" w:type="dxa"/>
              <w:bottom w:w="29" w:type="dxa"/>
              <w:right w:w="115" w:type="dxa"/>
            </w:tcMar>
            <w:vAlign w:val="center"/>
          </w:tcPr>
          <w:p w14:paraId="41AAB55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4CFB423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Not conclusive data</w:t>
            </w:r>
          </w:p>
        </w:tc>
        <w:tc>
          <w:tcPr>
            <w:tcW w:w="1614" w:type="dxa"/>
            <w:shd w:val="clear" w:color="auto" w:fill="auto"/>
            <w:tcMar>
              <w:top w:w="29" w:type="dxa"/>
              <w:left w:w="115" w:type="dxa"/>
              <w:bottom w:w="29" w:type="dxa"/>
              <w:right w:w="115" w:type="dxa"/>
            </w:tcMar>
            <w:vAlign w:val="center"/>
          </w:tcPr>
          <w:p w14:paraId="5E2804A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Q.18 requires revision</w:t>
            </w:r>
          </w:p>
        </w:tc>
      </w:tr>
      <w:tr w:rsidR="009F5D7B" w:rsidRPr="00EE0850" w14:paraId="680D4A91" w14:textId="77777777" w:rsidTr="005111BD">
        <w:trPr>
          <w:cantSplit/>
          <w:jc w:val="center"/>
        </w:trPr>
        <w:tc>
          <w:tcPr>
            <w:tcW w:w="5552" w:type="dxa"/>
            <w:shd w:val="clear" w:color="auto" w:fill="auto"/>
            <w:tcMar>
              <w:top w:w="29" w:type="dxa"/>
              <w:left w:w="115" w:type="dxa"/>
              <w:bottom w:w="29" w:type="dxa"/>
              <w:right w:w="115" w:type="dxa"/>
            </w:tcMar>
          </w:tcPr>
          <w:p w14:paraId="6DB7C7F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19.</w:t>
            </w:r>
            <w:r w:rsidRPr="00EE0850">
              <w:rPr>
                <w:rFonts w:eastAsia="SimSun"/>
                <w:kern w:val="22"/>
                <w:szCs w:val="22"/>
              </w:rPr>
              <w:tab/>
            </w:r>
            <w:r w:rsidRPr="00EE0850">
              <w:rPr>
                <w:rFonts w:eastAsia="Calibri"/>
                <w:i/>
                <w:color w:val="000000"/>
                <w:kern w:val="22"/>
                <w:szCs w:val="22"/>
                <w:u w:color="000000"/>
              </w:rPr>
              <w:t>Revised:</w:t>
            </w:r>
            <w:r w:rsidRPr="00EE0850">
              <w:rPr>
                <w:rFonts w:eastAsia="Calibri"/>
                <w:color w:val="000000"/>
                <w:kern w:val="22"/>
                <w:szCs w:val="22"/>
                <w:u w:color="000000"/>
              </w:rPr>
              <w:t xml:space="preserve"> Number and percentage of Parties </w:t>
            </w:r>
            <w:r w:rsidRPr="00EE0850">
              <w:rPr>
                <w:rFonts w:eastAsia="SimSun"/>
                <w:kern w:val="22"/>
                <w:szCs w:val="22"/>
              </w:rPr>
              <w:t>requiring prior informed consent for access to genetic resources that received non-monetary benefits from granting access to genetic resources since entry into force of the Protocol</w:t>
            </w:r>
          </w:p>
        </w:tc>
        <w:tc>
          <w:tcPr>
            <w:tcW w:w="1104" w:type="dxa"/>
            <w:shd w:val="clear" w:color="auto" w:fill="auto"/>
            <w:tcMar>
              <w:top w:w="29" w:type="dxa"/>
              <w:left w:w="115" w:type="dxa"/>
              <w:bottom w:w="29" w:type="dxa"/>
              <w:right w:w="115" w:type="dxa"/>
            </w:tcMar>
            <w:vAlign w:val="center"/>
          </w:tcPr>
          <w:p w14:paraId="3E80810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62E2483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Not conclusive data</w:t>
            </w:r>
          </w:p>
        </w:tc>
        <w:tc>
          <w:tcPr>
            <w:tcW w:w="1614" w:type="dxa"/>
            <w:shd w:val="clear" w:color="auto" w:fill="auto"/>
            <w:tcMar>
              <w:top w:w="29" w:type="dxa"/>
              <w:left w:w="115" w:type="dxa"/>
              <w:bottom w:w="29" w:type="dxa"/>
              <w:right w:w="115" w:type="dxa"/>
            </w:tcMar>
            <w:vAlign w:val="center"/>
          </w:tcPr>
          <w:p w14:paraId="1DF8ACE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Q.18 requires revision</w:t>
            </w:r>
          </w:p>
        </w:tc>
      </w:tr>
      <w:tr w:rsidR="009F5D7B" w:rsidRPr="00EE0850" w14:paraId="4B2AF4DD" w14:textId="77777777" w:rsidTr="005111BD">
        <w:trPr>
          <w:cantSplit/>
          <w:jc w:val="center"/>
        </w:trPr>
        <w:tc>
          <w:tcPr>
            <w:tcW w:w="5552" w:type="dxa"/>
            <w:shd w:val="clear" w:color="auto" w:fill="auto"/>
            <w:tcMar>
              <w:top w:w="29" w:type="dxa"/>
              <w:left w:w="115" w:type="dxa"/>
              <w:bottom w:w="29" w:type="dxa"/>
              <w:right w:w="115" w:type="dxa"/>
            </w:tcMar>
          </w:tcPr>
          <w:p w14:paraId="60F28F2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20.</w:t>
            </w:r>
            <w:r w:rsidRPr="00EE0850">
              <w:rPr>
                <w:rFonts w:eastAsia="SimSun"/>
                <w:kern w:val="22"/>
                <w:szCs w:val="22"/>
              </w:rPr>
              <w:tab/>
            </w:r>
            <w:r w:rsidRPr="00EE0850">
              <w:rPr>
                <w:rFonts w:eastAsia="Calibri"/>
                <w:i/>
                <w:color w:val="000000"/>
                <w:kern w:val="22"/>
                <w:szCs w:val="22"/>
                <w:u w:color="000000"/>
              </w:rPr>
              <w:t>Revised:</w:t>
            </w:r>
            <w:r w:rsidRPr="00EE0850">
              <w:rPr>
                <w:rFonts w:eastAsia="Calibri"/>
                <w:color w:val="000000"/>
                <w:kern w:val="22"/>
                <w:szCs w:val="22"/>
                <w:u w:color="000000"/>
              </w:rPr>
              <w:t xml:space="preserve"> Number and percentage of Parties </w:t>
            </w:r>
            <w:r w:rsidRPr="00EE0850">
              <w:rPr>
                <w:rFonts w:eastAsia="SimSun"/>
                <w:kern w:val="22"/>
                <w:szCs w:val="22"/>
              </w:rPr>
              <w:t>with indigenous peoples and local communities in their country that received monetary benefits from granting access to traditional knowledge associated with genetic resources</w:t>
            </w:r>
            <w:r w:rsidRPr="00EE0850">
              <w:rPr>
                <w:kern w:val="22"/>
                <w:szCs w:val="22"/>
              </w:rPr>
              <w:t xml:space="preserve"> </w:t>
            </w:r>
            <w:r w:rsidRPr="00EE0850">
              <w:rPr>
                <w:rFonts w:eastAsia="SimSun"/>
                <w:kern w:val="22"/>
                <w:szCs w:val="22"/>
              </w:rPr>
              <w:t>since entry into force of the Protocol</w:t>
            </w:r>
          </w:p>
        </w:tc>
        <w:tc>
          <w:tcPr>
            <w:tcW w:w="1104" w:type="dxa"/>
            <w:shd w:val="clear" w:color="auto" w:fill="auto"/>
            <w:tcMar>
              <w:top w:w="29" w:type="dxa"/>
              <w:left w:w="115" w:type="dxa"/>
              <w:bottom w:w="29" w:type="dxa"/>
              <w:right w:w="115" w:type="dxa"/>
            </w:tcMar>
            <w:vAlign w:val="center"/>
          </w:tcPr>
          <w:p w14:paraId="546B2D1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2EAD248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Not conclusive data</w:t>
            </w:r>
          </w:p>
        </w:tc>
        <w:tc>
          <w:tcPr>
            <w:tcW w:w="1614" w:type="dxa"/>
            <w:shd w:val="clear" w:color="auto" w:fill="auto"/>
            <w:tcMar>
              <w:top w:w="29" w:type="dxa"/>
              <w:left w:w="115" w:type="dxa"/>
              <w:bottom w:w="29" w:type="dxa"/>
              <w:right w:w="115" w:type="dxa"/>
            </w:tcMar>
            <w:vAlign w:val="center"/>
          </w:tcPr>
          <w:p w14:paraId="435FBEE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Q.18 requires revision</w:t>
            </w:r>
          </w:p>
        </w:tc>
      </w:tr>
      <w:tr w:rsidR="009F5D7B" w:rsidRPr="00EE0850" w14:paraId="6F065B89" w14:textId="77777777" w:rsidTr="005111BD">
        <w:trPr>
          <w:cantSplit/>
          <w:jc w:val="center"/>
        </w:trPr>
        <w:tc>
          <w:tcPr>
            <w:tcW w:w="5552" w:type="dxa"/>
            <w:shd w:val="clear" w:color="auto" w:fill="auto"/>
            <w:tcMar>
              <w:top w:w="29" w:type="dxa"/>
              <w:left w:w="115" w:type="dxa"/>
              <w:bottom w:w="29" w:type="dxa"/>
              <w:right w:w="115" w:type="dxa"/>
            </w:tcMar>
          </w:tcPr>
          <w:p w14:paraId="4A00996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21.</w:t>
            </w:r>
            <w:r w:rsidRPr="00EE0850">
              <w:rPr>
                <w:rFonts w:eastAsia="SimSun"/>
                <w:kern w:val="22"/>
                <w:szCs w:val="22"/>
              </w:rPr>
              <w:tab/>
            </w:r>
            <w:r w:rsidRPr="00EE0850">
              <w:rPr>
                <w:rFonts w:eastAsia="Calibri"/>
                <w:i/>
                <w:color w:val="000000"/>
                <w:kern w:val="22"/>
                <w:szCs w:val="22"/>
                <w:u w:color="000000"/>
              </w:rPr>
              <w:t>New:</w:t>
            </w:r>
            <w:r w:rsidRPr="00EE0850">
              <w:rPr>
                <w:rFonts w:eastAsia="Calibri"/>
                <w:color w:val="000000"/>
                <w:kern w:val="22"/>
                <w:szCs w:val="22"/>
                <w:u w:color="000000"/>
              </w:rPr>
              <w:t xml:space="preserve"> </w:t>
            </w:r>
            <w:r w:rsidRPr="00EE0850">
              <w:rPr>
                <w:rFonts w:eastAsia="SimSun"/>
                <w:kern w:val="22"/>
                <w:szCs w:val="22"/>
              </w:rPr>
              <w:t>Amount of monetary benefits (in USD) received from granting access to traditional knowledge associated with genetic resources for its utilization since entry into force of the Protocol</w:t>
            </w:r>
          </w:p>
        </w:tc>
        <w:tc>
          <w:tcPr>
            <w:tcW w:w="1104" w:type="dxa"/>
            <w:shd w:val="clear" w:color="auto" w:fill="auto"/>
            <w:tcMar>
              <w:top w:w="29" w:type="dxa"/>
              <w:left w:w="115" w:type="dxa"/>
              <w:bottom w:w="29" w:type="dxa"/>
              <w:right w:w="115" w:type="dxa"/>
            </w:tcMar>
            <w:vAlign w:val="center"/>
          </w:tcPr>
          <w:p w14:paraId="140ACDF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7D8BDDE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Not conclusive data</w:t>
            </w:r>
          </w:p>
        </w:tc>
        <w:tc>
          <w:tcPr>
            <w:tcW w:w="1614" w:type="dxa"/>
            <w:shd w:val="clear" w:color="auto" w:fill="auto"/>
            <w:tcMar>
              <w:top w:w="29" w:type="dxa"/>
              <w:left w:w="115" w:type="dxa"/>
              <w:bottom w:w="29" w:type="dxa"/>
              <w:right w:w="115" w:type="dxa"/>
            </w:tcMar>
            <w:vAlign w:val="center"/>
          </w:tcPr>
          <w:p w14:paraId="79CE00E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Q.18 requires revision</w:t>
            </w:r>
          </w:p>
        </w:tc>
      </w:tr>
      <w:tr w:rsidR="009F5D7B" w:rsidRPr="00EE0850" w14:paraId="1981F6C3"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61F2961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22.</w:t>
            </w:r>
            <w:r w:rsidRPr="00EE0850">
              <w:rPr>
                <w:rFonts w:eastAsia="SimSun"/>
                <w:kern w:val="22"/>
                <w:szCs w:val="22"/>
              </w:rPr>
              <w:tab/>
            </w:r>
            <w:r w:rsidRPr="00EE0850">
              <w:rPr>
                <w:rFonts w:eastAsia="Calibri"/>
                <w:i/>
                <w:color w:val="000000"/>
                <w:kern w:val="22"/>
                <w:szCs w:val="22"/>
                <w:u w:color="000000"/>
              </w:rPr>
              <w:t>Revised:</w:t>
            </w:r>
            <w:r w:rsidRPr="00EE0850">
              <w:rPr>
                <w:rFonts w:eastAsia="Calibri"/>
                <w:color w:val="000000"/>
                <w:kern w:val="22"/>
                <w:szCs w:val="22"/>
                <w:u w:color="000000"/>
              </w:rPr>
              <w:t xml:space="preserve"> Number and percentage of Parties </w:t>
            </w:r>
            <w:r w:rsidRPr="00EE0850">
              <w:rPr>
                <w:rFonts w:eastAsia="SimSun"/>
                <w:kern w:val="22"/>
                <w:szCs w:val="22"/>
              </w:rPr>
              <w:t>with indigenous peoples and local communities in their country that received non-monetary benefits from granting access to traditional knowledge associated with genetic resources</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327421C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2C3FD49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Not conclusive data</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27CA5DE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Q.18 requires revision</w:t>
            </w:r>
          </w:p>
        </w:tc>
      </w:tr>
      <w:tr w:rsidR="009F5D7B" w:rsidRPr="00EE0850" w14:paraId="35F8579E" w14:textId="77777777" w:rsidTr="005111BD">
        <w:trPr>
          <w:cantSplit/>
          <w:jc w:val="center"/>
        </w:trPr>
        <w:tc>
          <w:tcPr>
            <w:tcW w:w="9776" w:type="dxa"/>
            <w:gridSpan w:val="4"/>
            <w:tcBorders>
              <w:bottom w:val="single" w:sz="4" w:space="0" w:color="auto"/>
            </w:tcBorders>
            <w:shd w:val="pct5" w:color="auto" w:fill="auto"/>
            <w:tcMar>
              <w:top w:w="29" w:type="dxa"/>
              <w:left w:w="115" w:type="dxa"/>
              <w:bottom w:w="29" w:type="dxa"/>
              <w:right w:w="115" w:type="dxa"/>
            </w:tcMar>
            <w:vAlign w:val="center"/>
          </w:tcPr>
          <w:p w14:paraId="29E44A04"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rFonts w:eastAsia="SimSun"/>
                <w:b/>
                <w:kern w:val="22"/>
                <w:szCs w:val="22"/>
              </w:rPr>
            </w:pPr>
            <w:r w:rsidRPr="00EE0850">
              <w:rPr>
                <w:rFonts w:eastAsia="SimSun"/>
                <w:b/>
                <w:kern w:val="22"/>
                <w:szCs w:val="22"/>
              </w:rPr>
              <w:t>Legislative, administrative or policy measures on ABS: Fair and equitable-sharing (Article 5)</w:t>
            </w:r>
          </w:p>
        </w:tc>
      </w:tr>
      <w:tr w:rsidR="009F5D7B" w:rsidRPr="00EE0850" w14:paraId="7B422509" w14:textId="77777777" w:rsidTr="005111BD">
        <w:trPr>
          <w:cantSplit/>
          <w:jc w:val="center"/>
        </w:trPr>
        <w:tc>
          <w:tcPr>
            <w:tcW w:w="5552" w:type="dxa"/>
            <w:shd w:val="clear" w:color="auto" w:fill="auto"/>
            <w:tcMar>
              <w:top w:w="29" w:type="dxa"/>
              <w:left w:w="115" w:type="dxa"/>
              <w:bottom w:w="29" w:type="dxa"/>
              <w:right w:w="115" w:type="dxa"/>
            </w:tcMar>
          </w:tcPr>
          <w:p w14:paraId="13460BE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23.</w:t>
            </w:r>
            <w:r w:rsidRPr="00EE0850">
              <w:rPr>
                <w:rFonts w:eastAsia="SimSun"/>
                <w:kern w:val="22"/>
                <w:szCs w:val="22"/>
              </w:rPr>
              <w:tab/>
            </w:r>
            <w:r w:rsidRPr="00EE0850">
              <w:rPr>
                <w:rFonts w:eastAsia="Calibri"/>
                <w:color w:val="000000"/>
                <w:kern w:val="22"/>
                <w:szCs w:val="22"/>
                <w:u w:color="000000"/>
              </w:rPr>
              <w:t xml:space="preserve">Number and percentage </w:t>
            </w:r>
            <w:r w:rsidRPr="00EE0850">
              <w:rPr>
                <w:rFonts w:eastAsia="SimSun"/>
                <w:kern w:val="22"/>
                <w:szCs w:val="22"/>
              </w:rPr>
              <w:t>of Parties with legislative, administrative or policy measures to implement Article 5.1 (genetic resources)</w:t>
            </w:r>
          </w:p>
        </w:tc>
        <w:tc>
          <w:tcPr>
            <w:tcW w:w="1104" w:type="dxa"/>
            <w:shd w:val="clear" w:color="auto" w:fill="auto"/>
            <w:tcMar>
              <w:top w:w="29" w:type="dxa"/>
              <w:left w:w="115" w:type="dxa"/>
              <w:bottom w:w="29" w:type="dxa"/>
              <w:right w:w="115" w:type="dxa"/>
            </w:tcMar>
            <w:vAlign w:val="center"/>
          </w:tcPr>
          <w:p w14:paraId="0143B66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w:t>
            </w:r>
          </w:p>
        </w:tc>
        <w:tc>
          <w:tcPr>
            <w:tcW w:w="1506" w:type="dxa"/>
            <w:shd w:val="clear" w:color="auto" w:fill="auto"/>
            <w:tcMar>
              <w:top w:w="29" w:type="dxa"/>
              <w:left w:w="115" w:type="dxa"/>
              <w:bottom w:w="29" w:type="dxa"/>
              <w:right w:w="115" w:type="dxa"/>
            </w:tcMar>
            <w:vAlign w:val="center"/>
          </w:tcPr>
          <w:p w14:paraId="1DB8345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46 (44%)</w:t>
            </w:r>
          </w:p>
        </w:tc>
        <w:tc>
          <w:tcPr>
            <w:tcW w:w="1614" w:type="dxa"/>
            <w:shd w:val="clear" w:color="auto" w:fill="auto"/>
            <w:tcMar>
              <w:top w:w="29" w:type="dxa"/>
              <w:left w:w="115" w:type="dxa"/>
              <w:bottom w:w="29" w:type="dxa"/>
              <w:right w:w="115" w:type="dxa"/>
            </w:tcMar>
            <w:vAlign w:val="center"/>
          </w:tcPr>
          <w:p w14:paraId="3EBD325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Q.20</w:t>
            </w:r>
          </w:p>
        </w:tc>
      </w:tr>
      <w:tr w:rsidR="009F5D7B" w:rsidRPr="00EE0850" w14:paraId="25D5C89D" w14:textId="77777777" w:rsidTr="005111BD">
        <w:trPr>
          <w:cantSplit/>
          <w:jc w:val="center"/>
        </w:trPr>
        <w:tc>
          <w:tcPr>
            <w:tcW w:w="5552" w:type="dxa"/>
            <w:shd w:val="clear" w:color="auto" w:fill="auto"/>
            <w:tcMar>
              <w:top w:w="29" w:type="dxa"/>
              <w:left w:w="115" w:type="dxa"/>
              <w:bottom w:w="29" w:type="dxa"/>
              <w:right w:w="115" w:type="dxa"/>
            </w:tcMar>
          </w:tcPr>
          <w:p w14:paraId="3393CD8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24.</w:t>
            </w:r>
            <w:r w:rsidRPr="00EE0850">
              <w:rPr>
                <w:rFonts w:eastAsia="SimSun"/>
                <w:kern w:val="22"/>
                <w:szCs w:val="22"/>
              </w:rPr>
              <w:tab/>
            </w:r>
            <w:r w:rsidRPr="00EE0850">
              <w:rPr>
                <w:rFonts w:eastAsia="Calibri"/>
                <w:color w:val="000000"/>
                <w:kern w:val="22"/>
                <w:szCs w:val="22"/>
                <w:u w:color="000000"/>
              </w:rPr>
              <w:t xml:space="preserve">Number and percentage </w:t>
            </w:r>
            <w:r w:rsidRPr="00EE0850">
              <w:rPr>
                <w:rFonts w:eastAsia="SimSun"/>
                <w:kern w:val="22"/>
                <w:szCs w:val="22"/>
              </w:rPr>
              <w:t>of Parties with legislative, administrative or policy measures to implement Article 5.2 (genetic resources held by indigenous peoples and local communities)</w:t>
            </w:r>
          </w:p>
        </w:tc>
        <w:tc>
          <w:tcPr>
            <w:tcW w:w="1104" w:type="dxa"/>
            <w:shd w:val="clear" w:color="auto" w:fill="auto"/>
            <w:tcMar>
              <w:top w:w="29" w:type="dxa"/>
              <w:left w:w="115" w:type="dxa"/>
              <w:bottom w:w="29" w:type="dxa"/>
              <w:right w:w="115" w:type="dxa"/>
            </w:tcMar>
            <w:vAlign w:val="center"/>
          </w:tcPr>
          <w:p w14:paraId="4841305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w:t>
            </w:r>
          </w:p>
        </w:tc>
        <w:tc>
          <w:tcPr>
            <w:tcW w:w="1506" w:type="dxa"/>
            <w:shd w:val="clear" w:color="auto" w:fill="auto"/>
            <w:tcMar>
              <w:top w:w="29" w:type="dxa"/>
              <w:left w:w="115" w:type="dxa"/>
              <w:bottom w:w="29" w:type="dxa"/>
              <w:right w:w="115" w:type="dxa"/>
            </w:tcMar>
            <w:vAlign w:val="center"/>
          </w:tcPr>
          <w:p w14:paraId="07E7D06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42 (40%)</w:t>
            </w:r>
          </w:p>
        </w:tc>
        <w:tc>
          <w:tcPr>
            <w:tcW w:w="1614" w:type="dxa"/>
            <w:shd w:val="clear" w:color="auto" w:fill="auto"/>
            <w:tcMar>
              <w:top w:w="29" w:type="dxa"/>
              <w:left w:w="115" w:type="dxa"/>
              <w:bottom w:w="29" w:type="dxa"/>
              <w:right w:w="115" w:type="dxa"/>
            </w:tcMar>
            <w:vAlign w:val="center"/>
          </w:tcPr>
          <w:p w14:paraId="6332904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Q.21</w:t>
            </w:r>
          </w:p>
        </w:tc>
      </w:tr>
      <w:tr w:rsidR="009F5D7B" w:rsidRPr="00EE0850" w14:paraId="5AA6C940"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157DFA3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25.</w:t>
            </w:r>
            <w:r w:rsidRPr="00EE0850">
              <w:rPr>
                <w:rFonts w:eastAsia="SimSun"/>
                <w:kern w:val="22"/>
                <w:szCs w:val="22"/>
              </w:rPr>
              <w:tab/>
            </w:r>
            <w:r w:rsidRPr="00EE0850">
              <w:rPr>
                <w:rFonts w:eastAsia="Calibri"/>
                <w:color w:val="000000"/>
                <w:kern w:val="22"/>
                <w:szCs w:val="22"/>
                <w:u w:color="000000"/>
              </w:rPr>
              <w:t xml:space="preserve">Number and percentage </w:t>
            </w:r>
            <w:r w:rsidRPr="00EE0850">
              <w:rPr>
                <w:rFonts w:eastAsia="SimSun"/>
                <w:kern w:val="22"/>
                <w:szCs w:val="22"/>
              </w:rPr>
              <w:t>of Parties with legislative, administrative or policy measures to implement Article 5.5 (traditional knowledge associated with genetic resources)</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1CF3E46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kern w:val="22"/>
                <w:szCs w:val="22"/>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538DD22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41(39%)</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02C5003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Q.22</w:t>
            </w:r>
          </w:p>
        </w:tc>
      </w:tr>
      <w:tr w:rsidR="009F5D7B" w:rsidRPr="00EE0850" w14:paraId="0CD4DEDA"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4B8372B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jc w:val="left"/>
              <w:rPr>
                <w:rFonts w:eastAsia="SimSun"/>
                <w:b/>
                <w:kern w:val="22"/>
                <w:szCs w:val="22"/>
              </w:rPr>
            </w:pPr>
            <w:r w:rsidRPr="00EE0850">
              <w:rPr>
                <w:rFonts w:eastAsia="SimSun"/>
                <w:b/>
                <w:kern w:val="22"/>
                <w:szCs w:val="22"/>
              </w:rPr>
              <w:t>Legislative, administrative or policy measures on ABS: Compliance with domestic legislation or regulatory requirements on ABS (Article 15 and 16) and monitoring the utilization of genetic resources (Article 17)</w:t>
            </w:r>
          </w:p>
        </w:tc>
      </w:tr>
      <w:tr w:rsidR="009F5D7B" w:rsidRPr="00EE0850" w14:paraId="398BB5D2" w14:textId="77777777" w:rsidTr="005111BD">
        <w:trPr>
          <w:cantSplit/>
          <w:jc w:val="center"/>
        </w:trPr>
        <w:tc>
          <w:tcPr>
            <w:tcW w:w="5552" w:type="dxa"/>
            <w:shd w:val="clear" w:color="auto" w:fill="auto"/>
            <w:tcMar>
              <w:top w:w="29" w:type="dxa"/>
              <w:left w:w="115" w:type="dxa"/>
              <w:bottom w:w="29" w:type="dxa"/>
              <w:right w:w="115" w:type="dxa"/>
            </w:tcMar>
          </w:tcPr>
          <w:p w14:paraId="5D761B2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26.</w:t>
            </w:r>
            <w:r w:rsidRPr="00EE0850">
              <w:rPr>
                <w:kern w:val="22"/>
                <w:szCs w:val="22"/>
              </w:rPr>
              <w:tab/>
              <w:t>Number and percentage of Parties that have taken appropriate, effective and proportionate legislative, administrative or policy measures to implement Article 15.1 (genetic resources)</w:t>
            </w:r>
          </w:p>
        </w:tc>
        <w:tc>
          <w:tcPr>
            <w:tcW w:w="1104" w:type="dxa"/>
            <w:shd w:val="clear" w:color="auto" w:fill="auto"/>
            <w:tcMar>
              <w:top w:w="29" w:type="dxa"/>
              <w:left w:w="115" w:type="dxa"/>
              <w:bottom w:w="29" w:type="dxa"/>
              <w:right w:w="115" w:type="dxa"/>
            </w:tcMar>
            <w:vAlign w:val="center"/>
          </w:tcPr>
          <w:p w14:paraId="16FC655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6BC94B1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36 (34%)</w:t>
            </w:r>
          </w:p>
        </w:tc>
        <w:tc>
          <w:tcPr>
            <w:tcW w:w="1614" w:type="dxa"/>
            <w:shd w:val="clear" w:color="auto" w:fill="auto"/>
            <w:tcMar>
              <w:top w:w="29" w:type="dxa"/>
              <w:left w:w="115" w:type="dxa"/>
              <w:bottom w:w="29" w:type="dxa"/>
              <w:right w:w="115" w:type="dxa"/>
            </w:tcMar>
            <w:vAlign w:val="center"/>
          </w:tcPr>
          <w:p w14:paraId="2453AFC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Q.24</w:t>
            </w:r>
          </w:p>
        </w:tc>
      </w:tr>
      <w:tr w:rsidR="009F5D7B" w:rsidRPr="00EE0850" w14:paraId="697C5B48" w14:textId="77777777" w:rsidTr="005111BD">
        <w:trPr>
          <w:cantSplit/>
          <w:jc w:val="center"/>
        </w:trPr>
        <w:tc>
          <w:tcPr>
            <w:tcW w:w="5552" w:type="dxa"/>
            <w:shd w:val="clear" w:color="auto" w:fill="auto"/>
            <w:tcMar>
              <w:top w:w="29" w:type="dxa"/>
              <w:left w:w="115" w:type="dxa"/>
              <w:bottom w:w="29" w:type="dxa"/>
              <w:right w:w="115" w:type="dxa"/>
            </w:tcMar>
          </w:tcPr>
          <w:p w14:paraId="3FCB002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27.</w:t>
            </w:r>
            <w:r w:rsidRPr="00EE0850">
              <w:rPr>
                <w:kern w:val="22"/>
                <w:szCs w:val="22"/>
              </w:rPr>
              <w:tab/>
              <w:t>Number and percentage of Parties that have taken appropriate, effective and proportionate legislative, administrative or policy measures to implement Article 16.1 (traditional knowledge associated with genetic resources)</w:t>
            </w:r>
          </w:p>
        </w:tc>
        <w:tc>
          <w:tcPr>
            <w:tcW w:w="1104" w:type="dxa"/>
            <w:shd w:val="clear" w:color="auto" w:fill="auto"/>
            <w:tcMar>
              <w:top w:w="29" w:type="dxa"/>
              <w:left w:w="115" w:type="dxa"/>
              <w:bottom w:w="29" w:type="dxa"/>
              <w:right w:w="115" w:type="dxa"/>
            </w:tcMar>
            <w:vAlign w:val="center"/>
          </w:tcPr>
          <w:p w14:paraId="69D26B6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(e)</w:t>
            </w:r>
          </w:p>
        </w:tc>
        <w:tc>
          <w:tcPr>
            <w:tcW w:w="1506" w:type="dxa"/>
            <w:shd w:val="clear" w:color="auto" w:fill="auto"/>
            <w:tcMar>
              <w:top w:w="29" w:type="dxa"/>
              <w:left w:w="115" w:type="dxa"/>
              <w:bottom w:w="29" w:type="dxa"/>
              <w:right w:w="115" w:type="dxa"/>
            </w:tcMar>
            <w:vAlign w:val="center"/>
          </w:tcPr>
          <w:p w14:paraId="486E487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33 (31%)</w:t>
            </w:r>
          </w:p>
        </w:tc>
        <w:tc>
          <w:tcPr>
            <w:tcW w:w="1614" w:type="dxa"/>
            <w:shd w:val="clear" w:color="auto" w:fill="auto"/>
            <w:tcMar>
              <w:top w:w="29" w:type="dxa"/>
              <w:left w:w="115" w:type="dxa"/>
              <w:bottom w:w="29" w:type="dxa"/>
              <w:right w:w="115" w:type="dxa"/>
            </w:tcMar>
            <w:vAlign w:val="center"/>
          </w:tcPr>
          <w:p w14:paraId="49DE1FF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Q.25</w:t>
            </w:r>
          </w:p>
        </w:tc>
      </w:tr>
      <w:tr w:rsidR="009F5D7B" w:rsidRPr="00EE0850" w14:paraId="7B970F74" w14:textId="77777777" w:rsidTr="005111BD">
        <w:trPr>
          <w:cantSplit/>
          <w:jc w:val="center"/>
        </w:trPr>
        <w:tc>
          <w:tcPr>
            <w:tcW w:w="5552" w:type="dxa"/>
            <w:shd w:val="clear" w:color="auto" w:fill="auto"/>
            <w:tcMar>
              <w:top w:w="29" w:type="dxa"/>
              <w:left w:w="115" w:type="dxa"/>
              <w:bottom w:w="29" w:type="dxa"/>
              <w:right w:w="115" w:type="dxa"/>
            </w:tcMar>
          </w:tcPr>
          <w:p w14:paraId="62C6C73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28.</w:t>
            </w:r>
            <w:r w:rsidRPr="00EE0850">
              <w:rPr>
                <w:kern w:val="22"/>
                <w:szCs w:val="22"/>
              </w:rPr>
              <w:tab/>
              <w:t>Number and percentage of Parties that require users of genetic resources to provide the information identified in Article 17.1 (a)(</w:t>
            </w:r>
            <w:proofErr w:type="spellStart"/>
            <w:r w:rsidRPr="00EE0850">
              <w:rPr>
                <w:kern w:val="22"/>
                <w:szCs w:val="22"/>
              </w:rPr>
              <w:t>i</w:t>
            </w:r>
            <w:proofErr w:type="spellEnd"/>
            <w:r w:rsidRPr="00EE0850">
              <w:rPr>
                <w:kern w:val="22"/>
                <w:szCs w:val="22"/>
              </w:rPr>
              <w:t>), as appropriate, at a designated checkpoint</w:t>
            </w:r>
          </w:p>
        </w:tc>
        <w:tc>
          <w:tcPr>
            <w:tcW w:w="1104" w:type="dxa"/>
            <w:shd w:val="clear" w:color="auto" w:fill="auto"/>
            <w:tcMar>
              <w:top w:w="29" w:type="dxa"/>
              <w:left w:w="115" w:type="dxa"/>
              <w:bottom w:w="29" w:type="dxa"/>
              <w:right w:w="115" w:type="dxa"/>
            </w:tcMar>
            <w:vAlign w:val="center"/>
          </w:tcPr>
          <w:p w14:paraId="7ED5CF6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(a)</w:t>
            </w:r>
          </w:p>
        </w:tc>
        <w:tc>
          <w:tcPr>
            <w:tcW w:w="1506" w:type="dxa"/>
            <w:shd w:val="clear" w:color="auto" w:fill="auto"/>
            <w:tcMar>
              <w:top w:w="29" w:type="dxa"/>
              <w:left w:w="115" w:type="dxa"/>
              <w:bottom w:w="29" w:type="dxa"/>
              <w:right w:w="115" w:type="dxa"/>
            </w:tcMar>
            <w:vAlign w:val="center"/>
          </w:tcPr>
          <w:p w14:paraId="6B82089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41 (39%)</w:t>
            </w:r>
          </w:p>
        </w:tc>
        <w:tc>
          <w:tcPr>
            <w:tcW w:w="1614" w:type="dxa"/>
            <w:shd w:val="clear" w:color="auto" w:fill="auto"/>
            <w:tcMar>
              <w:top w:w="29" w:type="dxa"/>
              <w:left w:w="115" w:type="dxa"/>
              <w:bottom w:w="29" w:type="dxa"/>
              <w:right w:w="115" w:type="dxa"/>
            </w:tcMar>
            <w:vAlign w:val="center"/>
          </w:tcPr>
          <w:p w14:paraId="768F896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Q.26</w:t>
            </w:r>
          </w:p>
        </w:tc>
      </w:tr>
      <w:tr w:rsidR="009F5D7B" w:rsidRPr="00EE0850" w14:paraId="28206013" w14:textId="77777777" w:rsidTr="005111BD">
        <w:trPr>
          <w:cantSplit/>
          <w:jc w:val="center"/>
        </w:trPr>
        <w:tc>
          <w:tcPr>
            <w:tcW w:w="5552" w:type="dxa"/>
            <w:shd w:val="clear" w:color="auto" w:fill="auto"/>
            <w:tcMar>
              <w:top w:w="29" w:type="dxa"/>
              <w:left w:w="115" w:type="dxa"/>
              <w:bottom w:w="29" w:type="dxa"/>
              <w:right w:w="115" w:type="dxa"/>
            </w:tcMar>
          </w:tcPr>
          <w:p w14:paraId="6D38C9A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29.</w:t>
            </w:r>
            <w:r w:rsidRPr="00EE0850">
              <w:rPr>
                <w:kern w:val="22"/>
                <w:szCs w:val="22"/>
              </w:rPr>
              <w:tab/>
              <w:t>Number and percentage of Parties that provide the information collected or received at a designated checkpoint to relevant national authorities, to the Party providing prior informed consent and to the ABS Clearing-House</w:t>
            </w:r>
          </w:p>
        </w:tc>
        <w:tc>
          <w:tcPr>
            <w:tcW w:w="1104" w:type="dxa"/>
            <w:shd w:val="clear" w:color="auto" w:fill="auto"/>
            <w:tcMar>
              <w:top w:w="29" w:type="dxa"/>
              <w:left w:w="115" w:type="dxa"/>
              <w:bottom w:w="29" w:type="dxa"/>
              <w:right w:w="115" w:type="dxa"/>
            </w:tcMar>
            <w:vAlign w:val="center"/>
          </w:tcPr>
          <w:p w14:paraId="369CF6E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(a)</w:t>
            </w:r>
          </w:p>
        </w:tc>
        <w:tc>
          <w:tcPr>
            <w:tcW w:w="1506" w:type="dxa"/>
            <w:shd w:val="clear" w:color="auto" w:fill="auto"/>
            <w:tcMar>
              <w:top w:w="29" w:type="dxa"/>
              <w:left w:w="115" w:type="dxa"/>
              <w:bottom w:w="29" w:type="dxa"/>
              <w:right w:w="115" w:type="dxa"/>
            </w:tcMar>
            <w:vAlign w:val="center"/>
          </w:tcPr>
          <w:p w14:paraId="3EB85FF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9 (9%)</w:t>
            </w:r>
          </w:p>
        </w:tc>
        <w:tc>
          <w:tcPr>
            <w:tcW w:w="1614" w:type="dxa"/>
            <w:shd w:val="clear" w:color="auto" w:fill="auto"/>
            <w:tcMar>
              <w:top w:w="29" w:type="dxa"/>
              <w:left w:w="115" w:type="dxa"/>
              <w:bottom w:w="29" w:type="dxa"/>
              <w:right w:w="115" w:type="dxa"/>
            </w:tcMar>
            <w:vAlign w:val="center"/>
          </w:tcPr>
          <w:p w14:paraId="4246907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Q.27</w:t>
            </w:r>
          </w:p>
        </w:tc>
      </w:tr>
      <w:tr w:rsidR="009F5D7B" w:rsidRPr="00EE0850" w14:paraId="7E152317"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7D1279A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30.</w:t>
            </w:r>
            <w:r w:rsidRPr="00EE0850">
              <w:rPr>
                <w:kern w:val="22"/>
                <w:szCs w:val="22"/>
              </w:rPr>
              <w:tab/>
              <w:t>Number of checkpoint communiques published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48D1600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235D78C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0</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53EE754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kern w:val="22"/>
                <w:szCs w:val="22"/>
              </w:rPr>
              <w:t>ABS-CH</w:t>
            </w:r>
          </w:p>
        </w:tc>
      </w:tr>
      <w:tr w:rsidR="009F5D7B" w:rsidRPr="00EE0850" w14:paraId="150D206E"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0BF01974"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b/>
                <w:kern w:val="22"/>
                <w:szCs w:val="22"/>
              </w:rPr>
            </w:pPr>
            <w:r w:rsidRPr="00EE0850">
              <w:rPr>
                <w:b/>
                <w:kern w:val="22"/>
                <w:szCs w:val="22"/>
              </w:rPr>
              <w:t>Legislative, administrative or policy measures on ABS: compliance with mutually agreed terms (Article 18)</w:t>
            </w:r>
          </w:p>
        </w:tc>
      </w:tr>
      <w:tr w:rsidR="009F5D7B" w:rsidRPr="00EE0850" w14:paraId="24E8E601" w14:textId="77777777" w:rsidTr="005111BD">
        <w:trPr>
          <w:cantSplit/>
          <w:jc w:val="center"/>
        </w:trPr>
        <w:tc>
          <w:tcPr>
            <w:tcW w:w="5552" w:type="dxa"/>
            <w:shd w:val="clear" w:color="auto" w:fill="auto"/>
            <w:tcMar>
              <w:top w:w="29" w:type="dxa"/>
              <w:left w:w="115" w:type="dxa"/>
              <w:bottom w:w="29" w:type="dxa"/>
              <w:right w:w="115" w:type="dxa"/>
            </w:tcMar>
          </w:tcPr>
          <w:p w14:paraId="33A1D2A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31.</w:t>
            </w:r>
            <w:r w:rsidRPr="00EE0850">
              <w:rPr>
                <w:rFonts w:eastAsia="SimSun"/>
                <w:kern w:val="22"/>
                <w:szCs w:val="22"/>
              </w:rPr>
              <w:tab/>
            </w:r>
            <w:r w:rsidRPr="00EE0850">
              <w:rPr>
                <w:kern w:val="22"/>
                <w:szCs w:val="22"/>
              </w:rPr>
              <w:t xml:space="preserve">Number and percentage </w:t>
            </w:r>
            <w:r w:rsidRPr="00EE0850">
              <w:rPr>
                <w:rFonts w:eastAsia="SimSun"/>
                <w:kern w:val="22"/>
                <w:szCs w:val="22"/>
              </w:rPr>
              <w:t>of Parties that encourage the inclusion of dispute resolution provisions in mutually agreed terms as provided in Article 18.1</w:t>
            </w:r>
          </w:p>
        </w:tc>
        <w:tc>
          <w:tcPr>
            <w:tcW w:w="1104" w:type="dxa"/>
            <w:shd w:val="clear" w:color="auto" w:fill="auto"/>
            <w:tcMar>
              <w:top w:w="29" w:type="dxa"/>
              <w:left w:w="115" w:type="dxa"/>
              <w:bottom w:w="29" w:type="dxa"/>
              <w:right w:w="115" w:type="dxa"/>
            </w:tcMar>
            <w:vAlign w:val="center"/>
          </w:tcPr>
          <w:p w14:paraId="621B67C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(d)</w:t>
            </w:r>
          </w:p>
        </w:tc>
        <w:tc>
          <w:tcPr>
            <w:tcW w:w="1506" w:type="dxa"/>
            <w:shd w:val="clear" w:color="auto" w:fill="auto"/>
            <w:tcMar>
              <w:top w:w="29" w:type="dxa"/>
              <w:left w:w="115" w:type="dxa"/>
              <w:bottom w:w="29" w:type="dxa"/>
              <w:right w:w="115" w:type="dxa"/>
            </w:tcMar>
            <w:vAlign w:val="center"/>
          </w:tcPr>
          <w:p w14:paraId="5069E51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36 (34%)</w:t>
            </w:r>
          </w:p>
        </w:tc>
        <w:tc>
          <w:tcPr>
            <w:tcW w:w="1614" w:type="dxa"/>
            <w:shd w:val="clear" w:color="auto" w:fill="auto"/>
            <w:tcMar>
              <w:top w:w="29" w:type="dxa"/>
              <w:left w:w="115" w:type="dxa"/>
              <w:bottom w:w="29" w:type="dxa"/>
              <w:right w:w="115" w:type="dxa"/>
            </w:tcMar>
            <w:vAlign w:val="center"/>
          </w:tcPr>
          <w:p w14:paraId="0987418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Q.31</w:t>
            </w:r>
          </w:p>
        </w:tc>
      </w:tr>
      <w:tr w:rsidR="009F5D7B" w:rsidRPr="00EE0850" w14:paraId="6B0676CE" w14:textId="77777777" w:rsidTr="005111BD">
        <w:trPr>
          <w:cantSplit/>
          <w:jc w:val="center"/>
        </w:trPr>
        <w:tc>
          <w:tcPr>
            <w:tcW w:w="5552" w:type="dxa"/>
            <w:shd w:val="clear" w:color="auto" w:fill="auto"/>
            <w:tcMar>
              <w:top w:w="29" w:type="dxa"/>
              <w:left w:w="115" w:type="dxa"/>
              <w:bottom w:w="29" w:type="dxa"/>
              <w:right w:w="115" w:type="dxa"/>
            </w:tcMar>
          </w:tcPr>
          <w:p w14:paraId="15CC7CA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32.</w:t>
            </w:r>
            <w:r w:rsidRPr="00EE0850">
              <w:rPr>
                <w:rFonts w:eastAsia="SimSun"/>
                <w:kern w:val="22"/>
                <w:szCs w:val="22"/>
              </w:rPr>
              <w:tab/>
            </w:r>
            <w:r w:rsidRPr="00EE0850">
              <w:rPr>
                <w:kern w:val="22"/>
                <w:szCs w:val="22"/>
              </w:rPr>
              <w:t xml:space="preserve">Number and percentage </w:t>
            </w:r>
            <w:r w:rsidRPr="00EE0850">
              <w:rPr>
                <w:rFonts w:eastAsia="SimSun"/>
                <w:kern w:val="22"/>
                <w:szCs w:val="22"/>
              </w:rPr>
              <w:t>of Parties with opportunity to seek recourse available under their legal systems in cases of disputes arising from mutually agreed terms as provided in Article 18.2</w:t>
            </w:r>
          </w:p>
        </w:tc>
        <w:tc>
          <w:tcPr>
            <w:tcW w:w="1104" w:type="dxa"/>
            <w:shd w:val="clear" w:color="auto" w:fill="auto"/>
            <w:tcMar>
              <w:top w:w="29" w:type="dxa"/>
              <w:left w:w="115" w:type="dxa"/>
              <w:bottom w:w="29" w:type="dxa"/>
              <w:right w:w="115" w:type="dxa"/>
            </w:tcMar>
            <w:vAlign w:val="center"/>
          </w:tcPr>
          <w:p w14:paraId="60D790D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(d)</w:t>
            </w:r>
          </w:p>
        </w:tc>
        <w:tc>
          <w:tcPr>
            <w:tcW w:w="1506" w:type="dxa"/>
            <w:shd w:val="clear" w:color="auto" w:fill="auto"/>
            <w:tcMar>
              <w:top w:w="29" w:type="dxa"/>
              <w:left w:w="115" w:type="dxa"/>
              <w:bottom w:w="29" w:type="dxa"/>
              <w:right w:w="115" w:type="dxa"/>
            </w:tcMar>
            <w:vAlign w:val="center"/>
          </w:tcPr>
          <w:p w14:paraId="48DBCD4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51 (49%)</w:t>
            </w:r>
          </w:p>
        </w:tc>
        <w:tc>
          <w:tcPr>
            <w:tcW w:w="1614" w:type="dxa"/>
            <w:shd w:val="clear" w:color="auto" w:fill="auto"/>
            <w:tcMar>
              <w:top w:w="29" w:type="dxa"/>
              <w:left w:w="115" w:type="dxa"/>
              <w:bottom w:w="29" w:type="dxa"/>
              <w:right w:w="115" w:type="dxa"/>
            </w:tcMar>
            <w:vAlign w:val="center"/>
          </w:tcPr>
          <w:p w14:paraId="335F532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Q.32</w:t>
            </w:r>
          </w:p>
        </w:tc>
      </w:tr>
      <w:tr w:rsidR="009F5D7B" w:rsidRPr="00EE0850" w14:paraId="460826B6" w14:textId="77777777" w:rsidTr="005111BD">
        <w:trPr>
          <w:cantSplit/>
          <w:jc w:val="center"/>
        </w:trPr>
        <w:tc>
          <w:tcPr>
            <w:tcW w:w="5552" w:type="dxa"/>
            <w:shd w:val="clear" w:color="auto" w:fill="auto"/>
            <w:tcMar>
              <w:top w:w="29" w:type="dxa"/>
              <w:left w:w="115" w:type="dxa"/>
              <w:bottom w:w="29" w:type="dxa"/>
              <w:right w:w="115" w:type="dxa"/>
            </w:tcMar>
          </w:tcPr>
          <w:p w14:paraId="7208A30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33.</w:t>
            </w:r>
            <w:r w:rsidRPr="00EE0850">
              <w:rPr>
                <w:rFonts w:eastAsia="SimSun"/>
                <w:kern w:val="22"/>
                <w:szCs w:val="22"/>
              </w:rPr>
              <w:tab/>
            </w:r>
            <w:r w:rsidRPr="00EE0850">
              <w:rPr>
                <w:kern w:val="22"/>
                <w:szCs w:val="22"/>
              </w:rPr>
              <w:t xml:space="preserve">Number and percentage </w:t>
            </w:r>
            <w:r w:rsidRPr="00EE0850">
              <w:rPr>
                <w:rFonts w:eastAsia="SimSun"/>
                <w:kern w:val="22"/>
                <w:szCs w:val="22"/>
              </w:rPr>
              <w:t>of Parties with measures regarding access to justice</w:t>
            </w:r>
          </w:p>
        </w:tc>
        <w:tc>
          <w:tcPr>
            <w:tcW w:w="1104" w:type="dxa"/>
            <w:shd w:val="clear" w:color="auto" w:fill="auto"/>
            <w:tcMar>
              <w:top w:w="29" w:type="dxa"/>
              <w:left w:w="115" w:type="dxa"/>
              <w:bottom w:w="29" w:type="dxa"/>
              <w:right w:w="115" w:type="dxa"/>
            </w:tcMar>
            <w:vAlign w:val="center"/>
          </w:tcPr>
          <w:p w14:paraId="5063872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(d)</w:t>
            </w:r>
          </w:p>
        </w:tc>
        <w:tc>
          <w:tcPr>
            <w:tcW w:w="1506" w:type="dxa"/>
            <w:shd w:val="clear" w:color="auto" w:fill="auto"/>
            <w:tcMar>
              <w:top w:w="29" w:type="dxa"/>
              <w:left w:w="115" w:type="dxa"/>
              <w:bottom w:w="29" w:type="dxa"/>
              <w:right w:w="115" w:type="dxa"/>
            </w:tcMar>
            <w:vAlign w:val="center"/>
          </w:tcPr>
          <w:p w14:paraId="1545D3B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47 (45%)</w:t>
            </w:r>
          </w:p>
        </w:tc>
        <w:tc>
          <w:tcPr>
            <w:tcW w:w="1614" w:type="dxa"/>
            <w:shd w:val="clear" w:color="auto" w:fill="auto"/>
            <w:tcMar>
              <w:top w:w="29" w:type="dxa"/>
              <w:left w:w="115" w:type="dxa"/>
              <w:bottom w:w="29" w:type="dxa"/>
              <w:right w:w="115" w:type="dxa"/>
            </w:tcMar>
            <w:vAlign w:val="center"/>
          </w:tcPr>
          <w:p w14:paraId="32D8E64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Q.33</w:t>
            </w:r>
          </w:p>
        </w:tc>
      </w:tr>
      <w:tr w:rsidR="009F5D7B" w:rsidRPr="00EE0850" w14:paraId="5DB01683"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41C1EEE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34.</w:t>
            </w:r>
            <w:r w:rsidRPr="00EE0850">
              <w:rPr>
                <w:rFonts w:eastAsia="SimSun"/>
                <w:kern w:val="22"/>
                <w:szCs w:val="22"/>
              </w:rPr>
              <w:tab/>
            </w:r>
            <w:r w:rsidRPr="00EE0850">
              <w:rPr>
                <w:kern w:val="22"/>
                <w:szCs w:val="22"/>
              </w:rPr>
              <w:t xml:space="preserve">Number and percentage </w:t>
            </w:r>
            <w:r w:rsidRPr="00EE0850">
              <w:rPr>
                <w:rFonts w:eastAsia="SimSun"/>
                <w:kern w:val="22"/>
                <w:szCs w:val="22"/>
              </w:rPr>
              <w:t>of Parties with measures regarding utilization of mechanisms regarding mutual recognition and enforcement of foreign judgements and arbitral awards</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47F7FFF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(d)</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1024A3D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38 (36%)</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68AD5C0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Q.33</w:t>
            </w:r>
          </w:p>
        </w:tc>
      </w:tr>
      <w:tr w:rsidR="009F5D7B" w:rsidRPr="00EE0850" w14:paraId="4571172E"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475C929B"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rFonts w:eastAsia="SimSun"/>
                <w:b/>
                <w:kern w:val="22"/>
                <w:szCs w:val="22"/>
              </w:rPr>
            </w:pPr>
            <w:r w:rsidRPr="00EE0850">
              <w:rPr>
                <w:rFonts w:eastAsia="SimSun"/>
                <w:b/>
                <w:kern w:val="22"/>
                <w:szCs w:val="22"/>
              </w:rPr>
              <w:t>Special considerations (Article 8)</w:t>
            </w:r>
          </w:p>
        </w:tc>
      </w:tr>
      <w:tr w:rsidR="009F5D7B" w:rsidRPr="00EE0850" w14:paraId="0FE6780A" w14:textId="77777777" w:rsidTr="005111BD">
        <w:trPr>
          <w:cantSplit/>
          <w:jc w:val="center"/>
        </w:trPr>
        <w:tc>
          <w:tcPr>
            <w:tcW w:w="5552" w:type="dxa"/>
            <w:shd w:val="clear" w:color="auto" w:fill="auto"/>
            <w:tcMar>
              <w:top w:w="29" w:type="dxa"/>
              <w:left w:w="115" w:type="dxa"/>
              <w:bottom w:w="29" w:type="dxa"/>
              <w:right w:w="115" w:type="dxa"/>
            </w:tcMar>
          </w:tcPr>
          <w:p w14:paraId="1E93158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35.</w:t>
            </w:r>
            <w:r w:rsidRPr="00EE0850">
              <w:rPr>
                <w:rFonts w:eastAsia="SimSun"/>
                <w:kern w:val="22"/>
                <w:szCs w:val="22"/>
              </w:rPr>
              <w:tab/>
            </w:r>
            <w:r w:rsidRPr="00EE0850">
              <w:rPr>
                <w:kern w:val="22"/>
                <w:szCs w:val="22"/>
              </w:rPr>
              <w:t xml:space="preserve">Number and percentage </w:t>
            </w:r>
            <w:r w:rsidRPr="00EE0850">
              <w:rPr>
                <w:rFonts w:eastAsia="SimSun"/>
                <w:kern w:val="22"/>
                <w:szCs w:val="22"/>
              </w:rPr>
              <w:t>of Parties that created conditions to promote and encourage research which contributes to the conservation and sustainable use of biodiversity as provided in Article 8(a)</w:t>
            </w:r>
          </w:p>
        </w:tc>
        <w:tc>
          <w:tcPr>
            <w:tcW w:w="1104" w:type="dxa"/>
            <w:shd w:val="clear" w:color="auto" w:fill="auto"/>
            <w:tcMar>
              <w:top w:w="29" w:type="dxa"/>
              <w:left w:w="115" w:type="dxa"/>
              <w:bottom w:w="29" w:type="dxa"/>
              <w:right w:w="115" w:type="dxa"/>
            </w:tcMar>
            <w:vAlign w:val="center"/>
          </w:tcPr>
          <w:p w14:paraId="0BACCEE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7F895F7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48 (46%)</w:t>
            </w:r>
          </w:p>
        </w:tc>
        <w:tc>
          <w:tcPr>
            <w:tcW w:w="1614" w:type="dxa"/>
            <w:shd w:val="clear" w:color="auto" w:fill="auto"/>
            <w:tcMar>
              <w:top w:w="29" w:type="dxa"/>
              <w:left w:w="115" w:type="dxa"/>
              <w:bottom w:w="29" w:type="dxa"/>
              <w:right w:w="115" w:type="dxa"/>
            </w:tcMar>
            <w:vAlign w:val="center"/>
          </w:tcPr>
          <w:p w14:paraId="5420F86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Q.35</w:t>
            </w:r>
          </w:p>
        </w:tc>
      </w:tr>
      <w:tr w:rsidR="009F5D7B" w:rsidRPr="00EE0850" w14:paraId="1B5BEAAB" w14:textId="77777777" w:rsidTr="005111BD">
        <w:trPr>
          <w:cantSplit/>
          <w:jc w:val="center"/>
        </w:trPr>
        <w:tc>
          <w:tcPr>
            <w:tcW w:w="5552" w:type="dxa"/>
            <w:shd w:val="clear" w:color="auto" w:fill="auto"/>
            <w:tcMar>
              <w:top w:w="29" w:type="dxa"/>
              <w:left w:w="115" w:type="dxa"/>
              <w:bottom w:w="29" w:type="dxa"/>
              <w:right w:w="115" w:type="dxa"/>
            </w:tcMar>
          </w:tcPr>
          <w:p w14:paraId="1797CB5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36.</w:t>
            </w:r>
            <w:r w:rsidRPr="00EE0850">
              <w:rPr>
                <w:kern w:val="22"/>
                <w:szCs w:val="22"/>
              </w:rPr>
              <w:tab/>
              <w:t>Number and percentage of Parties that paid due regard to cases of present or imminent emergencies that threaten or damage human, animal or plant health as provided in Article 8(b)</w:t>
            </w:r>
          </w:p>
        </w:tc>
        <w:tc>
          <w:tcPr>
            <w:tcW w:w="1104" w:type="dxa"/>
            <w:shd w:val="clear" w:color="auto" w:fill="auto"/>
            <w:tcMar>
              <w:top w:w="29" w:type="dxa"/>
              <w:left w:w="115" w:type="dxa"/>
              <w:bottom w:w="29" w:type="dxa"/>
              <w:right w:w="115" w:type="dxa"/>
            </w:tcMar>
            <w:vAlign w:val="center"/>
          </w:tcPr>
          <w:p w14:paraId="3560627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4DADEF8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39 (37%)</w:t>
            </w:r>
          </w:p>
        </w:tc>
        <w:tc>
          <w:tcPr>
            <w:tcW w:w="1614" w:type="dxa"/>
            <w:shd w:val="clear" w:color="auto" w:fill="auto"/>
            <w:tcMar>
              <w:top w:w="29" w:type="dxa"/>
              <w:left w:w="115" w:type="dxa"/>
              <w:bottom w:w="29" w:type="dxa"/>
              <w:right w:w="115" w:type="dxa"/>
            </w:tcMar>
            <w:vAlign w:val="center"/>
          </w:tcPr>
          <w:p w14:paraId="24CB03C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rFonts w:eastAsia="SimSun"/>
                <w:kern w:val="22"/>
                <w:szCs w:val="22"/>
              </w:rPr>
              <w:t>Q.35</w:t>
            </w:r>
          </w:p>
        </w:tc>
      </w:tr>
      <w:tr w:rsidR="009F5D7B" w:rsidRPr="00EE0850" w14:paraId="0A9C86C7" w14:textId="77777777" w:rsidTr="005111BD">
        <w:trPr>
          <w:cantSplit/>
          <w:jc w:val="center"/>
        </w:trPr>
        <w:tc>
          <w:tcPr>
            <w:tcW w:w="5552" w:type="dxa"/>
            <w:shd w:val="clear" w:color="auto" w:fill="auto"/>
            <w:tcMar>
              <w:top w:w="29" w:type="dxa"/>
              <w:left w:w="115" w:type="dxa"/>
              <w:bottom w:w="29" w:type="dxa"/>
              <w:right w:w="115" w:type="dxa"/>
            </w:tcMar>
          </w:tcPr>
          <w:p w14:paraId="304656A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rPr>
            </w:pPr>
            <w:r w:rsidRPr="00EE0850">
              <w:rPr>
                <w:kern w:val="22"/>
                <w:szCs w:val="22"/>
              </w:rPr>
              <w:t>37.</w:t>
            </w:r>
            <w:r w:rsidRPr="00EE0850">
              <w:rPr>
                <w:kern w:val="22"/>
                <w:szCs w:val="22"/>
              </w:rPr>
              <w:tab/>
              <w:t>Number and percentage of Parties that have taken into consideration the need for expeditious access to genetic resources and expeditious fair and equitable sharing of benefits arising out of the use of such genetic resources as provided in Article 8(b)</w:t>
            </w:r>
          </w:p>
        </w:tc>
        <w:tc>
          <w:tcPr>
            <w:tcW w:w="1104" w:type="dxa"/>
            <w:shd w:val="clear" w:color="auto" w:fill="auto"/>
            <w:tcMar>
              <w:top w:w="29" w:type="dxa"/>
              <w:left w:w="115" w:type="dxa"/>
              <w:bottom w:w="29" w:type="dxa"/>
              <w:right w:w="115" w:type="dxa"/>
            </w:tcMar>
            <w:vAlign w:val="center"/>
          </w:tcPr>
          <w:p w14:paraId="1576DE7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0C40817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26 (25%)</w:t>
            </w:r>
          </w:p>
        </w:tc>
        <w:tc>
          <w:tcPr>
            <w:tcW w:w="1614" w:type="dxa"/>
            <w:shd w:val="clear" w:color="auto" w:fill="auto"/>
            <w:tcMar>
              <w:top w:w="29" w:type="dxa"/>
              <w:left w:w="115" w:type="dxa"/>
              <w:bottom w:w="29" w:type="dxa"/>
              <w:right w:w="115" w:type="dxa"/>
            </w:tcMar>
            <w:vAlign w:val="center"/>
          </w:tcPr>
          <w:p w14:paraId="21B3D26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kern w:val="22"/>
                <w:szCs w:val="22"/>
              </w:rPr>
            </w:pPr>
            <w:r w:rsidRPr="00EE0850">
              <w:rPr>
                <w:rFonts w:eastAsia="SimSun"/>
                <w:kern w:val="22"/>
                <w:szCs w:val="22"/>
              </w:rPr>
              <w:t>Q.35</w:t>
            </w:r>
          </w:p>
        </w:tc>
      </w:tr>
      <w:tr w:rsidR="009F5D7B" w:rsidRPr="00EE0850" w14:paraId="6AA1271C"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31EB385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38.</w:t>
            </w:r>
            <w:r w:rsidRPr="00EE0850">
              <w:rPr>
                <w:rFonts w:eastAsia="SimSun"/>
                <w:kern w:val="22"/>
                <w:szCs w:val="22"/>
              </w:rPr>
              <w:tab/>
            </w:r>
            <w:r w:rsidRPr="00EE0850">
              <w:rPr>
                <w:kern w:val="22"/>
                <w:szCs w:val="22"/>
              </w:rPr>
              <w:t xml:space="preserve">Number and percentage </w:t>
            </w:r>
            <w:r w:rsidRPr="00EE0850">
              <w:rPr>
                <w:rFonts w:eastAsia="SimSun"/>
                <w:kern w:val="22"/>
                <w:szCs w:val="22"/>
              </w:rPr>
              <w:t>of Parties that have taken into consideration the importance of genetic resources for food and agriculture and their special role for food security as provided in Article 8(c)</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27DD365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6C7ADEE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48 (46%)</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40C542D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Q.35</w:t>
            </w:r>
          </w:p>
        </w:tc>
      </w:tr>
      <w:tr w:rsidR="009F5D7B" w:rsidRPr="00EE0850" w14:paraId="496C59CC"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43665F8C"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rFonts w:eastAsia="SimSun"/>
                <w:b/>
                <w:kern w:val="22"/>
                <w:szCs w:val="22"/>
              </w:rPr>
            </w:pPr>
            <w:r w:rsidRPr="00EE0850">
              <w:rPr>
                <w:rFonts w:eastAsia="SimSun"/>
                <w:b/>
                <w:kern w:val="22"/>
                <w:szCs w:val="22"/>
              </w:rPr>
              <w:t>Provisions related to indigenous peoples and local communities (Article 6,7 and 12)</w:t>
            </w:r>
          </w:p>
        </w:tc>
      </w:tr>
      <w:tr w:rsidR="009F5D7B" w:rsidRPr="00EE0850" w14:paraId="60E9EB2C" w14:textId="77777777" w:rsidTr="005111BD">
        <w:trPr>
          <w:cantSplit/>
          <w:jc w:val="center"/>
        </w:trPr>
        <w:tc>
          <w:tcPr>
            <w:tcW w:w="5552" w:type="dxa"/>
            <w:shd w:val="clear" w:color="auto" w:fill="auto"/>
            <w:tcMar>
              <w:top w:w="29" w:type="dxa"/>
              <w:left w:w="115" w:type="dxa"/>
              <w:bottom w:w="29" w:type="dxa"/>
              <w:right w:w="115" w:type="dxa"/>
            </w:tcMar>
          </w:tcPr>
          <w:p w14:paraId="5CBDBC1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39.</w:t>
            </w:r>
            <w:r w:rsidRPr="00EE0850">
              <w:rPr>
                <w:rFonts w:eastAsia="SimSun"/>
                <w:kern w:val="22"/>
                <w:szCs w:val="22"/>
              </w:rPr>
              <w:tab/>
            </w:r>
            <w:r w:rsidRPr="00EE0850">
              <w:rPr>
                <w:kern w:val="22"/>
                <w:szCs w:val="22"/>
              </w:rPr>
              <w:t xml:space="preserve">Number and percentage </w:t>
            </w:r>
            <w:r w:rsidRPr="00EE0850">
              <w:rPr>
                <w:rFonts w:eastAsia="SimSun"/>
                <w:kern w:val="22"/>
                <w:szCs w:val="22"/>
              </w:rPr>
              <w:t>of Parties where indigenous peoples and local communities have the established rights to grant access to genetic resources with measures in place with the aim of ensuring the prior informed consent or approval and involvement of indigenous peoples and local communities as provided in Article 6.2</w:t>
            </w:r>
          </w:p>
        </w:tc>
        <w:tc>
          <w:tcPr>
            <w:tcW w:w="1104" w:type="dxa"/>
            <w:shd w:val="clear" w:color="auto" w:fill="auto"/>
            <w:tcMar>
              <w:top w:w="29" w:type="dxa"/>
              <w:left w:w="115" w:type="dxa"/>
              <w:bottom w:w="29" w:type="dxa"/>
              <w:right w:w="115" w:type="dxa"/>
            </w:tcMar>
            <w:vAlign w:val="center"/>
          </w:tcPr>
          <w:p w14:paraId="75E5245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(a)</w:t>
            </w:r>
          </w:p>
        </w:tc>
        <w:tc>
          <w:tcPr>
            <w:tcW w:w="1506" w:type="dxa"/>
            <w:shd w:val="clear" w:color="auto" w:fill="auto"/>
            <w:tcMar>
              <w:top w:w="29" w:type="dxa"/>
              <w:left w:w="115" w:type="dxa"/>
              <w:bottom w:w="29" w:type="dxa"/>
              <w:right w:w="115" w:type="dxa"/>
            </w:tcMar>
            <w:vAlign w:val="center"/>
          </w:tcPr>
          <w:p w14:paraId="72B08FC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23 (47%)</w:t>
            </w:r>
          </w:p>
        </w:tc>
        <w:tc>
          <w:tcPr>
            <w:tcW w:w="1614" w:type="dxa"/>
            <w:shd w:val="clear" w:color="auto" w:fill="auto"/>
            <w:tcMar>
              <w:top w:w="29" w:type="dxa"/>
              <w:left w:w="115" w:type="dxa"/>
              <w:bottom w:w="29" w:type="dxa"/>
              <w:right w:w="115" w:type="dxa"/>
            </w:tcMar>
            <w:vAlign w:val="center"/>
          </w:tcPr>
          <w:p w14:paraId="7A887B2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Q.38</w:t>
            </w:r>
          </w:p>
        </w:tc>
      </w:tr>
      <w:tr w:rsidR="009F5D7B" w:rsidRPr="00EE0850" w14:paraId="7141E292"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08EFED0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40.</w:t>
            </w:r>
            <w:r w:rsidRPr="00EE0850">
              <w:rPr>
                <w:rFonts w:eastAsia="SimSun"/>
                <w:kern w:val="22"/>
                <w:szCs w:val="22"/>
              </w:rPr>
              <w:tab/>
            </w:r>
            <w:r w:rsidRPr="00EE0850">
              <w:rPr>
                <w:kern w:val="22"/>
                <w:szCs w:val="22"/>
              </w:rPr>
              <w:t xml:space="preserve">Number and percentage </w:t>
            </w:r>
            <w:r w:rsidRPr="00EE0850">
              <w:rPr>
                <w:rFonts w:eastAsia="SimSun"/>
                <w:kern w:val="22"/>
                <w:szCs w:val="22"/>
              </w:rPr>
              <w:t>of Parties with indigenous peoples and local communities in their country that have taken measures with the aim of ensuring that traditional knowledge associated with genetic resources that is held by indigenous peoples and local communities have been accessed with the prior informed consent or approval and involvement of these indigenous peoples and local communities and that mutually agreed terms have been established as provided in Article 7</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7763CFB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4B23D06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21(43%)</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37FFF40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Q.39</w:t>
            </w:r>
          </w:p>
        </w:tc>
      </w:tr>
      <w:tr w:rsidR="009F5D7B" w:rsidRPr="00EE0850" w14:paraId="619B78FB"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079DEB1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41.</w:t>
            </w:r>
            <w:r w:rsidRPr="00EE0850">
              <w:rPr>
                <w:rFonts w:eastAsia="SimSun"/>
                <w:kern w:val="22"/>
                <w:szCs w:val="22"/>
              </w:rPr>
              <w:tab/>
            </w:r>
            <w:r w:rsidRPr="00EE0850">
              <w:rPr>
                <w:i/>
                <w:kern w:val="22"/>
                <w:szCs w:val="22"/>
              </w:rPr>
              <w:t>New:</w:t>
            </w:r>
            <w:r w:rsidRPr="00EE0850">
              <w:rPr>
                <w:kern w:val="22"/>
                <w:szCs w:val="22"/>
              </w:rPr>
              <w:t xml:space="preserve"> Number </w:t>
            </w:r>
            <w:r w:rsidRPr="00EE0850">
              <w:rPr>
                <w:rFonts w:eastAsia="SimSun"/>
                <w:kern w:val="22"/>
                <w:szCs w:val="22"/>
              </w:rPr>
              <w:t xml:space="preserve">of indigenous peoples and local communities’ community protocols and procedures </w:t>
            </w:r>
            <w:r w:rsidRPr="00EE0850">
              <w:rPr>
                <w:kern w:val="22"/>
                <w:szCs w:val="22"/>
              </w:rPr>
              <w:t>developed</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504F673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11371E0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Not conclusive data</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0A8851E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Q.42 requires revision</w:t>
            </w:r>
          </w:p>
          <w:p w14:paraId="2ABAF6D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Targeted survey</w:t>
            </w:r>
          </w:p>
        </w:tc>
      </w:tr>
      <w:tr w:rsidR="009F5D7B" w:rsidRPr="00EE0850" w14:paraId="0143E46B"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247D12D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42.</w:t>
            </w:r>
            <w:r w:rsidRPr="00EE0850">
              <w:rPr>
                <w:rFonts w:eastAsia="SimSun"/>
                <w:kern w:val="22"/>
                <w:szCs w:val="22"/>
              </w:rPr>
              <w:tab/>
              <w:t>Number of indigenous peoples and local communities’ customary laws, community protocols and procedures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6D48C44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(f)(g)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1B9DDF03"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3</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1281311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ABS-CH</w:t>
            </w:r>
          </w:p>
        </w:tc>
      </w:tr>
      <w:tr w:rsidR="009F5D7B" w:rsidRPr="00EE0850" w14:paraId="737EA7B5"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249E99CA"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rFonts w:eastAsia="SimSun"/>
                <w:b/>
                <w:kern w:val="22"/>
                <w:szCs w:val="22"/>
              </w:rPr>
            </w:pPr>
            <w:r w:rsidRPr="00EE0850">
              <w:rPr>
                <w:rFonts w:eastAsia="SimSun"/>
                <w:b/>
                <w:kern w:val="22"/>
                <w:szCs w:val="22"/>
              </w:rPr>
              <w:t>Contribution to conservation and sustainable use (Article 9)</w:t>
            </w:r>
          </w:p>
        </w:tc>
      </w:tr>
      <w:tr w:rsidR="009F5D7B" w:rsidRPr="00EE0850" w14:paraId="516E9FD8"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5CF4C17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kern w:val="22"/>
                <w:szCs w:val="22"/>
                <w:u w:color="000000"/>
              </w:rPr>
            </w:pPr>
            <w:r w:rsidRPr="00EE0850">
              <w:rPr>
                <w:kern w:val="22"/>
                <w:szCs w:val="22"/>
                <w:u w:color="000000"/>
              </w:rPr>
              <w:t>43.</w:t>
            </w:r>
            <w:r w:rsidRPr="00EE0850">
              <w:rPr>
                <w:kern w:val="22"/>
                <w:szCs w:val="22"/>
                <w:u w:color="000000"/>
              </w:rPr>
              <w:tab/>
            </w:r>
            <w:r w:rsidRPr="00EE0850">
              <w:rPr>
                <w:rFonts w:eastAsia="Calibri"/>
                <w:i/>
                <w:color w:val="000000"/>
                <w:kern w:val="22"/>
                <w:szCs w:val="22"/>
                <w:u w:color="000000"/>
              </w:rPr>
              <w:t>Revised:</w:t>
            </w:r>
            <w:r w:rsidRPr="00EE0850">
              <w:rPr>
                <w:rFonts w:eastAsia="Calibri"/>
                <w:color w:val="000000"/>
                <w:kern w:val="22"/>
                <w:szCs w:val="22"/>
                <w:u w:color="000000"/>
              </w:rPr>
              <w:t xml:space="preserve"> </w:t>
            </w:r>
            <w:r w:rsidRPr="00EE0850">
              <w:rPr>
                <w:rFonts w:eastAsia="SimSun"/>
                <w:kern w:val="22"/>
                <w:szCs w:val="22"/>
              </w:rPr>
              <w:t>Number and percentage of Parties that reported that i</w:t>
            </w:r>
            <w:r w:rsidRPr="00EE0850">
              <w:rPr>
                <w:kern w:val="22"/>
                <w:szCs w:val="22"/>
                <w:u w:color="000000"/>
              </w:rPr>
              <w:t>mplementation of the Nagoya Protocol has contributed to conservation and sustainable use of biodiversity in their country</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34AF4B2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43E2C4E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Not conclusive data</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6DA7979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Q.46 requires revision</w:t>
            </w:r>
          </w:p>
        </w:tc>
      </w:tr>
      <w:tr w:rsidR="009F5D7B" w:rsidRPr="00EE0850" w14:paraId="6CC35AFD"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1BF6F936"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4"/>
              <w:jc w:val="left"/>
              <w:rPr>
                <w:rFonts w:eastAsia="SimSun"/>
                <w:b/>
                <w:kern w:val="22"/>
                <w:szCs w:val="22"/>
              </w:rPr>
            </w:pPr>
            <w:r w:rsidRPr="00EE0850">
              <w:rPr>
                <w:rFonts w:eastAsia="SimSun"/>
                <w:b/>
                <w:kern w:val="22"/>
                <w:szCs w:val="22"/>
              </w:rPr>
              <w:t>Model contractual clauses, codes of conduct, guidelines, best practices and standards (Articles</w:t>
            </w:r>
            <w:r w:rsidRPr="00EE0850">
              <w:rPr>
                <w:rFonts w:eastAsia="SimSun"/>
                <w:kern w:val="22"/>
                <w:szCs w:val="22"/>
              </w:rPr>
              <w:t> </w:t>
            </w:r>
            <w:r w:rsidRPr="00EE0850">
              <w:rPr>
                <w:rFonts w:eastAsia="SimSun"/>
                <w:b/>
                <w:kern w:val="22"/>
                <w:szCs w:val="22"/>
              </w:rPr>
              <w:t>19 and 20)</w:t>
            </w:r>
          </w:p>
        </w:tc>
      </w:tr>
      <w:tr w:rsidR="009F5D7B" w:rsidRPr="00EE0850" w14:paraId="24340ED7" w14:textId="77777777" w:rsidTr="000C6220">
        <w:trPr>
          <w:cantSplit/>
          <w:jc w:val="center"/>
        </w:trPr>
        <w:tc>
          <w:tcPr>
            <w:tcW w:w="5552" w:type="dxa"/>
            <w:tcBorders>
              <w:bottom w:val="single" w:sz="4" w:space="0" w:color="auto"/>
            </w:tcBorders>
            <w:shd w:val="clear" w:color="auto" w:fill="auto"/>
            <w:tcMar>
              <w:top w:w="29" w:type="dxa"/>
              <w:left w:w="115" w:type="dxa"/>
              <w:bottom w:w="29" w:type="dxa"/>
              <w:right w:w="115" w:type="dxa"/>
            </w:tcMar>
            <w:vAlign w:val="center"/>
          </w:tcPr>
          <w:p w14:paraId="1D869BF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44.</w:t>
            </w:r>
            <w:r w:rsidRPr="00EE0850">
              <w:rPr>
                <w:rFonts w:eastAsia="SimSun"/>
                <w:kern w:val="22"/>
                <w:szCs w:val="22"/>
              </w:rPr>
              <w:tab/>
              <w:t>Number of model contractual clauses developed</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501A168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13DF94B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29</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0359B9A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Q.51, targeted survey</w:t>
            </w:r>
          </w:p>
        </w:tc>
      </w:tr>
      <w:tr w:rsidR="009F5D7B" w:rsidRPr="00EE0850" w14:paraId="1630F38E"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7C2A196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45.</w:t>
            </w:r>
            <w:r w:rsidRPr="00EE0850">
              <w:rPr>
                <w:rFonts w:eastAsia="SimSun"/>
                <w:kern w:val="22"/>
                <w:szCs w:val="22"/>
              </w:rPr>
              <w:tab/>
              <w:t>Number of codes of conduct, guidelines, best practices and standards developed</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761D99A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689D551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33</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76D64C1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Q.52, targeted survey</w:t>
            </w:r>
          </w:p>
        </w:tc>
      </w:tr>
      <w:tr w:rsidR="009F5D7B" w:rsidRPr="00EE0850" w14:paraId="1DA3D449"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6EFC5E3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46.</w:t>
            </w:r>
            <w:r w:rsidRPr="00EE0850">
              <w:rPr>
                <w:rFonts w:eastAsia="SimSun"/>
                <w:kern w:val="22"/>
                <w:szCs w:val="22"/>
              </w:rPr>
              <w:tab/>
              <w:t>Number and percentage of model contractual clauses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62B800D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4805C27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17 (59%)</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200291E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ABS-CH</w:t>
            </w:r>
          </w:p>
        </w:tc>
      </w:tr>
      <w:tr w:rsidR="009F5D7B" w:rsidRPr="00EE0850" w14:paraId="5A27C316"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3113C30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47.</w:t>
            </w:r>
            <w:r w:rsidRPr="00EE0850">
              <w:rPr>
                <w:rFonts w:eastAsia="SimSun"/>
                <w:kern w:val="22"/>
                <w:szCs w:val="22"/>
              </w:rPr>
              <w:tab/>
              <w:t>Number and percentage of codes of conduct, guidelines, best practices and standards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5E2E649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34D7099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25 (75%)</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3898D4C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ABS-CH</w:t>
            </w:r>
          </w:p>
        </w:tc>
      </w:tr>
      <w:tr w:rsidR="009F5D7B" w:rsidRPr="00EE0850" w14:paraId="7AFB97E7"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4274194E"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4"/>
              <w:jc w:val="left"/>
              <w:rPr>
                <w:rFonts w:eastAsia="SimSun"/>
                <w:b/>
                <w:kern w:val="22"/>
                <w:szCs w:val="22"/>
              </w:rPr>
            </w:pPr>
            <w:r w:rsidRPr="00EE0850">
              <w:rPr>
                <w:rFonts w:eastAsia="SimSun"/>
                <w:b/>
                <w:kern w:val="22"/>
                <w:szCs w:val="22"/>
              </w:rPr>
              <w:t>Awareness-raising and capacity (Article 21 and 22)</w:t>
            </w:r>
          </w:p>
        </w:tc>
      </w:tr>
      <w:tr w:rsidR="009F5D7B" w:rsidRPr="00EE0850" w14:paraId="335653F2" w14:textId="77777777" w:rsidTr="005111BD">
        <w:trPr>
          <w:cantSplit/>
          <w:jc w:val="center"/>
        </w:trPr>
        <w:tc>
          <w:tcPr>
            <w:tcW w:w="5552" w:type="dxa"/>
            <w:shd w:val="clear" w:color="auto" w:fill="auto"/>
            <w:tcMar>
              <w:top w:w="29" w:type="dxa"/>
              <w:left w:w="115" w:type="dxa"/>
              <w:bottom w:w="29" w:type="dxa"/>
              <w:right w:w="115" w:type="dxa"/>
            </w:tcMar>
          </w:tcPr>
          <w:p w14:paraId="20FF7F9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48.</w:t>
            </w:r>
            <w:r w:rsidRPr="00EE0850">
              <w:rPr>
                <w:rFonts w:eastAsia="SimSun"/>
                <w:kern w:val="22"/>
                <w:szCs w:val="22"/>
              </w:rPr>
              <w:tab/>
              <w:t>Number and percentage of Parties that received external support for building and developing capacity for the implementation of the Nagoya Protocol since entry into force of the Protocol</w:t>
            </w:r>
          </w:p>
        </w:tc>
        <w:tc>
          <w:tcPr>
            <w:tcW w:w="1104" w:type="dxa"/>
            <w:shd w:val="clear" w:color="auto" w:fill="auto"/>
            <w:tcMar>
              <w:top w:w="29" w:type="dxa"/>
              <w:left w:w="115" w:type="dxa"/>
              <w:bottom w:w="29" w:type="dxa"/>
              <w:right w:w="115" w:type="dxa"/>
            </w:tcMar>
            <w:vAlign w:val="center"/>
          </w:tcPr>
          <w:p w14:paraId="04CDA0E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5FA1FBA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45 (43%)</w:t>
            </w:r>
          </w:p>
        </w:tc>
        <w:tc>
          <w:tcPr>
            <w:tcW w:w="1614" w:type="dxa"/>
            <w:shd w:val="clear" w:color="auto" w:fill="auto"/>
            <w:tcMar>
              <w:top w:w="29" w:type="dxa"/>
              <w:left w:w="115" w:type="dxa"/>
              <w:bottom w:w="29" w:type="dxa"/>
              <w:right w:w="115" w:type="dxa"/>
            </w:tcMar>
            <w:vAlign w:val="center"/>
          </w:tcPr>
          <w:p w14:paraId="64412C8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Q.56</w:t>
            </w:r>
          </w:p>
        </w:tc>
      </w:tr>
      <w:tr w:rsidR="009F5D7B" w:rsidRPr="00EE0850" w14:paraId="118F7780" w14:textId="77777777" w:rsidTr="005111BD">
        <w:trPr>
          <w:cantSplit/>
          <w:jc w:val="center"/>
        </w:trPr>
        <w:tc>
          <w:tcPr>
            <w:tcW w:w="5552" w:type="dxa"/>
            <w:shd w:val="clear" w:color="auto" w:fill="auto"/>
            <w:tcMar>
              <w:top w:w="29" w:type="dxa"/>
              <w:left w:w="115" w:type="dxa"/>
              <w:bottom w:w="29" w:type="dxa"/>
              <w:right w:w="115" w:type="dxa"/>
            </w:tcMar>
          </w:tcPr>
          <w:p w14:paraId="11DF2C0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49.</w:t>
            </w:r>
            <w:r w:rsidRPr="00EE0850">
              <w:rPr>
                <w:rFonts w:eastAsia="SimSun"/>
                <w:kern w:val="22"/>
                <w:szCs w:val="22"/>
              </w:rPr>
              <w:tab/>
              <w:t>Number and percentage of Parties that provided external support for building and developing capacity for the implementation of the Nagoya Protocol since entry into force of the Protocol</w:t>
            </w:r>
          </w:p>
        </w:tc>
        <w:tc>
          <w:tcPr>
            <w:tcW w:w="1104" w:type="dxa"/>
            <w:shd w:val="clear" w:color="auto" w:fill="auto"/>
            <w:tcMar>
              <w:top w:w="29" w:type="dxa"/>
              <w:left w:w="115" w:type="dxa"/>
              <w:bottom w:w="29" w:type="dxa"/>
              <w:right w:w="115" w:type="dxa"/>
            </w:tcMar>
            <w:vAlign w:val="center"/>
          </w:tcPr>
          <w:p w14:paraId="39A8DC7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1E1E857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27 (26%)</w:t>
            </w:r>
          </w:p>
        </w:tc>
        <w:tc>
          <w:tcPr>
            <w:tcW w:w="1614" w:type="dxa"/>
            <w:shd w:val="clear" w:color="auto" w:fill="auto"/>
            <w:tcMar>
              <w:top w:w="29" w:type="dxa"/>
              <w:left w:w="115" w:type="dxa"/>
              <w:bottom w:w="29" w:type="dxa"/>
              <w:right w:w="115" w:type="dxa"/>
            </w:tcMar>
            <w:vAlign w:val="center"/>
          </w:tcPr>
          <w:p w14:paraId="13F3F876"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Q.57</w:t>
            </w:r>
          </w:p>
        </w:tc>
      </w:tr>
      <w:tr w:rsidR="009F5D7B" w:rsidRPr="00EE0850" w14:paraId="3DAAEA07" w14:textId="77777777" w:rsidTr="005111BD">
        <w:trPr>
          <w:cantSplit/>
          <w:jc w:val="center"/>
        </w:trPr>
        <w:tc>
          <w:tcPr>
            <w:tcW w:w="5552" w:type="dxa"/>
            <w:shd w:val="clear" w:color="auto" w:fill="auto"/>
            <w:tcMar>
              <w:top w:w="29" w:type="dxa"/>
              <w:left w:w="115" w:type="dxa"/>
              <w:bottom w:w="29" w:type="dxa"/>
              <w:right w:w="115" w:type="dxa"/>
            </w:tcMar>
          </w:tcPr>
          <w:p w14:paraId="47E8188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50.</w:t>
            </w:r>
            <w:r w:rsidRPr="00EE0850">
              <w:rPr>
                <w:rFonts w:eastAsia="SimSun"/>
                <w:kern w:val="22"/>
                <w:szCs w:val="22"/>
              </w:rPr>
              <w:tab/>
              <w:t>Number of capacity-building and development initiatives made available completed or initiated after the adoption of the Nagoya Protocol in 2010 and are providing, or have provided, direct support for country level activities contributing to the ratification and implementation of the Nagoya Protocol</w:t>
            </w:r>
          </w:p>
        </w:tc>
        <w:tc>
          <w:tcPr>
            <w:tcW w:w="1104" w:type="dxa"/>
            <w:shd w:val="clear" w:color="auto" w:fill="auto"/>
            <w:tcMar>
              <w:top w:w="29" w:type="dxa"/>
              <w:left w:w="115" w:type="dxa"/>
              <w:bottom w:w="29" w:type="dxa"/>
              <w:right w:w="115" w:type="dxa"/>
            </w:tcMar>
            <w:vAlign w:val="center"/>
          </w:tcPr>
          <w:p w14:paraId="2E02DC2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3EC3779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90</w:t>
            </w:r>
          </w:p>
        </w:tc>
        <w:tc>
          <w:tcPr>
            <w:tcW w:w="1614" w:type="dxa"/>
            <w:shd w:val="clear" w:color="auto" w:fill="auto"/>
            <w:tcMar>
              <w:top w:w="29" w:type="dxa"/>
              <w:left w:w="115" w:type="dxa"/>
              <w:bottom w:w="29" w:type="dxa"/>
              <w:right w:w="115" w:type="dxa"/>
            </w:tcMar>
            <w:vAlign w:val="center"/>
          </w:tcPr>
          <w:p w14:paraId="6BD0A08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SCBD documents on capacity-building</w:t>
            </w:r>
          </w:p>
        </w:tc>
      </w:tr>
      <w:tr w:rsidR="009F5D7B" w:rsidRPr="00EE0850" w14:paraId="7C3ECAB2" w14:textId="77777777" w:rsidTr="005111BD">
        <w:trPr>
          <w:cantSplit/>
          <w:jc w:val="center"/>
        </w:trPr>
        <w:tc>
          <w:tcPr>
            <w:tcW w:w="5552" w:type="dxa"/>
            <w:shd w:val="clear" w:color="auto" w:fill="auto"/>
            <w:tcMar>
              <w:top w:w="29" w:type="dxa"/>
              <w:left w:w="115" w:type="dxa"/>
              <w:bottom w:w="29" w:type="dxa"/>
              <w:right w:w="115" w:type="dxa"/>
            </w:tcMar>
          </w:tcPr>
          <w:p w14:paraId="60E0F4F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51.</w:t>
            </w:r>
            <w:r w:rsidRPr="00EE0850">
              <w:rPr>
                <w:rFonts w:eastAsia="SimSun"/>
                <w:kern w:val="22"/>
                <w:szCs w:val="22"/>
              </w:rPr>
              <w:tab/>
              <w:t>Number of capacity-building and development initiatives made available to the ABS Clearing-House</w:t>
            </w:r>
          </w:p>
        </w:tc>
        <w:tc>
          <w:tcPr>
            <w:tcW w:w="1104" w:type="dxa"/>
            <w:shd w:val="clear" w:color="auto" w:fill="auto"/>
            <w:tcMar>
              <w:top w:w="29" w:type="dxa"/>
              <w:left w:w="115" w:type="dxa"/>
              <w:bottom w:w="29" w:type="dxa"/>
              <w:right w:w="115" w:type="dxa"/>
            </w:tcMar>
            <w:vAlign w:val="center"/>
          </w:tcPr>
          <w:p w14:paraId="3122B38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(c)(g)</w:t>
            </w:r>
          </w:p>
        </w:tc>
        <w:tc>
          <w:tcPr>
            <w:tcW w:w="1506" w:type="dxa"/>
            <w:shd w:val="clear" w:color="auto" w:fill="auto"/>
            <w:tcMar>
              <w:top w:w="29" w:type="dxa"/>
              <w:left w:w="115" w:type="dxa"/>
              <w:bottom w:w="29" w:type="dxa"/>
              <w:right w:w="115" w:type="dxa"/>
            </w:tcMar>
            <w:vAlign w:val="center"/>
          </w:tcPr>
          <w:p w14:paraId="1B4ED97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57</w:t>
            </w:r>
          </w:p>
        </w:tc>
        <w:tc>
          <w:tcPr>
            <w:tcW w:w="1614" w:type="dxa"/>
            <w:shd w:val="clear" w:color="auto" w:fill="auto"/>
            <w:tcMar>
              <w:top w:w="29" w:type="dxa"/>
              <w:left w:w="115" w:type="dxa"/>
              <w:bottom w:w="29" w:type="dxa"/>
              <w:right w:w="115" w:type="dxa"/>
            </w:tcMar>
            <w:vAlign w:val="center"/>
          </w:tcPr>
          <w:p w14:paraId="3AF8F79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ABS-CH</w:t>
            </w:r>
          </w:p>
        </w:tc>
      </w:tr>
      <w:tr w:rsidR="009F5D7B" w:rsidRPr="00EE0850" w14:paraId="2C7C8C8B" w14:textId="77777777" w:rsidTr="005111BD">
        <w:trPr>
          <w:cantSplit/>
          <w:jc w:val="center"/>
        </w:trPr>
        <w:tc>
          <w:tcPr>
            <w:tcW w:w="5552" w:type="dxa"/>
            <w:shd w:val="clear" w:color="auto" w:fill="auto"/>
            <w:tcMar>
              <w:top w:w="29" w:type="dxa"/>
              <w:left w:w="115" w:type="dxa"/>
              <w:bottom w:w="29" w:type="dxa"/>
              <w:right w:w="115" w:type="dxa"/>
            </w:tcMar>
          </w:tcPr>
          <w:p w14:paraId="0FF2F80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52.</w:t>
            </w:r>
            <w:r w:rsidRPr="00EE0850">
              <w:rPr>
                <w:rFonts w:eastAsia="SimSun"/>
                <w:kern w:val="22"/>
                <w:szCs w:val="22"/>
              </w:rPr>
              <w:tab/>
              <w:t>Number of capacity-building and awareness-raising tools and resources on access and benefit-sharing</w:t>
            </w:r>
          </w:p>
        </w:tc>
        <w:tc>
          <w:tcPr>
            <w:tcW w:w="1104" w:type="dxa"/>
            <w:shd w:val="clear" w:color="auto" w:fill="auto"/>
            <w:tcMar>
              <w:top w:w="29" w:type="dxa"/>
              <w:left w:w="115" w:type="dxa"/>
              <w:bottom w:w="29" w:type="dxa"/>
              <w:right w:w="115" w:type="dxa"/>
            </w:tcMar>
            <w:vAlign w:val="center"/>
          </w:tcPr>
          <w:p w14:paraId="772173E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5968B64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84</w:t>
            </w:r>
          </w:p>
        </w:tc>
        <w:tc>
          <w:tcPr>
            <w:tcW w:w="1614" w:type="dxa"/>
            <w:shd w:val="clear" w:color="auto" w:fill="auto"/>
            <w:tcMar>
              <w:top w:w="29" w:type="dxa"/>
              <w:left w:w="115" w:type="dxa"/>
              <w:bottom w:w="29" w:type="dxa"/>
              <w:right w:w="115" w:type="dxa"/>
            </w:tcMar>
            <w:vAlign w:val="center"/>
          </w:tcPr>
          <w:p w14:paraId="21253C0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SCBD documents on capacity-building</w:t>
            </w:r>
          </w:p>
        </w:tc>
      </w:tr>
      <w:tr w:rsidR="009F5D7B" w:rsidRPr="00EE0850" w14:paraId="6EAF15FA"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41288C9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53.</w:t>
            </w:r>
            <w:r w:rsidRPr="00EE0850">
              <w:rPr>
                <w:rFonts w:eastAsia="SimSun"/>
                <w:kern w:val="22"/>
                <w:szCs w:val="22"/>
              </w:rPr>
              <w:tab/>
              <w:t>Number of capacity-building and awareness-raising tools and resources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4BA6130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3D35111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34</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37DE855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ABS-CH</w:t>
            </w:r>
          </w:p>
        </w:tc>
      </w:tr>
      <w:tr w:rsidR="009F5D7B" w:rsidRPr="00EE0850" w14:paraId="4C4AEF47" w14:textId="77777777" w:rsidTr="005111BD">
        <w:trPr>
          <w:cantSplit/>
          <w:jc w:val="center"/>
        </w:trPr>
        <w:tc>
          <w:tcPr>
            <w:tcW w:w="9776" w:type="dxa"/>
            <w:gridSpan w:val="4"/>
            <w:tcBorders>
              <w:bottom w:val="single" w:sz="4" w:space="0" w:color="auto"/>
            </w:tcBorders>
            <w:shd w:val="pct10" w:color="auto" w:fill="auto"/>
            <w:tcMar>
              <w:top w:w="29" w:type="dxa"/>
              <w:left w:w="115" w:type="dxa"/>
              <w:bottom w:w="29" w:type="dxa"/>
              <w:right w:w="115" w:type="dxa"/>
            </w:tcMar>
            <w:vAlign w:val="center"/>
          </w:tcPr>
          <w:p w14:paraId="4DEB05D1"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rFonts w:eastAsia="SimSun"/>
                <w:b/>
                <w:kern w:val="22"/>
                <w:szCs w:val="22"/>
              </w:rPr>
            </w:pPr>
            <w:r w:rsidRPr="00EE0850">
              <w:rPr>
                <w:rFonts w:eastAsia="SimSun"/>
                <w:b/>
                <w:kern w:val="22"/>
                <w:szCs w:val="22"/>
              </w:rPr>
              <w:t>Technology transfer, collaboration and cooperation</w:t>
            </w:r>
          </w:p>
        </w:tc>
      </w:tr>
      <w:tr w:rsidR="009F5D7B" w:rsidRPr="00EE0850" w14:paraId="28022510"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71CA542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54.</w:t>
            </w:r>
            <w:r w:rsidRPr="00EE0850">
              <w:rPr>
                <w:rFonts w:eastAsia="SimSun"/>
                <w:kern w:val="22"/>
                <w:szCs w:val="22"/>
              </w:rPr>
              <w:tab/>
              <w:t>Number and percentage of Parties that have collaborated and cooperated in technical and scientific research and development programmes as a means to achieve the objective of the Protocol as provided in Article 23</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7A0B427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1D00E70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46 (44%)</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46AAF83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Q.59</w:t>
            </w:r>
          </w:p>
        </w:tc>
      </w:tr>
      <w:tr w:rsidR="009F5D7B" w:rsidRPr="00EE0850" w14:paraId="48FEF6E6"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755495AD"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rFonts w:eastAsia="SimSun"/>
                <w:b/>
                <w:kern w:val="22"/>
                <w:szCs w:val="22"/>
              </w:rPr>
            </w:pPr>
            <w:r w:rsidRPr="00EE0850">
              <w:rPr>
                <w:rFonts w:eastAsia="SimSun"/>
                <w:b/>
                <w:kern w:val="22"/>
                <w:szCs w:val="22"/>
              </w:rPr>
              <w:t>Optional additional information</w:t>
            </w:r>
          </w:p>
        </w:tc>
      </w:tr>
      <w:tr w:rsidR="009F5D7B" w:rsidRPr="00EE0850" w14:paraId="20034379" w14:textId="77777777" w:rsidTr="005111BD">
        <w:trPr>
          <w:cantSplit/>
          <w:jc w:val="center"/>
        </w:trPr>
        <w:tc>
          <w:tcPr>
            <w:tcW w:w="5552" w:type="dxa"/>
            <w:shd w:val="clear" w:color="auto" w:fill="auto"/>
            <w:tcMar>
              <w:top w:w="29" w:type="dxa"/>
              <w:left w:w="115" w:type="dxa"/>
              <w:bottom w:w="29" w:type="dxa"/>
              <w:right w:w="115" w:type="dxa"/>
            </w:tcMar>
          </w:tcPr>
          <w:p w14:paraId="7852A28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55.</w:t>
            </w:r>
            <w:r w:rsidRPr="00EE0850">
              <w:rPr>
                <w:rFonts w:eastAsia="SimSun"/>
                <w:kern w:val="22"/>
                <w:szCs w:val="22"/>
              </w:rPr>
              <w:tab/>
              <w:t>Number and percentage of Parties that established a mechanism for budgetary allocations of funds for the implementation of the Nagoya Protocol</w:t>
            </w:r>
          </w:p>
        </w:tc>
        <w:tc>
          <w:tcPr>
            <w:tcW w:w="1104" w:type="dxa"/>
            <w:shd w:val="clear" w:color="auto" w:fill="auto"/>
            <w:tcMar>
              <w:top w:w="29" w:type="dxa"/>
              <w:left w:w="115" w:type="dxa"/>
              <w:bottom w:w="29" w:type="dxa"/>
              <w:right w:w="115" w:type="dxa"/>
            </w:tcMar>
            <w:vAlign w:val="center"/>
          </w:tcPr>
          <w:p w14:paraId="15311D9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1849AF2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24 (23%)</w:t>
            </w:r>
          </w:p>
        </w:tc>
        <w:tc>
          <w:tcPr>
            <w:tcW w:w="1614" w:type="dxa"/>
            <w:shd w:val="clear" w:color="auto" w:fill="auto"/>
            <w:tcMar>
              <w:top w:w="29" w:type="dxa"/>
              <w:left w:w="115" w:type="dxa"/>
              <w:bottom w:w="29" w:type="dxa"/>
              <w:right w:w="115" w:type="dxa"/>
            </w:tcMar>
            <w:vAlign w:val="center"/>
          </w:tcPr>
          <w:p w14:paraId="5DD06D7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Q.61</w:t>
            </w:r>
          </w:p>
        </w:tc>
      </w:tr>
      <w:tr w:rsidR="009F5D7B" w:rsidRPr="00EE0850" w14:paraId="172AE912" w14:textId="77777777" w:rsidTr="005111BD">
        <w:trPr>
          <w:cantSplit/>
          <w:jc w:val="center"/>
        </w:trPr>
        <w:tc>
          <w:tcPr>
            <w:tcW w:w="5552" w:type="dxa"/>
            <w:shd w:val="clear" w:color="auto" w:fill="auto"/>
            <w:tcMar>
              <w:top w:w="29" w:type="dxa"/>
              <w:left w:w="115" w:type="dxa"/>
              <w:bottom w:w="29" w:type="dxa"/>
              <w:right w:w="115" w:type="dxa"/>
            </w:tcMar>
          </w:tcPr>
          <w:p w14:paraId="38402E0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56.</w:t>
            </w:r>
            <w:r w:rsidRPr="00EE0850">
              <w:rPr>
                <w:rFonts w:eastAsia="SimSun"/>
                <w:kern w:val="22"/>
                <w:szCs w:val="22"/>
              </w:rPr>
              <w:tab/>
              <w:t>Number and percentage of Parties that made financial resources available to other Parties</w:t>
            </w:r>
          </w:p>
        </w:tc>
        <w:tc>
          <w:tcPr>
            <w:tcW w:w="1104" w:type="dxa"/>
            <w:shd w:val="clear" w:color="auto" w:fill="auto"/>
            <w:tcMar>
              <w:top w:w="29" w:type="dxa"/>
              <w:left w:w="115" w:type="dxa"/>
              <w:bottom w:w="29" w:type="dxa"/>
              <w:right w:w="115" w:type="dxa"/>
            </w:tcMar>
            <w:vAlign w:val="center"/>
          </w:tcPr>
          <w:p w14:paraId="1131CD49"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3E9D12BB"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13 (12%)</w:t>
            </w:r>
          </w:p>
        </w:tc>
        <w:tc>
          <w:tcPr>
            <w:tcW w:w="1614" w:type="dxa"/>
            <w:shd w:val="clear" w:color="auto" w:fill="auto"/>
            <w:tcMar>
              <w:top w:w="29" w:type="dxa"/>
              <w:left w:w="115" w:type="dxa"/>
              <w:bottom w:w="29" w:type="dxa"/>
              <w:right w:w="115" w:type="dxa"/>
            </w:tcMar>
            <w:vAlign w:val="center"/>
          </w:tcPr>
          <w:p w14:paraId="2AE4660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Q.62</w:t>
            </w:r>
          </w:p>
        </w:tc>
      </w:tr>
      <w:tr w:rsidR="009F5D7B" w:rsidRPr="00EE0850" w14:paraId="23E594CE" w14:textId="77777777" w:rsidTr="005111BD">
        <w:trPr>
          <w:cantSplit/>
          <w:jc w:val="center"/>
        </w:trPr>
        <w:tc>
          <w:tcPr>
            <w:tcW w:w="5552" w:type="dxa"/>
            <w:shd w:val="clear" w:color="auto" w:fill="auto"/>
            <w:tcMar>
              <w:top w:w="29" w:type="dxa"/>
              <w:left w:w="115" w:type="dxa"/>
              <w:bottom w:w="29" w:type="dxa"/>
              <w:right w:w="115" w:type="dxa"/>
            </w:tcMar>
          </w:tcPr>
          <w:p w14:paraId="643C18CD"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57.</w:t>
            </w:r>
            <w:r w:rsidRPr="00EE0850">
              <w:rPr>
                <w:rFonts w:eastAsia="SimSun"/>
                <w:kern w:val="22"/>
                <w:szCs w:val="22"/>
              </w:rPr>
              <w:tab/>
              <w:t>Number and percentage of Parties that received financial resources from other Parties or financial institutions for the purposes of implementation of the Protocol as provided in Article 25</w:t>
            </w:r>
          </w:p>
        </w:tc>
        <w:tc>
          <w:tcPr>
            <w:tcW w:w="1104" w:type="dxa"/>
            <w:shd w:val="clear" w:color="auto" w:fill="auto"/>
            <w:tcMar>
              <w:top w:w="29" w:type="dxa"/>
              <w:left w:w="115" w:type="dxa"/>
              <w:bottom w:w="29" w:type="dxa"/>
              <w:right w:w="115" w:type="dxa"/>
            </w:tcMar>
            <w:vAlign w:val="center"/>
          </w:tcPr>
          <w:p w14:paraId="7090525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6BB342E5"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SimSun"/>
                <w:kern w:val="22"/>
                <w:szCs w:val="22"/>
              </w:rPr>
            </w:pPr>
            <w:r w:rsidRPr="00EE0850">
              <w:rPr>
                <w:rFonts w:eastAsia="SimSun"/>
                <w:kern w:val="22"/>
                <w:szCs w:val="22"/>
              </w:rPr>
              <w:t>35 (33%)</w:t>
            </w:r>
          </w:p>
        </w:tc>
        <w:tc>
          <w:tcPr>
            <w:tcW w:w="1614" w:type="dxa"/>
            <w:shd w:val="clear" w:color="auto" w:fill="auto"/>
            <w:tcMar>
              <w:top w:w="29" w:type="dxa"/>
              <w:left w:w="115" w:type="dxa"/>
              <w:bottom w:w="29" w:type="dxa"/>
              <w:right w:w="115" w:type="dxa"/>
            </w:tcMar>
            <w:vAlign w:val="center"/>
          </w:tcPr>
          <w:p w14:paraId="571A3810"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Q.62</w:t>
            </w:r>
          </w:p>
        </w:tc>
      </w:tr>
      <w:tr w:rsidR="009F5D7B" w:rsidRPr="00EE0850" w14:paraId="6F9C102A" w14:textId="77777777" w:rsidTr="005111BD">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398A7841"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58.</w:t>
            </w:r>
            <w:r w:rsidRPr="00EE0850">
              <w:rPr>
                <w:rFonts w:eastAsia="SimSun"/>
                <w:kern w:val="22"/>
                <w:szCs w:val="22"/>
              </w:rPr>
              <w:tab/>
              <w:t>Average number of full time staff working to administer functions directly related to the implementation of the Nagoya Protocol in each Party</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10343227"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Calibri"/>
                <w:kern w:val="22"/>
                <w:szCs w:val="22"/>
              </w:rPr>
              <w:t>(c)</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3D74C228"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rFonts w:eastAsia="Calibri"/>
                <w:kern w:val="22"/>
                <w:szCs w:val="22"/>
              </w:rPr>
            </w:pPr>
            <w:r w:rsidRPr="00EE0850">
              <w:rPr>
                <w:rFonts w:eastAsia="SimSun"/>
                <w:kern w:val="22"/>
                <w:szCs w:val="22"/>
              </w:rPr>
              <w:t>Not conclusive data</w:t>
            </w:r>
          </w:p>
        </w:tc>
        <w:tc>
          <w:tcPr>
            <w:tcW w:w="1614" w:type="dxa"/>
            <w:tcBorders>
              <w:bottom w:val="single" w:sz="4" w:space="0" w:color="auto"/>
            </w:tcBorders>
            <w:shd w:val="clear" w:color="auto" w:fill="auto"/>
            <w:tcMar>
              <w:top w:w="29" w:type="dxa"/>
              <w:left w:w="115" w:type="dxa"/>
              <w:bottom w:w="29" w:type="dxa"/>
              <w:right w:w="115" w:type="dxa"/>
            </w:tcMar>
            <w:vAlign w:val="center"/>
          </w:tcPr>
          <w:p w14:paraId="43495704"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Q.63- requires revision</w:t>
            </w:r>
          </w:p>
        </w:tc>
      </w:tr>
      <w:tr w:rsidR="009F5D7B" w:rsidRPr="00EE0850" w14:paraId="13BE7C1B" w14:textId="77777777" w:rsidTr="005111BD">
        <w:trPr>
          <w:cantSplit/>
          <w:jc w:val="center"/>
        </w:trPr>
        <w:tc>
          <w:tcPr>
            <w:tcW w:w="9776" w:type="dxa"/>
            <w:gridSpan w:val="4"/>
            <w:shd w:val="pct5" w:color="auto" w:fill="auto"/>
            <w:tcMar>
              <w:top w:w="29" w:type="dxa"/>
              <w:left w:w="115" w:type="dxa"/>
              <w:bottom w:w="29" w:type="dxa"/>
              <w:right w:w="115" w:type="dxa"/>
            </w:tcMar>
            <w:vAlign w:val="center"/>
          </w:tcPr>
          <w:p w14:paraId="512501AF" w14:textId="77777777" w:rsidR="009F5D7B" w:rsidRPr="00EE0850" w:rsidRDefault="009F5D7B" w:rsidP="000C6220">
            <w:pPr>
              <w:keepNext/>
              <w:suppressLineNumbers/>
              <w:suppressAutoHyphens/>
              <w:kinsoku w:val="0"/>
              <w:overflowPunct w:val="0"/>
              <w:autoSpaceDE w:val="0"/>
              <w:autoSpaceDN w:val="0"/>
              <w:adjustRightInd w:val="0"/>
              <w:snapToGrid w:val="0"/>
              <w:spacing w:after="0" w:line="240" w:lineRule="auto"/>
              <w:ind w:left="317"/>
              <w:jc w:val="left"/>
              <w:rPr>
                <w:rFonts w:eastAsia="SimSun"/>
                <w:b/>
                <w:kern w:val="22"/>
                <w:szCs w:val="22"/>
              </w:rPr>
            </w:pPr>
            <w:r w:rsidRPr="00EE0850">
              <w:rPr>
                <w:rFonts w:eastAsia="SimSun"/>
                <w:b/>
                <w:kern w:val="22"/>
                <w:szCs w:val="22"/>
              </w:rPr>
              <w:t>Implementation and operation of the ABS Clearing-House</w:t>
            </w:r>
          </w:p>
        </w:tc>
      </w:tr>
      <w:tr w:rsidR="009F5D7B" w:rsidRPr="00EE0850" w14:paraId="6F94A48A" w14:textId="77777777" w:rsidTr="005111BD">
        <w:trPr>
          <w:cantSplit/>
          <w:jc w:val="center"/>
        </w:trPr>
        <w:tc>
          <w:tcPr>
            <w:tcW w:w="5552" w:type="dxa"/>
            <w:shd w:val="clear" w:color="auto" w:fill="auto"/>
            <w:tcMar>
              <w:top w:w="29" w:type="dxa"/>
              <w:left w:w="115" w:type="dxa"/>
              <w:bottom w:w="29" w:type="dxa"/>
              <w:right w:w="115" w:type="dxa"/>
            </w:tcMar>
          </w:tcPr>
          <w:p w14:paraId="0DABD00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59.</w:t>
            </w:r>
            <w:r w:rsidRPr="00EE0850">
              <w:rPr>
                <w:rFonts w:eastAsia="SimSun"/>
                <w:kern w:val="22"/>
                <w:szCs w:val="22"/>
              </w:rPr>
              <w:tab/>
              <w:t>Number of non-Parties that have published national information (ABS measures, CNAs or checkpoints) in the ABS Clearing-House</w:t>
            </w:r>
          </w:p>
        </w:tc>
        <w:tc>
          <w:tcPr>
            <w:tcW w:w="1104" w:type="dxa"/>
            <w:shd w:val="clear" w:color="auto" w:fill="auto"/>
            <w:tcMar>
              <w:top w:w="29" w:type="dxa"/>
              <w:left w:w="115" w:type="dxa"/>
              <w:bottom w:w="29" w:type="dxa"/>
              <w:right w:w="115" w:type="dxa"/>
            </w:tcMar>
            <w:vAlign w:val="center"/>
          </w:tcPr>
          <w:p w14:paraId="1357990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(g)</w:t>
            </w:r>
          </w:p>
        </w:tc>
        <w:tc>
          <w:tcPr>
            <w:tcW w:w="1506" w:type="dxa"/>
            <w:shd w:val="clear" w:color="auto" w:fill="auto"/>
            <w:tcMar>
              <w:top w:w="29" w:type="dxa"/>
              <w:left w:w="115" w:type="dxa"/>
              <w:bottom w:w="29" w:type="dxa"/>
              <w:right w:w="115" w:type="dxa"/>
            </w:tcMar>
            <w:vAlign w:val="center"/>
          </w:tcPr>
          <w:p w14:paraId="22971D4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8</w:t>
            </w:r>
          </w:p>
        </w:tc>
        <w:tc>
          <w:tcPr>
            <w:tcW w:w="1614" w:type="dxa"/>
            <w:shd w:val="clear" w:color="auto" w:fill="auto"/>
            <w:tcMar>
              <w:top w:w="29" w:type="dxa"/>
              <w:left w:w="115" w:type="dxa"/>
              <w:bottom w:w="29" w:type="dxa"/>
              <w:right w:w="115" w:type="dxa"/>
            </w:tcMar>
            <w:vAlign w:val="center"/>
          </w:tcPr>
          <w:p w14:paraId="1A4BF8CE"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ABS-CH</w:t>
            </w:r>
          </w:p>
        </w:tc>
      </w:tr>
      <w:tr w:rsidR="009F5D7B" w:rsidRPr="00EE0850" w14:paraId="18ABB5B0" w14:textId="77777777" w:rsidTr="005111BD">
        <w:trPr>
          <w:cantSplit/>
          <w:jc w:val="center"/>
        </w:trPr>
        <w:tc>
          <w:tcPr>
            <w:tcW w:w="5552"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34793AB2"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ind w:left="314" w:hanging="360"/>
              <w:rPr>
                <w:rFonts w:eastAsia="SimSun"/>
                <w:kern w:val="22"/>
                <w:szCs w:val="22"/>
              </w:rPr>
            </w:pPr>
            <w:r w:rsidRPr="00EE0850">
              <w:rPr>
                <w:rFonts w:eastAsia="SimSun"/>
                <w:kern w:val="22"/>
                <w:szCs w:val="22"/>
              </w:rPr>
              <w:t>60.</w:t>
            </w:r>
            <w:r w:rsidRPr="00EE0850">
              <w:rPr>
                <w:rFonts w:eastAsia="SimSun"/>
                <w:kern w:val="22"/>
                <w:szCs w:val="22"/>
              </w:rPr>
              <w:tab/>
              <w:t>The number of visitor to the ABS Clearing-House per year</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29CD7C2F"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(g)</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4B21CF6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18,709 visitors</w:t>
            </w:r>
          </w:p>
          <w:p w14:paraId="6B1F2C7C"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center"/>
              <w:rPr>
                <w:kern w:val="22"/>
                <w:szCs w:val="22"/>
              </w:rPr>
            </w:pPr>
            <w:r w:rsidRPr="00EE0850">
              <w:rPr>
                <w:kern w:val="22"/>
                <w:szCs w:val="22"/>
              </w:rPr>
              <w:t>(as of 22 March 2018)</w:t>
            </w:r>
          </w:p>
        </w:tc>
        <w:tc>
          <w:tcPr>
            <w:tcW w:w="161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25FA917A" w14:textId="77777777" w:rsidR="009F5D7B" w:rsidRPr="00EE0850" w:rsidRDefault="009F5D7B" w:rsidP="000C6220">
            <w:pPr>
              <w:suppressLineNumbers/>
              <w:suppressAutoHyphens/>
              <w:kinsoku w:val="0"/>
              <w:overflowPunct w:val="0"/>
              <w:autoSpaceDE w:val="0"/>
              <w:autoSpaceDN w:val="0"/>
              <w:adjustRightInd w:val="0"/>
              <w:snapToGrid w:val="0"/>
              <w:spacing w:after="0" w:line="240" w:lineRule="auto"/>
              <w:jc w:val="left"/>
              <w:rPr>
                <w:rFonts w:eastAsia="SimSun"/>
                <w:kern w:val="22"/>
                <w:szCs w:val="22"/>
              </w:rPr>
            </w:pPr>
            <w:r w:rsidRPr="00EE0850">
              <w:rPr>
                <w:rFonts w:eastAsia="SimSun"/>
                <w:kern w:val="22"/>
                <w:szCs w:val="22"/>
              </w:rPr>
              <w:t>Google analytics</w:t>
            </w:r>
          </w:p>
        </w:tc>
      </w:tr>
    </w:tbl>
    <w:p w14:paraId="54D0CA76" w14:textId="77777777" w:rsidR="009F5D7B" w:rsidRPr="00EE0850" w:rsidRDefault="009F5D7B">
      <w:pPr>
        <w:jc w:val="center"/>
        <w:rPr>
          <w:kern w:val="22"/>
          <w:szCs w:val="22"/>
        </w:rPr>
      </w:pPr>
    </w:p>
    <w:p w14:paraId="6225D955" w14:textId="77777777" w:rsidR="00A14B71" w:rsidRPr="00EE0850" w:rsidRDefault="00A14B71">
      <w:pPr>
        <w:jc w:val="left"/>
        <w:rPr>
          <w:rFonts w:ascii="Times New Roman Bold" w:hAnsi="Times New Roman Bold" w:cs="Times New Roman Bold"/>
          <w:b/>
          <w:bCs/>
          <w:caps/>
          <w:snapToGrid w:val="0"/>
          <w:kern w:val="22"/>
          <w:szCs w:val="22"/>
        </w:rPr>
      </w:pPr>
      <w:r w:rsidRPr="00EE0850">
        <w:br w:type="page"/>
      </w:r>
    </w:p>
    <w:p w14:paraId="3E74935A" w14:textId="16BB33F6" w:rsidR="009F5D7B" w:rsidRPr="00EE0850" w:rsidRDefault="009F5D7B" w:rsidP="000C6220">
      <w:pPr>
        <w:pStyle w:val="recommendationheader"/>
        <w:spacing w:line="240" w:lineRule="auto"/>
      </w:pPr>
      <w:bookmarkStart w:id="3" w:name="_Toc256202"/>
      <w:r w:rsidRPr="00EE0850">
        <w:t>3/2.</w:t>
      </w:r>
      <w:r w:rsidRPr="00EE0850">
        <w:tab/>
        <w:t>Compliance with the Protocol</w:t>
      </w:r>
      <w:bookmarkEnd w:id="3"/>
    </w:p>
    <w:p w14:paraId="758186C1" w14:textId="2C39BF81" w:rsidR="009F5D7B" w:rsidRPr="00EE0850" w:rsidRDefault="009F5D7B" w:rsidP="000C6220">
      <w:pPr>
        <w:shd w:val="clear" w:color="auto" w:fill="FFFFFF"/>
        <w:spacing w:before="120" w:line="240" w:lineRule="auto"/>
        <w:ind w:firstLine="720"/>
        <w:rPr>
          <w:i/>
          <w:kern w:val="22"/>
          <w:szCs w:val="22"/>
        </w:rPr>
      </w:pPr>
      <w:r w:rsidRPr="00EE0850">
        <w:rPr>
          <w:i/>
          <w:kern w:val="22"/>
          <w:szCs w:val="22"/>
        </w:rPr>
        <w:t xml:space="preserve">The Conference of the Parties serving as the meeting of the Parties to the </w:t>
      </w:r>
      <w:r w:rsidRPr="00EE0850">
        <w:rPr>
          <w:i/>
          <w:iCs/>
          <w:kern w:val="22"/>
          <w:szCs w:val="22"/>
          <w:lang w:eastAsia="ko-KR"/>
        </w:rPr>
        <w:t>Nagoya Protocol on Access and Benefit-sharing</w:t>
      </w:r>
      <w:r w:rsidRPr="00EE0850">
        <w:rPr>
          <w:i/>
          <w:kern w:val="22"/>
          <w:szCs w:val="22"/>
        </w:rPr>
        <w:t>,</w:t>
      </w:r>
    </w:p>
    <w:p w14:paraId="051B7E4C" w14:textId="77777777" w:rsidR="009F5D7B" w:rsidRPr="00EE0850" w:rsidRDefault="009F5D7B" w:rsidP="000C6220">
      <w:pPr>
        <w:pStyle w:val="Para1"/>
        <w:numPr>
          <w:ilvl w:val="0"/>
          <w:numId w:val="0"/>
        </w:numPr>
        <w:adjustRightInd w:val="0"/>
        <w:snapToGrid w:val="0"/>
        <w:spacing w:line="240" w:lineRule="auto"/>
        <w:ind w:firstLine="720"/>
        <w:rPr>
          <w:kern w:val="22"/>
          <w:szCs w:val="22"/>
        </w:rPr>
      </w:pPr>
      <w:r w:rsidRPr="00EE0850">
        <w:rPr>
          <w:i/>
          <w:kern w:val="22"/>
          <w:szCs w:val="22"/>
        </w:rPr>
        <w:t>Taking note</w:t>
      </w:r>
      <w:r w:rsidRPr="00EE0850">
        <w:rPr>
          <w:kern w:val="22"/>
          <w:szCs w:val="22"/>
        </w:rPr>
        <w:t xml:space="preserve"> of the report on the second meeting of the Compliance Committee</w:t>
      </w:r>
      <w:r w:rsidRPr="00EE0850">
        <w:rPr>
          <w:rStyle w:val="FootnoteReference"/>
          <w:rFonts w:eastAsiaTheme="majorEastAsia"/>
          <w:kern w:val="22"/>
          <w:sz w:val="22"/>
          <w:szCs w:val="22"/>
          <w:u w:val="none"/>
          <w:vertAlign w:val="superscript"/>
        </w:rPr>
        <w:footnoteReference w:id="7"/>
      </w:r>
      <w:r w:rsidRPr="00EE0850">
        <w:rPr>
          <w:kern w:val="22"/>
          <w:szCs w:val="22"/>
        </w:rPr>
        <w:t xml:space="preserve"> and its recommendations,</w:t>
      </w:r>
    </w:p>
    <w:p w14:paraId="0AC8D78B" w14:textId="77777777" w:rsidR="009F5D7B" w:rsidRPr="00EE0850" w:rsidRDefault="009F5D7B" w:rsidP="000C6220">
      <w:pPr>
        <w:suppressLineNumbers/>
        <w:shd w:val="clear" w:color="auto" w:fill="FFFFFF"/>
        <w:suppressAutoHyphens/>
        <w:kinsoku w:val="0"/>
        <w:overflowPunct w:val="0"/>
        <w:autoSpaceDE w:val="0"/>
        <w:autoSpaceDN w:val="0"/>
        <w:adjustRightInd w:val="0"/>
        <w:snapToGrid w:val="0"/>
        <w:spacing w:before="120" w:line="240" w:lineRule="auto"/>
        <w:ind w:firstLine="709"/>
        <w:rPr>
          <w:snapToGrid w:val="0"/>
          <w:kern w:val="22"/>
          <w:szCs w:val="22"/>
        </w:rPr>
      </w:pPr>
      <w:r w:rsidRPr="00EE0850">
        <w:rPr>
          <w:snapToGrid w:val="0"/>
          <w:kern w:val="22"/>
          <w:szCs w:val="22"/>
        </w:rPr>
        <w:t>1.</w:t>
      </w:r>
      <w:r w:rsidRPr="00EE0850">
        <w:rPr>
          <w:snapToGrid w:val="0"/>
          <w:kern w:val="22"/>
          <w:szCs w:val="22"/>
        </w:rPr>
        <w:tab/>
      </w:r>
      <w:r w:rsidRPr="00EE0850">
        <w:rPr>
          <w:i/>
          <w:snapToGrid w:val="0"/>
          <w:kern w:val="22"/>
          <w:szCs w:val="22"/>
        </w:rPr>
        <w:t>Welcomes</w:t>
      </w:r>
      <w:r w:rsidRPr="00EE0850">
        <w:rPr>
          <w:snapToGrid w:val="0"/>
          <w:kern w:val="22"/>
          <w:szCs w:val="22"/>
        </w:rPr>
        <w:t xml:space="preserve"> the progress made by Parties in the implementation of the Protocol, and </w:t>
      </w:r>
      <w:r w:rsidRPr="00EE0850">
        <w:rPr>
          <w:i/>
          <w:snapToGrid w:val="0"/>
          <w:kern w:val="22"/>
          <w:szCs w:val="22"/>
        </w:rPr>
        <w:t xml:space="preserve">urges </w:t>
      </w:r>
      <w:r w:rsidRPr="00EE0850">
        <w:rPr>
          <w:snapToGrid w:val="0"/>
          <w:kern w:val="22"/>
          <w:szCs w:val="22"/>
        </w:rPr>
        <w:t xml:space="preserve">Parties that have not yet done so to establish </w:t>
      </w:r>
      <w:r w:rsidRPr="00EE0850">
        <w:rPr>
          <w:rFonts w:eastAsia="Calibri"/>
          <w:snapToGrid w:val="0"/>
          <w:kern w:val="22"/>
          <w:szCs w:val="22"/>
        </w:rPr>
        <w:t xml:space="preserve">access and benefit-sharing legislative, administrative and policy measures and </w:t>
      </w:r>
      <w:r w:rsidRPr="00EE0850">
        <w:rPr>
          <w:snapToGrid w:val="0"/>
          <w:kern w:val="22"/>
          <w:szCs w:val="22"/>
        </w:rPr>
        <w:t>institutional arrangements;</w:t>
      </w:r>
    </w:p>
    <w:p w14:paraId="5601B03C" w14:textId="77777777" w:rsidR="009F5D7B" w:rsidRPr="00EE0850" w:rsidRDefault="009F5D7B" w:rsidP="000C6220">
      <w:pPr>
        <w:suppressLineNumbers/>
        <w:shd w:val="clear" w:color="auto" w:fill="FFFFFF"/>
        <w:suppressAutoHyphens/>
        <w:kinsoku w:val="0"/>
        <w:overflowPunct w:val="0"/>
        <w:autoSpaceDE w:val="0"/>
        <w:autoSpaceDN w:val="0"/>
        <w:adjustRightInd w:val="0"/>
        <w:snapToGrid w:val="0"/>
        <w:spacing w:before="120" w:line="240" w:lineRule="auto"/>
        <w:ind w:firstLine="709"/>
        <w:rPr>
          <w:snapToGrid w:val="0"/>
          <w:kern w:val="22"/>
          <w:szCs w:val="22"/>
        </w:rPr>
      </w:pPr>
      <w:r w:rsidRPr="00EE0850">
        <w:rPr>
          <w:snapToGrid w:val="0"/>
          <w:kern w:val="22"/>
          <w:szCs w:val="22"/>
        </w:rPr>
        <w:t>2.</w:t>
      </w:r>
      <w:r w:rsidRPr="00EE0850">
        <w:rPr>
          <w:i/>
          <w:snapToGrid w:val="0"/>
          <w:kern w:val="22"/>
          <w:szCs w:val="22"/>
        </w:rPr>
        <w:tab/>
        <w:t xml:space="preserve">Also welcomes </w:t>
      </w:r>
      <w:r w:rsidRPr="00EE0850">
        <w:rPr>
          <w:snapToGrid w:val="0"/>
          <w:kern w:val="22"/>
          <w:szCs w:val="22"/>
        </w:rPr>
        <w:t>the contribution of the Compliance Committee to the first assessment and review of the Protocol in the form of information and findings on general issues of compliance and recommendations to assist in addressing challenges to the implementation of the Protocol.</w:t>
      </w:r>
    </w:p>
    <w:p w14:paraId="1286665B" w14:textId="77777777" w:rsidR="009F5D7B" w:rsidRPr="00EE0850" w:rsidRDefault="009F5D7B" w:rsidP="000C6220">
      <w:pPr>
        <w:spacing w:before="120" w:line="240" w:lineRule="auto"/>
        <w:rPr>
          <w:kern w:val="22"/>
          <w:szCs w:val="22"/>
        </w:rPr>
      </w:pPr>
    </w:p>
    <w:p w14:paraId="5A0A88F1" w14:textId="77777777" w:rsidR="009F5D7B" w:rsidRPr="00EE0850" w:rsidRDefault="009F5D7B">
      <w:pPr>
        <w:jc w:val="left"/>
        <w:rPr>
          <w:rFonts w:ascii="Times New Roman Bold" w:hAnsi="Times New Roman Bold" w:cs="Times New Roman Bold"/>
          <w:b/>
          <w:bCs/>
          <w:caps/>
          <w:snapToGrid w:val="0"/>
          <w:kern w:val="22"/>
          <w:szCs w:val="22"/>
        </w:rPr>
      </w:pPr>
      <w:r w:rsidRPr="00EE0850">
        <w:rPr>
          <w:rFonts w:hint="eastAsia"/>
        </w:rPr>
        <w:br w:type="page"/>
      </w:r>
    </w:p>
    <w:p w14:paraId="3158305C" w14:textId="0039E016" w:rsidR="009F5D7B" w:rsidRPr="00EE0850" w:rsidRDefault="009F5D7B" w:rsidP="000C6220">
      <w:pPr>
        <w:pStyle w:val="recommendationheader"/>
        <w:spacing w:line="240" w:lineRule="auto"/>
        <w:rPr>
          <w:rFonts w:eastAsia="Arial Unicode MS"/>
          <w:snapToGrid w:val="0"/>
          <w:u w:color="000000"/>
          <w:bdr w:val="nil"/>
        </w:rPr>
      </w:pPr>
      <w:bookmarkStart w:id="4" w:name="_Toc256203"/>
      <w:r w:rsidRPr="00EE0850">
        <w:rPr>
          <w:rFonts w:eastAsia="Arial Unicode MS"/>
          <w:snapToGrid w:val="0"/>
          <w:u w:color="000000"/>
          <w:bdr w:val="nil"/>
        </w:rPr>
        <w:t>3/3.</w:t>
      </w:r>
      <w:r w:rsidRPr="00EE0850">
        <w:rPr>
          <w:rFonts w:eastAsia="Arial Unicode MS"/>
          <w:snapToGrid w:val="0"/>
          <w:u w:color="000000"/>
          <w:bdr w:val="nil"/>
        </w:rPr>
        <w:tab/>
        <w:t>The Access and Benefit-sharing Clearing-House and information sharing (Article 14)</w:t>
      </w:r>
      <w:bookmarkEnd w:id="4"/>
    </w:p>
    <w:p w14:paraId="435B2C7C" w14:textId="4657CCCA" w:rsidR="009F5D7B" w:rsidRPr="00EE0850" w:rsidRDefault="009F5D7B" w:rsidP="000C6220">
      <w:pPr>
        <w:keepNext/>
        <w:pBdr>
          <w:top w:val="nil"/>
          <w:left w:val="nil"/>
          <w:bottom w:val="nil"/>
          <w:right w:val="nil"/>
          <w:between w:val="nil"/>
          <w:bar w:val="nil"/>
        </w:pBdr>
        <w:spacing w:before="120" w:line="240" w:lineRule="auto"/>
        <w:ind w:firstLine="720"/>
        <w:rPr>
          <w:rFonts w:eastAsia="Arial Unicode MS"/>
          <w:i/>
          <w:snapToGrid w:val="0"/>
          <w:kern w:val="22"/>
          <w:u w:color="000000"/>
          <w:bdr w:val="nil"/>
        </w:rPr>
      </w:pPr>
      <w:r w:rsidRPr="00EE0850">
        <w:rPr>
          <w:rFonts w:eastAsia="Arial Unicode MS"/>
          <w:i/>
          <w:snapToGrid w:val="0"/>
          <w:kern w:val="22"/>
          <w:u w:color="000000"/>
          <w:bdr w:val="nil"/>
        </w:rPr>
        <w:t>The Conference of the Parties serving as the meeting of the Parties to the Nagoya Protocol on Access and Benefit-sharing</w:t>
      </w:r>
    </w:p>
    <w:p w14:paraId="1BC677B3"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rPr>
      </w:pPr>
      <w:r w:rsidRPr="00EE0850">
        <w:rPr>
          <w:snapToGrid w:val="0"/>
          <w:kern w:val="22"/>
        </w:rPr>
        <w:t>1.</w:t>
      </w:r>
      <w:r w:rsidRPr="00EE0850">
        <w:rPr>
          <w:snapToGrid w:val="0"/>
          <w:kern w:val="22"/>
        </w:rPr>
        <w:tab/>
      </w:r>
      <w:r w:rsidRPr="00EE0850">
        <w:rPr>
          <w:i/>
          <w:snapToGrid w:val="0"/>
          <w:kern w:val="22"/>
        </w:rPr>
        <w:t xml:space="preserve">Welcomes </w:t>
      </w:r>
      <w:r w:rsidRPr="00EE0850">
        <w:rPr>
          <w:snapToGrid w:val="0"/>
          <w:kern w:val="22"/>
        </w:rPr>
        <w:t>progress made by the Secretariat in the implementation and operation of the Access and Benefit-sharing Clearing-House;</w:t>
      </w:r>
      <w:r w:rsidRPr="00EE0850">
        <w:rPr>
          <w:snapToGrid w:val="0"/>
          <w:kern w:val="22"/>
          <w:vertAlign w:val="superscript"/>
        </w:rPr>
        <w:footnoteReference w:id="8"/>
      </w:r>
    </w:p>
    <w:p w14:paraId="27EAE206"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rPr>
      </w:pPr>
      <w:r w:rsidRPr="00EE0850">
        <w:rPr>
          <w:snapToGrid w:val="0"/>
          <w:kern w:val="22"/>
        </w:rPr>
        <w:t>2.</w:t>
      </w:r>
      <w:r w:rsidRPr="00EE0850">
        <w:rPr>
          <w:snapToGrid w:val="0"/>
          <w:kern w:val="22"/>
        </w:rPr>
        <w:tab/>
      </w:r>
      <w:r w:rsidRPr="00EE0850">
        <w:rPr>
          <w:i/>
          <w:snapToGrid w:val="0"/>
          <w:kern w:val="22"/>
        </w:rPr>
        <w:t>Welcomes</w:t>
      </w:r>
      <w:r w:rsidRPr="00EE0850">
        <w:rPr>
          <w:snapToGrid w:val="0"/>
          <w:kern w:val="22"/>
        </w:rPr>
        <w:t xml:space="preserve"> the efforts made by Parties, non-Parties, indigenous peoples and local communities and relevant stakeholders to make information available in the Access and Benefit-sharing Clearing-House;</w:t>
      </w:r>
    </w:p>
    <w:p w14:paraId="78EDCB68" w14:textId="77777777" w:rsidR="009F5D7B" w:rsidRPr="00EE0850" w:rsidRDefault="009F5D7B" w:rsidP="000C6220">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rFonts w:eastAsiaTheme="minorHAnsi"/>
          <w:snapToGrid w:val="0"/>
          <w:kern w:val="22"/>
          <w:szCs w:val="22"/>
        </w:rPr>
      </w:pPr>
      <w:r w:rsidRPr="00EE0850">
        <w:rPr>
          <w:rFonts w:eastAsiaTheme="minorHAnsi"/>
          <w:snapToGrid w:val="0"/>
          <w:kern w:val="22"/>
          <w:szCs w:val="22"/>
        </w:rPr>
        <w:t>3.</w:t>
      </w:r>
      <w:r w:rsidRPr="00EE0850">
        <w:rPr>
          <w:rFonts w:eastAsiaTheme="minorHAnsi"/>
          <w:snapToGrid w:val="0"/>
          <w:kern w:val="22"/>
          <w:szCs w:val="22"/>
        </w:rPr>
        <w:tab/>
      </w:r>
      <w:r w:rsidRPr="00EE0850">
        <w:rPr>
          <w:rFonts w:eastAsiaTheme="minorHAnsi"/>
          <w:i/>
          <w:snapToGrid w:val="0"/>
          <w:kern w:val="22"/>
          <w:szCs w:val="22"/>
        </w:rPr>
        <w:t>Urges</w:t>
      </w:r>
      <w:r w:rsidRPr="00EE0850">
        <w:rPr>
          <w:rFonts w:eastAsiaTheme="minorHAnsi"/>
          <w:snapToGrid w:val="0"/>
          <w:kern w:val="22"/>
          <w:szCs w:val="22"/>
        </w:rPr>
        <w:t xml:space="preserve"> Parties that have not yet done so to publish all mandatory information available at the </w:t>
      </w:r>
      <w:r w:rsidRPr="00EE0850">
        <w:rPr>
          <w:snapToGrid w:val="0"/>
          <w:kern w:val="22"/>
          <w:szCs w:val="22"/>
        </w:rPr>
        <w:t>national</w:t>
      </w:r>
      <w:r w:rsidRPr="00EE0850">
        <w:rPr>
          <w:rFonts w:eastAsiaTheme="minorHAnsi"/>
          <w:snapToGrid w:val="0"/>
          <w:kern w:val="22"/>
          <w:szCs w:val="22"/>
        </w:rPr>
        <w:t xml:space="preserve"> level on the Access and Benefit-sharing</w:t>
      </w:r>
      <w:r w:rsidRPr="00EE0850" w:rsidDel="00A3506F">
        <w:rPr>
          <w:rFonts w:eastAsiaTheme="minorHAnsi"/>
          <w:snapToGrid w:val="0"/>
          <w:kern w:val="22"/>
          <w:szCs w:val="22"/>
        </w:rPr>
        <w:t xml:space="preserve"> </w:t>
      </w:r>
      <w:r w:rsidRPr="00EE0850">
        <w:rPr>
          <w:rFonts w:eastAsiaTheme="minorHAnsi"/>
          <w:snapToGrid w:val="0"/>
          <w:kern w:val="22"/>
          <w:szCs w:val="22"/>
        </w:rPr>
        <w:t>Clearing-House in accordance with the obligations in Article 14, paragraph 2, of the Protocol, as soon as possible,</w:t>
      </w:r>
      <w:r w:rsidRPr="00EE0850">
        <w:rPr>
          <w:rFonts w:eastAsiaTheme="minorHAnsi"/>
          <w:i/>
          <w:snapToGrid w:val="0"/>
          <w:kern w:val="22"/>
          <w:szCs w:val="22"/>
        </w:rPr>
        <w:t xml:space="preserve"> </w:t>
      </w:r>
      <w:r w:rsidRPr="00EE0850">
        <w:rPr>
          <w:rFonts w:eastAsiaTheme="minorHAnsi"/>
          <w:snapToGrid w:val="0"/>
          <w:kern w:val="22"/>
          <w:szCs w:val="22"/>
        </w:rPr>
        <w:t>considering that the publication of mandatory information in the Access and Benefit-sharing Clearing-House is essential for the implementation of the Nagoya Protocol;</w:t>
      </w:r>
    </w:p>
    <w:p w14:paraId="55A13CB5" w14:textId="77777777" w:rsidR="009F5D7B" w:rsidRPr="00EE0850" w:rsidRDefault="009F5D7B" w:rsidP="000C6220">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snapToGrid w:val="0"/>
          <w:kern w:val="22"/>
        </w:rPr>
      </w:pPr>
      <w:r w:rsidRPr="00EE0850">
        <w:rPr>
          <w:snapToGrid w:val="0"/>
          <w:kern w:val="22"/>
          <w:szCs w:val="22"/>
        </w:rPr>
        <w:t>4.</w:t>
      </w:r>
      <w:r w:rsidRPr="00EE0850">
        <w:rPr>
          <w:i/>
          <w:snapToGrid w:val="0"/>
          <w:kern w:val="22"/>
          <w:szCs w:val="22"/>
        </w:rPr>
        <w:tab/>
        <w:t xml:space="preserve">Urges </w:t>
      </w:r>
      <w:r w:rsidRPr="00EE0850">
        <w:rPr>
          <w:snapToGrid w:val="0"/>
          <w:kern w:val="22"/>
          <w:szCs w:val="22"/>
        </w:rPr>
        <w:t>Parties to provide information on their national access and benefit-sharing procedures through the voluntary common format on procedures, as available in the Access and Benefit-sharing Clearing-House;</w:t>
      </w:r>
    </w:p>
    <w:p w14:paraId="25A2C332"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rPr>
      </w:pPr>
      <w:r w:rsidRPr="00EE0850">
        <w:rPr>
          <w:snapToGrid w:val="0"/>
          <w:kern w:val="22"/>
        </w:rPr>
        <w:t>5.</w:t>
      </w:r>
      <w:r w:rsidRPr="00EE0850">
        <w:rPr>
          <w:snapToGrid w:val="0"/>
          <w:kern w:val="22"/>
        </w:rPr>
        <w:tab/>
      </w:r>
      <w:r w:rsidRPr="00EE0850">
        <w:rPr>
          <w:i/>
          <w:snapToGrid w:val="0"/>
          <w:kern w:val="22"/>
        </w:rPr>
        <w:t>Takes note</w:t>
      </w:r>
      <w:r w:rsidRPr="00EE0850">
        <w:rPr>
          <w:snapToGrid w:val="0"/>
          <w:kern w:val="22"/>
        </w:rPr>
        <w:t xml:space="preserve"> of the list of goals and priorities for the further implementation and administration of the Access and Benefit-sharing Clearing-House for the biennium 2019-2020 contained in annex to the present decision;</w:t>
      </w:r>
    </w:p>
    <w:p w14:paraId="70272E07"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rPr>
      </w:pPr>
      <w:r w:rsidRPr="00EE0850">
        <w:rPr>
          <w:snapToGrid w:val="0"/>
          <w:kern w:val="22"/>
        </w:rPr>
        <w:t>6.</w:t>
      </w:r>
      <w:r w:rsidRPr="00EE0850">
        <w:rPr>
          <w:snapToGrid w:val="0"/>
          <w:kern w:val="22"/>
        </w:rPr>
        <w:tab/>
      </w:r>
      <w:r w:rsidRPr="00EE0850">
        <w:rPr>
          <w:i/>
          <w:snapToGrid w:val="0"/>
          <w:kern w:val="22"/>
        </w:rPr>
        <w:t>Endorses</w:t>
      </w:r>
      <w:r w:rsidRPr="00EE0850">
        <w:rPr>
          <w:snapToGrid w:val="0"/>
          <w:kern w:val="22"/>
        </w:rPr>
        <w:t xml:space="preserve"> the joint modalities of operation for the clearing-house mechanism of the Convention, the Biosafety Clearing-House and the Access and Benefit-sharing Clearing-House, contained in the annex to decision 14/25, which are complementary to the modalities of operation of the Access and Benefit-sharing Clearing-House adopted by the Conference of the Parties serving as the meeting of the Parties to the Nagoya Protocol in decision </w:t>
      </w:r>
      <w:hyperlink r:id="rId12" w:history="1">
        <w:r w:rsidRPr="00EE0850">
          <w:rPr>
            <w:snapToGrid w:val="0"/>
            <w:color w:val="0000FF"/>
            <w:kern w:val="22"/>
            <w:u w:val="single"/>
          </w:rPr>
          <w:t>NP-1/2</w:t>
        </w:r>
      </w:hyperlink>
      <w:r w:rsidRPr="00EE0850">
        <w:rPr>
          <w:snapToGrid w:val="0"/>
          <w:kern w:val="22"/>
        </w:rPr>
        <w:t>;</w:t>
      </w:r>
    </w:p>
    <w:p w14:paraId="2A1DACB8"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rPr>
      </w:pPr>
      <w:r w:rsidRPr="00EE0850">
        <w:rPr>
          <w:snapToGrid w:val="0"/>
          <w:kern w:val="22"/>
        </w:rPr>
        <w:t>7.</w:t>
      </w:r>
      <w:r w:rsidRPr="00EE0850">
        <w:rPr>
          <w:snapToGrid w:val="0"/>
          <w:kern w:val="22"/>
        </w:rPr>
        <w:tab/>
      </w:r>
      <w:r w:rsidRPr="00EE0850">
        <w:rPr>
          <w:i/>
          <w:snapToGrid w:val="0"/>
          <w:kern w:val="22"/>
        </w:rPr>
        <w:t>Expresses</w:t>
      </w:r>
      <w:r w:rsidRPr="00EE0850">
        <w:rPr>
          <w:snapToGrid w:val="0"/>
          <w:kern w:val="22"/>
        </w:rPr>
        <w:t xml:space="preserve"> appreciation for the technical guidance provided by the Informal Advisory Committee;</w:t>
      </w:r>
    </w:p>
    <w:p w14:paraId="4F77D128"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rPr>
      </w:pPr>
      <w:r w:rsidRPr="00EE0850">
        <w:rPr>
          <w:snapToGrid w:val="0"/>
          <w:kern w:val="22"/>
        </w:rPr>
        <w:t>8.</w:t>
      </w:r>
      <w:r w:rsidRPr="00EE0850">
        <w:rPr>
          <w:snapToGrid w:val="0"/>
          <w:kern w:val="22"/>
        </w:rPr>
        <w:tab/>
      </w:r>
      <w:r w:rsidRPr="00EE0850">
        <w:rPr>
          <w:i/>
          <w:snapToGrid w:val="0"/>
          <w:kern w:val="22"/>
        </w:rPr>
        <w:t>Decides</w:t>
      </w:r>
      <w:r w:rsidRPr="00EE0850">
        <w:rPr>
          <w:snapToGrid w:val="0"/>
          <w:kern w:val="22"/>
        </w:rPr>
        <w:t xml:space="preserve"> that the Informal Advisory Committee will hold at least one meeting and informal online discussions as needed, and report on the outcomes of its work to the Conference of the Parties serving as the meeting of the Parties to the Nagoya Protocol at its fourth meeting;</w:t>
      </w:r>
    </w:p>
    <w:p w14:paraId="429FBBDB"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rPr>
      </w:pPr>
      <w:r w:rsidRPr="00EE0850">
        <w:rPr>
          <w:snapToGrid w:val="0"/>
          <w:kern w:val="22"/>
        </w:rPr>
        <w:t>9.</w:t>
      </w:r>
      <w:r w:rsidRPr="00EE0850">
        <w:rPr>
          <w:snapToGrid w:val="0"/>
          <w:kern w:val="22"/>
        </w:rPr>
        <w:tab/>
      </w:r>
      <w:r w:rsidRPr="00EE0850">
        <w:rPr>
          <w:i/>
          <w:snapToGrid w:val="0"/>
          <w:kern w:val="22"/>
        </w:rPr>
        <w:t>Invites</w:t>
      </w:r>
      <w:r w:rsidRPr="00EE0850">
        <w:rPr>
          <w:snapToGrid w:val="0"/>
          <w:kern w:val="22"/>
        </w:rPr>
        <w:t xml:space="preserve"> Parties, non-Parties, and relevant organizations to make use of the interoperability mechanisms of the Access and Benefit</w:t>
      </w:r>
      <w:r w:rsidRPr="00EE0850">
        <w:rPr>
          <w:snapToGrid w:val="0"/>
          <w:kern w:val="22"/>
        </w:rPr>
        <w:noBreakHyphen/>
        <w:t>sharing Clearing-House to facilitate information exchange with their relevant databases, websites and information technology systems;</w:t>
      </w:r>
    </w:p>
    <w:p w14:paraId="04F68F9D"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rPr>
      </w:pPr>
      <w:r w:rsidRPr="00EE0850">
        <w:rPr>
          <w:snapToGrid w:val="0"/>
          <w:kern w:val="22"/>
        </w:rPr>
        <w:t>10.</w:t>
      </w:r>
      <w:r w:rsidRPr="00EE0850">
        <w:rPr>
          <w:snapToGrid w:val="0"/>
          <w:kern w:val="22"/>
        </w:rPr>
        <w:tab/>
      </w:r>
      <w:r w:rsidRPr="00EE0850">
        <w:rPr>
          <w:i/>
          <w:snapToGrid w:val="0"/>
          <w:kern w:val="22"/>
        </w:rPr>
        <w:t>Invites</w:t>
      </w:r>
      <w:r w:rsidRPr="00EE0850">
        <w:rPr>
          <w:snapToGrid w:val="0"/>
          <w:kern w:val="22"/>
        </w:rPr>
        <w:t xml:space="preserve"> Parties, non-Parties, and relevant organizations, as appropriate, to include capacity</w:t>
      </w:r>
      <w:r w:rsidRPr="00EE0850">
        <w:rPr>
          <w:snapToGrid w:val="0"/>
          <w:kern w:val="22"/>
        </w:rPr>
        <w:noBreakHyphen/>
        <w:t>building activities related to the Access and Benefit-sharing Clearing-House in their relevant capacity-building activities, plans and projects in coordination with the Executive Secretary;</w:t>
      </w:r>
    </w:p>
    <w:p w14:paraId="01F01F5B"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rPr>
      </w:pPr>
      <w:r w:rsidRPr="00EE0850">
        <w:rPr>
          <w:snapToGrid w:val="0"/>
          <w:kern w:val="22"/>
        </w:rPr>
        <w:t>11.</w:t>
      </w:r>
      <w:r w:rsidRPr="00EE0850">
        <w:rPr>
          <w:snapToGrid w:val="0"/>
          <w:kern w:val="22"/>
        </w:rPr>
        <w:tab/>
      </w:r>
      <w:r w:rsidRPr="00EE0850">
        <w:rPr>
          <w:i/>
          <w:snapToGrid w:val="0"/>
          <w:kern w:val="22"/>
        </w:rPr>
        <w:t>Invites</w:t>
      </w:r>
      <w:r w:rsidRPr="00EE0850">
        <w:rPr>
          <w:snapToGrid w:val="0"/>
          <w:kern w:val="22"/>
        </w:rPr>
        <w:t xml:space="preserve"> Parties, non-Parties, relevant international organizations, regional development banks and other financial institutions, as appropriate, to support capacity-building activities related to the Access and Benefit-sharing Clearing-House, including the Protocol’s system for monitoring the utilization of genetic resources;</w:t>
      </w:r>
    </w:p>
    <w:p w14:paraId="73EF84B4" w14:textId="77777777" w:rsidR="009F5D7B" w:rsidRPr="00EE0850" w:rsidRDefault="009F5D7B" w:rsidP="000C6220">
      <w:pPr>
        <w:suppressLineNumbers/>
        <w:pBdr>
          <w:top w:val="nil"/>
          <w:left w:val="nil"/>
          <w:bottom w:val="nil"/>
          <w:right w:val="nil"/>
          <w:between w:val="nil"/>
          <w:bar w:val="nil"/>
        </w:pBdr>
        <w:suppressAutoHyphens/>
        <w:spacing w:before="120" w:line="240" w:lineRule="auto"/>
        <w:ind w:firstLine="720"/>
        <w:rPr>
          <w:snapToGrid w:val="0"/>
          <w:kern w:val="22"/>
          <w:szCs w:val="22"/>
        </w:rPr>
      </w:pPr>
      <w:r w:rsidRPr="00EE0850">
        <w:rPr>
          <w:snapToGrid w:val="0"/>
          <w:kern w:val="22"/>
        </w:rPr>
        <w:t>12.</w:t>
      </w:r>
      <w:r w:rsidRPr="00EE0850">
        <w:rPr>
          <w:snapToGrid w:val="0"/>
          <w:kern w:val="22"/>
        </w:rPr>
        <w:tab/>
      </w:r>
      <w:r w:rsidRPr="00EE0850">
        <w:rPr>
          <w:i/>
          <w:snapToGrid w:val="0"/>
          <w:kern w:val="22"/>
        </w:rPr>
        <w:t xml:space="preserve">Requests </w:t>
      </w:r>
      <w:r w:rsidRPr="00EE0850">
        <w:rPr>
          <w:snapToGrid w:val="0"/>
          <w:kern w:val="22"/>
        </w:rPr>
        <w:t xml:space="preserve">the Executive Secretary to continue to implement and administer the Access and </w:t>
      </w:r>
      <w:r w:rsidRPr="00EE0850">
        <w:rPr>
          <w:snapToGrid w:val="0"/>
          <w:kern w:val="22"/>
          <w:szCs w:val="22"/>
        </w:rPr>
        <w:t xml:space="preserve">Benefit-sharing Clearing-House by following the goals and priorities for the further implementation and administration of the </w:t>
      </w:r>
      <w:r w:rsidRPr="00EE0850">
        <w:rPr>
          <w:snapToGrid w:val="0"/>
          <w:kern w:val="22"/>
        </w:rPr>
        <w:t xml:space="preserve">Access and </w:t>
      </w:r>
      <w:r w:rsidRPr="00EE0850">
        <w:rPr>
          <w:snapToGrid w:val="0"/>
          <w:kern w:val="22"/>
          <w:szCs w:val="22"/>
        </w:rPr>
        <w:t>Benefit-sharing Clearing-House contained in annex to the present decision, in accordance with the modalities of operation and feedback received, in particular that of Parties and of the Informal Advisory Committee to the Access and Benefit-sharing Clearing-House.</w:t>
      </w:r>
    </w:p>
    <w:p w14:paraId="46C2D265" w14:textId="77777777" w:rsidR="009F5D7B" w:rsidRPr="00EE0850" w:rsidRDefault="009F5D7B" w:rsidP="000C6220">
      <w:pPr>
        <w:keepNext/>
        <w:keepLines/>
        <w:spacing w:before="120" w:line="240" w:lineRule="auto"/>
        <w:jc w:val="center"/>
        <w:outlineLvl w:val="2"/>
        <w:rPr>
          <w:i/>
          <w:kern w:val="22"/>
          <w:szCs w:val="22"/>
        </w:rPr>
      </w:pPr>
      <w:r w:rsidRPr="00EE0850">
        <w:rPr>
          <w:i/>
          <w:kern w:val="22"/>
          <w:szCs w:val="22"/>
        </w:rPr>
        <w:t>Annex</w:t>
      </w:r>
    </w:p>
    <w:p w14:paraId="3B0E57EA" w14:textId="77777777" w:rsidR="009F5D7B" w:rsidRPr="00EE0850" w:rsidRDefault="009F5D7B" w:rsidP="000C6220">
      <w:pPr>
        <w:keepNext/>
        <w:keepLines/>
        <w:spacing w:before="120" w:line="240" w:lineRule="auto"/>
        <w:jc w:val="center"/>
        <w:rPr>
          <w:b/>
          <w:bCs/>
          <w:caps/>
          <w:kern w:val="22"/>
          <w:szCs w:val="22"/>
        </w:rPr>
      </w:pPr>
      <w:r w:rsidRPr="00EE0850">
        <w:rPr>
          <w:b/>
          <w:bCs/>
          <w:caps/>
          <w:kern w:val="22"/>
          <w:szCs w:val="22"/>
        </w:rPr>
        <w:t>Goals and priorities for the further development and administration of the Access and Benefit-sharing Clearing-House by the Secretariat</w:t>
      </w:r>
    </w:p>
    <w:p w14:paraId="304F8313" w14:textId="77777777" w:rsidR="009F5D7B" w:rsidRPr="00EE0850" w:rsidRDefault="009F5D7B" w:rsidP="000C6220">
      <w:pPr>
        <w:keepNext/>
        <w:keepLines/>
        <w:spacing w:before="120" w:line="240" w:lineRule="auto"/>
        <w:jc w:val="center"/>
        <w:rPr>
          <w:rFonts w:eastAsia="MS Mincho"/>
          <w:bCs/>
          <w:kern w:val="22"/>
          <w:szCs w:val="22"/>
        </w:rPr>
      </w:pPr>
    </w:p>
    <w:p w14:paraId="75644C49" w14:textId="77777777" w:rsidR="009F5D7B" w:rsidRPr="00EE0850" w:rsidRDefault="009F5D7B" w:rsidP="000C6220">
      <w:pPr>
        <w:keepNext/>
        <w:keepLines/>
        <w:pBdr>
          <w:top w:val="nil"/>
          <w:left w:val="nil"/>
          <w:bottom w:val="nil"/>
          <w:right w:val="nil"/>
          <w:between w:val="nil"/>
          <w:bar w:val="nil"/>
        </w:pBdr>
        <w:spacing w:before="120" w:line="240" w:lineRule="auto"/>
        <w:ind w:left="864" w:hanging="864"/>
        <w:rPr>
          <w:b/>
          <w:snapToGrid w:val="0"/>
          <w:kern w:val="22"/>
          <w:szCs w:val="22"/>
        </w:rPr>
      </w:pPr>
      <w:r w:rsidRPr="00EE0850">
        <w:rPr>
          <w:b/>
          <w:snapToGrid w:val="0"/>
          <w:kern w:val="22"/>
          <w:szCs w:val="22"/>
        </w:rPr>
        <w:t>Goal 1.</w:t>
      </w:r>
      <w:r w:rsidRPr="00EE0850">
        <w:rPr>
          <w:b/>
          <w:snapToGrid w:val="0"/>
          <w:kern w:val="22"/>
          <w:szCs w:val="22"/>
        </w:rPr>
        <w:tab/>
        <w:t xml:space="preserve">Population and increased use of the </w:t>
      </w:r>
      <w:r w:rsidRPr="00EE0850">
        <w:rPr>
          <w:b/>
          <w:bCs/>
          <w:kern w:val="22"/>
          <w:szCs w:val="22"/>
        </w:rPr>
        <w:t>Access and Benefit-sharing</w:t>
      </w:r>
      <w:r w:rsidRPr="00EE0850" w:rsidDel="00063D06">
        <w:rPr>
          <w:b/>
          <w:snapToGrid w:val="0"/>
          <w:kern w:val="22"/>
          <w:szCs w:val="22"/>
        </w:rPr>
        <w:t xml:space="preserve"> </w:t>
      </w:r>
      <w:r w:rsidRPr="00EE0850">
        <w:rPr>
          <w:b/>
          <w:snapToGrid w:val="0"/>
          <w:kern w:val="22"/>
          <w:szCs w:val="22"/>
        </w:rPr>
        <w:t>Clearing-House</w:t>
      </w:r>
    </w:p>
    <w:p w14:paraId="23CF8B4D" w14:textId="77777777" w:rsidR="009F5D7B" w:rsidRPr="00EE0850" w:rsidRDefault="009F5D7B" w:rsidP="000C6220">
      <w:pPr>
        <w:keepNext/>
        <w:pBdr>
          <w:top w:val="nil"/>
          <w:left w:val="nil"/>
          <w:bottom w:val="nil"/>
          <w:right w:val="nil"/>
          <w:between w:val="nil"/>
          <w:bar w:val="nil"/>
        </w:pBdr>
        <w:spacing w:before="120" w:line="240" w:lineRule="auto"/>
        <w:rPr>
          <w:i/>
          <w:snapToGrid w:val="0"/>
          <w:kern w:val="22"/>
          <w:szCs w:val="22"/>
        </w:rPr>
      </w:pPr>
      <w:r w:rsidRPr="00EE0850">
        <w:rPr>
          <w:i/>
          <w:snapToGrid w:val="0"/>
          <w:kern w:val="22"/>
          <w:szCs w:val="22"/>
        </w:rPr>
        <w:t>Outreach and engagement</w:t>
      </w:r>
    </w:p>
    <w:p w14:paraId="6C1FC955" w14:textId="77777777" w:rsidR="009F5D7B" w:rsidRPr="00EE0850" w:rsidRDefault="009F5D7B" w:rsidP="000C6220">
      <w:pPr>
        <w:pBdr>
          <w:top w:val="nil"/>
          <w:left w:val="nil"/>
          <w:bottom w:val="nil"/>
          <w:right w:val="nil"/>
          <w:between w:val="nil"/>
          <w:bar w:val="nil"/>
        </w:pBdr>
        <w:spacing w:before="120" w:line="240" w:lineRule="auto"/>
        <w:ind w:firstLine="709"/>
        <w:rPr>
          <w:snapToGrid w:val="0"/>
          <w:kern w:val="22"/>
          <w:szCs w:val="22"/>
        </w:rPr>
      </w:pPr>
      <w:r w:rsidRPr="00EE0850">
        <w:rPr>
          <w:snapToGrid w:val="0"/>
          <w:color w:val="000000"/>
          <w:kern w:val="22"/>
          <w:szCs w:val="22"/>
        </w:rPr>
        <w:t>(a)</w:t>
      </w:r>
      <w:r w:rsidRPr="00EE0850">
        <w:rPr>
          <w:snapToGrid w:val="0"/>
          <w:color w:val="000000"/>
          <w:kern w:val="22"/>
          <w:szCs w:val="22"/>
        </w:rPr>
        <w:tab/>
      </w:r>
      <w:r w:rsidRPr="00EE0850">
        <w:rPr>
          <w:snapToGrid w:val="0"/>
          <w:kern w:val="22"/>
          <w:szCs w:val="22"/>
        </w:rPr>
        <w:t>Ensure that each Party has designated its publishing authority;</w:t>
      </w:r>
    </w:p>
    <w:p w14:paraId="1A7BC335" w14:textId="77777777" w:rsidR="009F5D7B" w:rsidRPr="00EE0850" w:rsidRDefault="009F5D7B" w:rsidP="000C6220">
      <w:pPr>
        <w:pBdr>
          <w:top w:val="nil"/>
          <w:left w:val="nil"/>
          <w:bottom w:val="nil"/>
          <w:right w:val="nil"/>
          <w:between w:val="nil"/>
          <w:bar w:val="nil"/>
        </w:pBdr>
        <w:spacing w:before="120" w:line="240" w:lineRule="auto"/>
        <w:ind w:firstLine="709"/>
        <w:rPr>
          <w:snapToGrid w:val="0"/>
          <w:kern w:val="22"/>
          <w:szCs w:val="22"/>
        </w:rPr>
      </w:pPr>
      <w:r w:rsidRPr="00EE0850">
        <w:rPr>
          <w:snapToGrid w:val="0"/>
          <w:color w:val="000000"/>
          <w:kern w:val="22"/>
          <w:szCs w:val="22"/>
        </w:rPr>
        <w:t>(b)</w:t>
      </w:r>
      <w:r w:rsidRPr="00EE0850">
        <w:rPr>
          <w:snapToGrid w:val="0"/>
          <w:color w:val="000000"/>
          <w:kern w:val="22"/>
          <w:szCs w:val="22"/>
        </w:rPr>
        <w:tab/>
      </w:r>
      <w:r w:rsidRPr="00EE0850">
        <w:rPr>
          <w:snapToGrid w:val="0"/>
          <w:kern w:val="22"/>
          <w:szCs w:val="22"/>
        </w:rPr>
        <w:t xml:space="preserve">Encourage and assist with the publication of all available national information, in particular competent national authorities, </w:t>
      </w:r>
      <w:r w:rsidRPr="00EE0850">
        <w:rPr>
          <w:bCs/>
          <w:kern w:val="22"/>
          <w:szCs w:val="22"/>
        </w:rPr>
        <w:t>access and benefit-sharing</w:t>
      </w:r>
      <w:r w:rsidRPr="00EE0850" w:rsidDel="00897C24">
        <w:rPr>
          <w:snapToGrid w:val="0"/>
          <w:kern w:val="22"/>
          <w:szCs w:val="22"/>
        </w:rPr>
        <w:t xml:space="preserve"> </w:t>
      </w:r>
      <w:r w:rsidRPr="00EE0850">
        <w:rPr>
          <w:snapToGrid w:val="0"/>
          <w:kern w:val="22"/>
          <w:szCs w:val="22"/>
        </w:rPr>
        <w:t xml:space="preserve">measures, </w:t>
      </w:r>
      <w:r w:rsidRPr="00EE0850">
        <w:rPr>
          <w:bCs/>
          <w:kern w:val="22"/>
          <w:szCs w:val="22"/>
        </w:rPr>
        <w:t>access and benefit-sharing</w:t>
      </w:r>
      <w:r w:rsidRPr="00EE0850" w:rsidDel="00897C24">
        <w:rPr>
          <w:snapToGrid w:val="0"/>
          <w:kern w:val="22"/>
          <w:szCs w:val="22"/>
        </w:rPr>
        <w:t xml:space="preserve"> </w:t>
      </w:r>
      <w:r w:rsidRPr="00EE0850">
        <w:rPr>
          <w:snapToGrid w:val="0"/>
          <w:kern w:val="22"/>
          <w:szCs w:val="22"/>
        </w:rPr>
        <w:t xml:space="preserve">procedures, and </w:t>
      </w:r>
      <w:r w:rsidRPr="00EE0850">
        <w:rPr>
          <w:kern w:val="22"/>
          <w:szCs w:val="22"/>
        </w:rPr>
        <w:t>internationally recognized certificates of compliance,</w:t>
      </w:r>
      <w:r w:rsidRPr="00EE0850" w:rsidDel="00897C24">
        <w:rPr>
          <w:snapToGrid w:val="0"/>
          <w:kern w:val="22"/>
          <w:szCs w:val="22"/>
        </w:rPr>
        <w:t xml:space="preserve"> </w:t>
      </w:r>
      <w:r w:rsidRPr="00EE0850">
        <w:rPr>
          <w:snapToGrid w:val="0"/>
          <w:kern w:val="22"/>
          <w:szCs w:val="22"/>
        </w:rPr>
        <w:t>as necessary;</w:t>
      </w:r>
    </w:p>
    <w:p w14:paraId="18FC8F83" w14:textId="77777777" w:rsidR="009F5D7B" w:rsidRPr="00EE0850" w:rsidRDefault="009F5D7B" w:rsidP="000C6220">
      <w:pPr>
        <w:pBdr>
          <w:top w:val="nil"/>
          <w:left w:val="nil"/>
          <w:bottom w:val="nil"/>
          <w:right w:val="nil"/>
          <w:between w:val="nil"/>
          <w:bar w:val="nil"/>
        </w:pBdr>
        <w:spacing w:before="120" w:line="240" w:lineRule="auto"/>
        <w:ind w:firstLine="709"/>
        <w:rPr>
          <w:kern w:val="22"/>
          <w:szCs w:val="22"/>
        </w:rPr>
      </w:pPr>
      <w:r w:rsidRPr="00EE0850">
        <w:rPr>
          <w:color w:val="000000"/>
          <w:kern w:val="22"/>
          <w:szCs w:val="22"/>
        </w:rPr>
        <w:t>(c)</w:t>
      </w:r>
      <w:r w:rsidRPr="00EE0850">
        <w:rPr>
          <w:color w:val="000000"/>
          <w:kern w:val="22"/>
          <w:szCs w:val="22"/>
        </w:rPr>
        <w:tab/>
      </w:r>
      <w:r w:rsidRPr="00EE0850">
        <w:rPr>
          <w:snapToGrid w:val="0"/>
          <w:kern w:val="22"/>
          <w:szCs w:val="22"/>
        </w:rPr>
        <w:t>Engage with indigenous peoples and local communities and other relevant stakeholders and organizations to encourage submission of reference records;</w:t>
      </w:r>
    </w:p>
    <w:p w14:paraId="2C1A6477" w14:textId="77777777" w:rsidR="009F5D7B" w:rsidRPr="00EE0850" w:rsidRDefault="009F5D7B" w:rsidP="000C6220">
      <w:pPr>
        <w:pBdr>
          <w:top w:val="nil"/>
          <w:left w:val="nil"/>
          <w:bottom w:val="nil"/>
          <w:right w:val="nil"/>
          <w:between w:val="nil"/>
          <w:bar w:val="nil"/>
        </w:pBdr>
        <w:spacing w:before="120" w:line="240" w:lineRule="auto"/>
        <w:ind w:firstLine="709"/>
        <w:rPr>
          <w:kern w:val="22"/>
          <w:szCs w:val="22"/>
        </w:rPr>
      </w:pPr>
      <w:r w:rsidRPr="00EE0850">
        <w:rPr>
          <w:color w:val="000000"/>
          <w:kern w:val="22"/>
          <w:szCs w:val="22"/>
        </w:rPr>
        <w:t>(d)</w:t>
      </w:r>
      <w:r w:rsidRPr="00EE0850">
        <w:rPr>
          <w:color w:val="000000"/>
          <w:kern w:val="22"/>
          <w:szCs w:val="22"/>
        </w:rPr>
        <w:tab/>
      </w:r>
      <w:r w:rsidRPr="00EE0850">
        <w:rPr>
          <w:snapToGrid w:val="0"/>
          <w:kern w:val="22"/>
          <w:szCs w:val="22"/>
        </w:rPr>
        <w:t>Provide regular ABS Clearing-House announcements on updates and changes as well as related information for ABS Clearing-House users, in particular national focal points, publishing authorities and national authorized users;</w:t>
      </w:r>
    </w:p>
    <w:p w14:paraId="0B8CF4D6" w14:textId="77777777" w:rsidR="009F5D7B" w:rsidRPr="00EE0850" w:rsidRDefault="009F5D7B" w:rsidP="000C6220">
      <w:pPr>
        <w:keepNext/>
        <w:pBdr>
          <w:top w:val="nil"/>
          <w:left w:val="nil"/>
          <w:bottom w:val="nil"/>
          <w:right w:val="nil"/>
          <w:between w:val="nil"/>
          <w:bar w:val="nil"/>
        </w:pBdr>
        <w:spacing w:before="120" w:line="240" w:lineRule="auto"/>
        <w:rPr>
          <w:i/>
          <w:snapToGrid w:val="0"/>
          <w:kern w:val="22"/>
          <w:szCs w:val="22"/>
        </w:rPr>
      </w:pPr>
      <w:r w:rsidRPr="00EE0850">
        <w:rPr>
          <w:i/>
          <w:snapToGrid w:val="0"/>
          <w:kern w:val="22"/>
          <w:szCs w:val="22"/>
        </w:rPr>
        <w:t>Capacity-building</w:t>
      </w:r>
    </w:p>
    <w:p w14:paraId="399973C9" w14:textId="77777777" w:rsidR="009F5D7B" w:rsidRPr="00EE0850" w:rsidRDefault="009F5D7B" w:rsidP="000C6220">
      <w:pPr>
        <w:pBdr>
          <w:top w:val="nil"/>
          <w:left w:val="nil"/>
          <w:bottom w:val="nil"/>
          <w:right w:val="nil"/>
          <w:between w:val="nil"/>
          <w:bar w:val="nil"/>
        </w:pBdr>
        <w:spacing w:before="120" w:line="240" w:lineRule="auto"/>
        <w:ind w:firstLine="720"/>
        <w:rPr>
          <w:snapToGrid w:val="0"/>
          <w:kern w:val="22"/>
          <w:szCs w:val="22"/>
        </w:rPr>
      </w:pPr>
      <w:r w:rsidRPr="00EE0850">
        <w:rPr>
          <w:snapToGrid w:val="0"/>
          <w:color w:val="000000"/>
          <w:kern w:val="22"/>
          <w:szCs w:val="22"/>
        </w:rPr>
        <w:t>(a)</w:t>
      </w:r>
      <w:r w:rsidRPr="00EE0850">
        <w:rPr>
          <w:snapToGrid w:val="0"/>
          <w:color w:val="000000"/>
          <w:kern w:val="22"/>
          <w:szCs w:val="22"/>
        </w:rPr>
        <w:tab/>
      </w:r>
      <w:r w:rsidRPr="00EE0850">
        <w:rPr>
          <w:snapToGrid w:val="0"/>
          <w:kern w:val="22"/>
          <w:szCs w:val="22"/>
        </w:rPr>
        <w:t>Disseminate and promote the use of the ABS Clearing-House capacity-building resources, including the e-learning module and step-by-step guides;</w:t>
      </w:r>
    </w:p>
    <w:p w14:paraId="4EFBA8C8" w14:textId="77777777" w:rsidR="009F5D7B" w:rsidRPr="00EE0850" w:rsidRDefault="009F5D7B" w:rsidP="000C6220">
      <w:pPr>
        <w:pBdr>
          <w:top w:val="nil"/>
          <w:left w:val="nil"/>
          <w:bottom w:val="nil"/>
          <w:right w:val="nil"/>
          <w:between w:val="nil"/>
          <w:bar w:val="nil"/>
        </w:pBdr>
        <w:spacing w:before="120" w:line="240" w:lineRule="auto"/>
        <w:ind w:firstLine="720"/>
        <w:rPr>
          <w:snapToGrid w:val="0"/>
          <w:kern w:val="22"/>
          <w:szCs w:val="22"/>
        </w:rPr>
      </w:pPr>
      <w:r w:rsidRPr="00EE0850">
        <w:rPr>
          <w:snapToGrid w:val="0"/>
          <w:color w:val="000000"/>
          <w:kern w:val="22"/>
          <w:szCs w:val="22"/>
        </w:rPr>
        <w:t>(b)</w:t>
      </w:r>
      <w:r w:rsidRPr="00EE0850">
        <w:rPr>
          <w:snapToGrid w:val="0"/>
          <w:color w:val="000000"/>
          <w:kern w:val="22"/>
          <w:szCs w:val="22"/>
        </w:rPr>
        <w:tab/>
      </w:r>
      <w:r w:rsidRPr="00EE0850">
        <w:rPr>
          <w:snapToGrid w:val="0"/>
          <w:kern w:val="22"/>
          <w:szCs w:val="22"/>
        </w:rPr>
        <w:t>Translate capacity-building resources developed by the Executive Secretary for the ABS Clearing-House and make them available in all official languages of the United Nations;</w:t>
      </w:r>
    </w:p>
    <w:p w14:paraId="2786D46E" w14:textId="77777777" w:rsidR="009F5D7B" w:rsidRPr="00EE0850" w:rsidRDefault="009F5D7B" w:rsidP="000C6220">
      <w:pPr>
        <w:pBdr>
          <w:top w:val="nil"/>
          <w:left w:val="nil"/>
          <w:bottom w:val="nil"/>
          <w:right w:val="nil"/>
          <w:between w:val="nil"/>
          <w:bar w:val="nil"/>
        </w:pBdr>
        <w:spacing w:before="120" w:line="240" w:lineRule="auto"/>
        <w:ind w:firstLine="720"/>
        <w:rPr>
          <w:kern w:val="22"/>
          <w:szCs w:val="22"/>
        </w:rPr>
      </w:pPr>
      <w:r w:rsidRPr="00EE0850">
        <w:rPr>
          <w:snapToGrid w:val="0"/>
          <w:color w:val="000000"/>
          <w:kern w:val="22"/>
          <w:szCs w:val="22"/>
        </w:rPr>
        <w:t>(c)</w:t>
      </w:r>
      <w:r w:rsidRPr="00EE0850">
        <w:rPr>
          <w:snapToGrid w:val="0"/>
          <w:color w:val="000000"/>
          <w:kern w:val="22"/>
          <w:szCs w:val="22"/>
        </w:rPr>
        <w:tab/>
      </w:r>
      <w:r w:rsidRPr="00EE0850">
        <w:rPr>
          <w:snapToGrid w:val="0"/>
          <w:kern w:val="22"/>
          <w:szCs w:val="22"/>
        </w:rPr>
        <w:t>Continue to provide face-to-face training (subject to available funding), as well as remote training upon request, as needed;</w:t>
      </w:r>
    </w:p>
    <w:p w14:paraId="7A903648" w14:textId="77777777" w:rsidR="009F5D7B" w:rsidRPr="00EE0850" w:rsidRDefault="009F5D7B" w:rsidP="000C6220">
      <w:pPr>
        <w:pBdr>
          <w:top w:val="nil"/>
          <w:left w:val="nil"/>
          <w:bottom w:val="nil"/>
          <w:right w:val="nil"/>
          <w:between w:val="nil"/>
          <w:bar w:val="nil"/>
        </w:pBdr>
        <w:spacing w:before="120" w:line="240" w:lineRule="auto"/>
        <w:ind w:firstLine="720"/>
        <w:rPr>
          <w:snapToGrid w:val="0"/>
          <w:kern w:val="22"/>
          <w:szCs w:val="22"/>
        </w:rPr>
      </w:pPr>
      <w:r w:rsidRPr="00EE0850">
        <w:rPr>
          <w:snapToGrid w:val="0"/>
          <w:color w:val="000000"/>
          <w:kern w:val="22"/>
          <w:szCs w:val="22"/>
        </w:rPr>
        <w:t>(d)</w:t>
      </w:r>
      <w:r w:rsidRPr="00EE0850">
        <w:rPr>
          <w:snapToGrid w:val="0"/>
          <w:color w:val="000000"/>
          <w:kern w:val="22"/>
          <w:szCs w:val="22"/>
        </w:rPr>
        <w:tab/>
      </w:r>
      <w:r w:rsidRPr="00EE0850">
        <w:rPr>
          <w:snapToGrid w:val="0"/>
          <w:kern w:val="22"/>
          <w:szCs w:val="22"/>
        </w:rPr>
        <w:t>Collaborate with partners developing capacity-building projects to ensure they include relevant activities to support and promote the use of the ABS Clearing-House;</w:t>
      </w:r>
    </w:p>
    <w:p w14:paraId="097F5C73" w14:textId="77777777" w:rsidR="009F5D7B" w:rsidRPr="00EE0850" w:rsidRDefault="009F5D7B" w:rsidP="000C6220">
      <w:pPr>
        <w:pBdr>
          <w:top w:val="nil"/>
          <w:left w:val="nil"/>
          <w:bottom w:val="nil"/>
          <w:right w:val="nil"/>
          <w:between w:val="nil"/>
          <w:bar w:val="nil"/>
        </w:pBdr>
        <w:spacing w:before="120" w:line="240" w:lineRule="auto"/>
        <w:ind w:firstLine="720"/>
        <w:rPr>
          <w:snapToGrid w:val="0"/>
          <w:kern w:val="22"/>
          <w:szCs w:val="22"/>
        </w:rPr>
      </w:pPr>
      <w:r w:rsidRPr="00EE0850">
        <w:rPr>
          <w:snapToGrid w:val="0"/>
          <w:color w:val="000000"/>
          <w:kern w:val="22"/>
          <w:szCs w:val="22"/>
        </w:rPr>
        <w:t>(e)</w:t>
      </w:r>
      <w:r w:rsidRPr="00EE0850">
        <w:rPr>
          <w:snapToGrid w:val="0"/>
          <w:color w:val="000000"/>
          <w:kern w:val="22"/>
          <w:szCs w:val="22"/>
        </w:rPr>
        <w:tab/>
      </w:r>
      <w:r w:rsidRPr="00EE0850">
        <w:rPr>
          <w:snapToGrid w:val="0"/>
          <w:kern w:val="22"/>
          <w:szCs w:val="22"/>
        </w:rPr>
        <w:t>Raise awareness of the ABS Clearing-House among indigenous peoples and local communities and other relevant stakeholders, such as the business and scientific communities;</w:t>
      </w:r>
    </w:p>
    <w:p w14:paraId="760A57A7" w14:textId="77777777" w:rsidR="009F5D7B" w:rsidRPr="00EE0850" w:rsidRDefault="009F5D7B" w:rsidP="000C6220">
      <w:pPr>
        <w:pBdr>
          <w:top w:val="nil"/>
          <w:left w:val="nil"/>
          <w:bottom w:val="nil"/>
          <w:right w:val="nil"/>
          <w:between w:val="nil"/>
          <w:bar w:val="nil"/>
        </w:pBdr>
        <w:spacing w:before="120" w:line="240" w:lineRule="auto"/>
        <w:ind w:firstLine="720"/>
        <w:rPr>
          <w:snapToGrid w:val="0"/>
          <w:kern w:val="22"/>
          <w:szCs w:val="22"/>
        </w:rPr>
      </w:pPr>
      <w:r w:rsidRPr="00EE0850">
        <w:rPr>
          <w:snapToGrid w:val="0"/>
          <w:color w:val="000000"/>
          <w:kern w:val="22"/>
          <w:szCs w:val="22"/>
        </w:rPr>
        <w:t>(f)</w:t>
      </w:r>
      <w:r w:rsidRPr="00EE0850">
        <w:rPr>
          <w:snapToGrid w:val="0"/>
          <w:color w:val="000000"/>
          <w:kern w:val="22"/>
          <w:szCs w:val="22"/>
        </w:rPr>
        <w:tab/>
      </w:r>
      <w:r w:rsidRPr="00EE0850">
        <w:rPr>
          <w:snapToGrid w:val="0"/>
          <w:kern w:val="22"/>
          <w:szCs w:val="22"/>
        </w:rPr>
        <w:t>Raise awareness of the ABS Clearing-House in relevant international forums dealing with ABS-related issues;</w:t>
      </w:r>
    </w:p>
    <w:p w14:paraId="05D1A47F" w14:textId="77777777" w:rsidR="009F5D7B" w:rsidRPr="00EE0850" w:rsidRDefault="009F5D7B" w:rsidP="000C6220">
      <w:pPr>
        <w:keepNext/>
        <w:pBdr>
          <w:top w:val="nil"/>
          <w:left w:val="nil"/>
          <w:bottom w:val="nil"/>
          <w:right w:val="nil"/>
          <w:between w:val="nil"/>
          <w:bar w:val="nil"/>
        </w:pBdr>
        <w:spacing w:before="120" w:line="240" w:lineRule="auto"/>
        <w:rPr>
          <w:i/>
          <w:snapToGrid w:val="0"/>
          <w:kern w:val="22"/>
          <w:szCs w:val="22"/>
        </w:rPr>
      </w:pPr>
      <w:r w:rsidRPr="00EE0850">
        <w:rPr>
          <w:i/>
          <w:snapToGrid w:val="0"/>
          <w:kern w:val="22"/>
          <w:szCs w:val="22"/>
        </w:rPr>
        <w:t>Interoperability and collaboration</w:t>
      </w:r>
    </w:p>
    <w:p w14:paraId="56A0554E"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(a)</w:t>
      </w:r>
      <w:r w:rsidRPr="00EE0850">
        <w:rPr>
          <w:snapToGrid w:val="0"/>
          <w:color w:val="000000"/>
          <w:kern w:val="22"/>
          <w:szCs w:val="22"/>
        </w:rPr>
        <w:tab/>
      </w:r>
      <w:r w:rsidRPr="00EE0850">
        <w:rPr>
          <w:snapToGrid w:val="0"/>
          <w:kern w:val="22"/>
          <w:szCs w:val="22"/>
        </w:rPr>
        <w:t xml:space="preserve">Continue to raise awareness and support capacity-building regarding the use of the interoperability mechanisms such as the </w:t>
      </w:r>
      <w:r w:rsidRPr="00EE0850">
        <w:rPr>
          <w:rFonts w:eastAsia="Arial Unicode MS"/>
          <w:kern w:val="22"/>
          <w:szCs w:val="22"/>
          <w:u w:color="000000"/>
          <w:bdr w:val="nil"/>
        </w:rPr>
        <w:t>application programming interface (</w:t>
      </w:r>
      <w:r w:rsidRPr="00EE0850">
        <w:rPr>
          <w:snapToGrid w:val="0"/>
          <w:kern w:val="22"/>
          <w:szCs w:val="22"/>
        </w:rPr>
        <w:t>API) including by providing relevant documentation, such as lessons learned and examples;</w:t>
      </w:r>
    </w:p>
    <w:p w14:paraId="5FF581E0"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(b)</w:t>
      </w:r>
      <w:r w:rsidRPr="00EE0850">
        <w:rPr>
          <w:snapToGrid w:val="0"/>
          <w:color w:val="000000"/>
          <w:kern w:val="22"/>
          <w:szCs w:val="22"/>
        </w:rPr>
        <w:tab/>
      </w:r>
      <w:r w:rsidRPr="00EE0850">
        <w:rPr>
          <w:snapToGrid w:val="0"/>
          <w:kern w:val="22"/>
          <w:szCs w:val="22"/>
        </w:rPr>
        <w:t>Facilitate the exchange of information with relevant national databases and systems;</w:t>
      </w:r>
    </w:p>
    <w:p w14:paraId="688467D5"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kern w:val="22"/>
          <w:szCs w:val="22"/>
        </w:rPr>
        <w:t>(c)</w:t>
      </w:r>
      <w:r w:rsidRPr="00EE0850">
        <w:rPr>
          <w:snapToGrid w:val="0"/>
          <w:kern w:val="22"/>
          <w:szCs w:val="22"/>
        </w:rPr>
        <w:tab/>
        <w:t xml:space="preserve">Explore how the </w:t>
      </w:r>
      <w:proofErr w:type="spellStart"/>
      <w:r w:rsidRPr="00EE0850">
        <w:rPr>
          <w:snapToGrid w:val="0"/>
          <w:kern w:val="22"/>
          <w:szCs w:val="22"/>
        </w:rPr>
        <w:t>Bioland</w:t>
      </w:r>
      <w:proofErr w:type="spellEnd"/>
      <w:r w:rsidRPr="00EE0850">
        <w:rPr>
          <w:snapToGrid w:val="0"/>
          <w:kern w:val="22"/>
          <w:szCs w:val="22"/>
        </w:rPr>
        <w:t xml:space="preserve"> Tool for National Clearing-House Mechanisms can be used to facilitate the exchange of information related to access and benefit-sharing;</w:t>
      </w:r>
    </w:p>
    <w:p w14:paraId="3A904114"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(d)</w:t>
      </w:r>
      <w:r w:rsidRPr="00EE0850">
        <w:rPr>
          <w:snapToGrid w:val="0"/>
          <w:color w:val="000000"/>
          <w:kern w:val="22"/>
          <w:szCs w:val="22"/>
        </w:rPr>
        <w:tab/>
      </w:r>
      <w:r w:rsidRPr="00EE0850">
        <w:rPr>
          <w:snapToGrid w:val="0"/>
          <w:kern w:val="22"/>
          <w:szCs w:val="22"/>
        </w:rPr>
        <w:t xml:space="preserve">Continue to collaborate with relevant instruments and initiatives (such as the International Treaty on Plant Genetic Resources for Food and Agriculture–Global Information System, </w:t>
      </w:r>
      <w:proofErr w:type="spellStart"/>
      <w:r w:rsidRPr="00EE0850">
        <w:rPr>
          <w:snapToGrid w:val="0"/>
          <w:kern w:val="22"/>
          <w:szCs w:val="22"/>
        </w:rPr>
        <w:t>InforMEA</w:t>
      </w:r>
      <w:proofErr w:type="spellEnd"/>
      <w:r w:rsidRPr="00EE0850">
        <w:rPr>
          <w:snapToGrid w:val="0"/>
          <w:kern w:val="22"/>
          <w:szCs w:val="22"/>
        </w:rPr>
        <w:t xml:space="preserve">, </w:t>
      </w:r>
      <w:r w:rsidRPr="00EE0850">
        <w:rPr>
          <w:kern w:val="22"/>
          <w:szCs w:val="22"/>
        </w:rPr>
        <w:t>World Federation for Culture Collections</w:t>
      </w:r>
      <w:r w:rsidRPr="00EE0850">
        <w:rPr>
          <w:snapToGrid w:val="0"/>
          <w:kern w:val="22"/>
          <w:szCs w:val="22"/>
        </w:rPr>
        <w:t>);</w:t>
      </w:r>
    </w:p>
    <w:p w14:paraId="4B1D68EB" w14:textId="77777777" w:rsidR="009F5D7B" w:rsidRPr="00EE0850" w:rsidRDefault="009F5D7B" w:rsidP="000C6220">
      <w:pPr>
        <w:keepNext/>
        <w:pBdr>
          <w:top w:val="nil"/>
          <w:left w:val="nil"/>
          <w:bottom w:val="nil"/>
          <w:right w:val="nil"/>
          <w:between w:val="nil"/>
          <w:bar w:val="nil"/>
        </w:pBdr>
        <w:spacing w:before="120" w:line="240" w:lineRule="auto"/>
        <w:ind w:left="864" w:hanging="864"/>
        <w:rPr>
          <w:b/>
          <w:snapToGrid w:val="0"/>
          <w:kern w:val="22"/>
          <w:szCs w:val="22"/>
        </w:rPr>
      </w:pPr>
      <w:r w:rsidRPr="00EE0850">
        <w:rPr>
          <w:b/>
          <w:snapToGrid w:val="0"/>
          <w:kern w:val="22"/>
          <w:szCs w:val="22"/>
        </w:rPr>
        <w:t>Goal 2.</w:t>
      </w:r>
      <w:r w:rsidRPr="00EE0850">
        <w:rPr>
          <w:b/>
          <w:snapToGrid w:val="0"/>
          <w:kern w:val="22"/>
          <w:szCs w:val="22"/>
        </w:rPr>
        <w:tab/>
        <w:t xml:space="preserve">Translation and functionality for operationalizing the </w:t>
      </w:r>
      <w:r w:rsidRPr="00EE0850">
        <w:rPr>
          <w:b/>
          <w:bCs/>
          <w:kern w:val="22"/>
          <w:szCs w:val="22"/>
        </w:rPr>
        <w:t>Access and Benefit-sharing</w:t>
      </w:r>
      <w:r w:rsidRPr="00EE0850" w:rsidDel="00C2193C">
        <w:rPr>
          <w:b/>
          <w:snapToGrid w:val="0"/>
          <w:kern w:val="22"/>
          <w:szCs w:val="22"/>
        </w:rPr>
        <w:t xml:space="preserve"> </w:t>
      </w:r>
      <w:r w:rsidRPr="00EE0850">
        <w:rPr>
          <w:b/>
          <w:snapToGrid w:val="0"/>
          <w:kern w:val="22"/>
          <w:szCs w:val="22"/>
        </w:rPr>
        <w:t>Clearing-House in the six official languages of the United Nations</w:t>
      </w:r>
    </w:p>
    <w:p w14:paraId="424ED23E"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(a)</w:t>
      </w:r>
      <w:r w:rsidRPr="00EE0850">
        <w:rPr>
          <w:snapToGrid w:val="0"/>
          <w:color w:val="000000"/>
          <w:kern w:val="22"/>
          <w:szCs w:val="22"/>
        </w:rPr>
        <w:tab/>
      </w:r>
      <w:r w:rsidRPr="00EE0850">
        <w:rPr>
          <w:snapToGrid w:val="0"/>
          <w:kern w:val="22"/>
          <w:szCs w:val="22"/>
        </w:rPr>
        <w:t>Continue the translation of the ABS Clearing-House as a top priority;</w:t>
      </w:r>
    </w:p>
    <w:p w14:paraId="64E46A50"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(b)</w:t>
      </w:r>
      <w:r w:rsidRPr="00EE0850">
        <w:rPr>
          <w:snapToGrid w:val="0"/>
          <w:color w:val="000000"/>
          <w:kern w:val="22"/>
          <w:szCs w:val="22"/>
        </w:rPr>
        <w:tab/>
      </w:r>
      <w:r w:rsidRPr="00EE0850">
        <w:rPr>
          <w:snapToGrid w:val="0"/>
          <w:kern w:val="22"/>
          <w:szCs w:val="22"/>
        </w:rPr>
        <w:t xml:space="preserve">Ensure that mechanisms and standard procedures remain in place to enable </w:t>
      </w:r>
      <w:r w:rsidRPr="00EE0850">
        <w:rPr>
          <w:kern w:val="22"/>
          <w:szCs w:val="22"/>
        </w:rPr>
        <w:t>website translation to continue in a timely fashion;</w:t>
      </w:r>
    </w:p>
    <w:p w14:paraId="29CF7E71" w14:textId="77777777" w:rsidR="009F5D7B" w:rsidRPr="00EE0850" w:rsidRDefault="009F5D7B" w:rsidP="000C6220">
      <w:pPr>
        <w:keepNext/>
        <w:pBdr>
          <w:top w:val="nil"/>
          <w:left w:val="nil"/>
          <w:bottom w:val="nil"/>
          <w:right w:val="nil"/>
          <w:between w:val="nil"/>
          <w:bar w:val="nil"/>
        </w:pBdr>
        <w:spacing w:before="120" w:line="240" w:lineRule="auto"/>
        <w:ind w:left="864" w:hanging="864"/>
        <w:rPr>
          <w:b/>
          <w:snapToGrid w:val="0"/>
          <w:kern w:val="22"/>
          <w:szCs w:val="22"/>
        </w:rPr>
      </w:pPr>
      <w:r w:rsidRPr="00EE0850">
        <w:rPr>
          <w:b/>
          <w:snapToGrid w:val="0"/>
          <w:kern w:val="22"/>
          <w:szCs w:val="22"/>
        </w:rPr>
        <w:t>Goal 3.</w:t>
      </w:r>
      <w:r w:rsidRPr="00EE0850">
        <w:rPr>
          <w:b/>
          <w:snapToGrid w:val="0"/>
          <w:kern w:val="22"/>
          <w:szCs w:val="22"/>
        </w:rPr>
        <w:tab/>
        <w:t>Maintenance and improvement of functionality</w:t>
      </w:r>
    </w:p>
    <w:p w14:paraId="183286CD"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(a)</w:t>
      </w:r>
      <w:r w:rsidRPr="00EE0850">
        <w:rPr>
          <w:snapToGrid w:val="0"/>
          <w:color w:val="000000"/>
          <w:kern w:val="22"/>
          <w:szCs w:val="22"/>
        </w:rPr>
        <w:tab/>
      </w:r>
      <w:r w:rsidRPr="00EE0850">
        <w:rPr>
          <w:snapToGrid w:val="0"/>
          <w:kern w:val="22"/>
          <w:szCs w:val="22"/>
        </w:rPr>
        <w:t>Maintain and improve functionalities and finalize remaining issues;</w:t>
      </w:r>
    </w:p>
    <w:p w14:paraId="656A2077"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(b)</w:t>
      </w:r>
      <w:r w:rsidRPr="00EE0850">
        <w:rPr>
          <w:snapToGrid w:val="0"/>
          <w:color w:val="000000"/>
          <w:kern w:val="22"/>
          <w:szCs w:val="22"/>
        </w:rPr>
        <w:tab/>
      </w:r>
      <w:r w:rsidRPr="00EE0850">
        <w:rPr>
          <w:snapToGrid w:val="0"/>
          <w:kern w:val="22"/>
          <w:szCs w:val="22"/>
        </w:rPr>
        <w:t>Finalize documentation of the application programming interface, the main mechanism for interoperability;</w:t>
      </w:r>
    </w:p>
    <w:p w14:paraId="336C65B3"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(c)</w:t>
      </w:r>
      <w:r w:rsidRPr="00EE0850">
        <w:rPr>
          <w:snapToGrid w:val="0"/>
          <w:color w:val="000000"/>
          <w:kern w:val="22"/>
          <w:szCs w:val="22"/>
        </w:rPr>
        <w:tab/>
      </w:r>
      <w:r w:rsidRPr="00EE0850">
        <w:rPr>
          <w:snapToGrid w:val="0"/>
          <w:kern w:val="22"/>
          <w:szCs w:val="22"/>
        </w:rPr>
        <w:t>Improve search functionality in order to sort and group records, as well as explore, analyse and present the published information in meaningful ways, including information related to capacity</w:t>
      </w:r>
      <w:r w:rsidRPr="00EE0850">
        <w:rPr>
          <w:snapToGrid w:val="0"/>
          <w:kern w:val="22"/>
          <w:szCs w:val="22"/>
        </w:rPr>
        <w:noBreakHyphen/>
        <w:t>building and making use of maps, charts and graphs, as appropriate;</w:t>
      </w:r>
    </w:p>
    <w:p w14:paraId="60865027"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(d)</w:t>
      </w:r>
      <w:r w:rsidRPr="00EE0850">
        <w:rPr>
          <w:snapToGrid w:val="0"/>
          <w:color w:val="000000"/>
          <w:kern w:val="22"/>
          <w:szCs w:val="22"/>
        </w:rPr>
        <w:tab/>
      </w:r>
      <w:r w:rsidRPr="00EE0850">
        <w:rPr>
          <w:snapToGrid w:val="0"/>
          <w:kern w:val="22"/>
          <w:szCs w:val="22"/>
        </w:rPr>
        <w:t>Improve management of the common vocabularies (thesaurus), including how information is tagged with keywords to improve the retrieval of information;</w:t>
      </w:r>
    </w:p>
    <w:p w14:paraId="1BBDD6FD"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09"/>
        <w:rPr>
          <w:snapToGrid w:val="0"/>
          <w:kern w:val="22"/>
          <w:szCs w:val="22"/>
        </w:rPr>
      </w:pPr>
      <w:r w:rsidRPr="00EE0850">
        <w:rPr>
          <w:snapToGrid w:val="0"/>
          <w:color w:val="000000"/>
          <w:kern w:val="22"/>
          <w:szCs w:val="22"/>
        </w:rPr>
        <w:t>(e)</w:t>
      </w:r>
      <w:r w:rsidRPr="00EE0850">
        <w:rPr>
          <w:snapToGrid w:val="0"/>
          <w:color w:val="000000"/>
          <w:kern w:val="22"/>
          <w:szCs w:val="22"/>
        </w:rPr>
        <w:tab/>
      </w:r>
      <w:r w:rsidRPr="00EE0850">
        <w:rPr>
          <w:snapToGrid w:val="0"/>
          <w:kern w:val="22"/>
          <w:szCs w:val="22"/>
        </w:rPr>
        <w:t>Enhance website analytics to include tracking downloads and views of individual records and the files attached to them and provide national users with the relevant analytics and information;</w:t>
      </w:r>
    </w:p>
    <w:p w14:paraId="5CED7430"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09"/>
        <w:rPr>
          <w:snapToGrid w:val="0"/>
          <w:kern w:val="22"/>
          <w:szCs w:val="22"/>
        </w:rPr>
      </w:pPr>
      <w:r w:rsidRPr="00EE0850">
        <w:rPr>
          <w:snapToGrid w:val="0"/>
          <w:color w:val="000000"/>
          <w:kern w:val="22"/>
          <w:szCs w:val="22"/>
        </w:rPr>
        <w:t>(f)</w:t>
      </w:r>
      <w:r w:rsidRPr="00EE0850">
        <w:rPr>
          <w:snapToGrid w:val="0"/>
          <w:color w:val="000000"/>
          <w:kern w:val="22"/>
          <w:szCs w:val="22"/>
        </w:rPr>
        <w:tab/>
      </w:r>
      <w:r w:rsidRPr="00EE0850">
        <w:rPr>
          <w:snapToGrid w:val="0"/>
          <w:kern w:val="22"/>
          <w:szCs w:val="22"/>
        </w:rPr>
        <w:t>Improve functionality to allow the easy updating of records that include references to older versions of records;</w:t>
      </w:r>
    </w:p>
    <w:p w14:paraId="1C8F2BD5" w14:textId="77777777" w:rsidR="009F5D7B" w:rsidRPr="00EE0850" w:rsidRDefault="009F5D7B" w:rsidP="000C6220">
      <w:pPr>
        <w:keepNext/>
        <w:pBdr>
          <w:top w:val="nil"/>
          <w:left w:val="nil"/>
          <w:bottom w:val="nil"/>
          <w:right w:val="nil"/>
          <w:between w:val="nil"/>
          <w:bar w:val="nil"/>
        </w:pBdr>
        <w:spacing w:before="120" w:line="240" w:lineRule="auto"/>
        <w:ind w:left="864" w:hanging="864"/>
        <w:rPr>
          <w:b/>
          <w:snapToGrid w:val="0"/>
          <w:kern w:val="22"/>
          <w:szCs w:val="22"/>
        </w:rPr>
      </w:pPr>
      <w:r w:rsidRPr="00EE0850">
        <w:rPr>
          <w:b/>
          <w:snapToGrid w:val="0"/>
          <w:kern w:val="22"/>
          <w:szCs w:val="22"/>
        </w:rPr>
        <w:t>Goal 4.</w:t>
      </w:r>
      <w:r w:rsidRPr="00EE0850">
        <w:rPr>
          <w:b/>
          <w:snapToGrid w:val="0"/>
          <w:kern w:val="22"/>
          <w:szCs w:val="22"/>
        </w:rPr>
        <w:tab/>
        <w:t>Integration with the clearing-house mechanism</w:t>
      </w:r>
    </w:p>
    <w:p w14:paraId="3B914E6A" w14:textId="6F9D92A1"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(a)</w:t>
      </w:r>
      <w:r w:rsidRPr="00EE0850">
        <w:rPr>
          <w:snapToGrid w:val="0"/>
          <w:color w:val="000000"/>
          <w:kern w:val="22"/>
          <w:szCs w:val="22"/>
        </w:rPr>
        <w:tab/>
      </w:r>
      <w:r w:rsidRPr="00EE0850">
        <w:rPr>
          <w:snapToGrid w:val="0"/>
          <w:kern w:val="22"/>
          <w:szCs w:val="22"/>
        </w:rPr>
        <w:t xml:space="preserve">Continue to support the implementation of </w:t>
      </w:r>
      <w:r w:rsidR="00422B1D" w:rsidRPr="00EE0850">
        <w:rPr>
          <w:snapToGrid w:val="0"/>
          <w:kern w:val="22"/>
          <w:szCs w:val="22"/>
        </w:rPr>
        <w:t xml:space="preserve">the </w:t>
      </w:r>
      <w:r w:rsidRPr="00EE0850">
        <w:rPr>
          <w:snapToGrid w:val="0"/>
          <w:kern w:val="22"/>
          <w:szCs w:val="22"/>
        </w:rPr>
        <w:t>CBD web strategy;</w:t>
      </w:r>
    </w:p>
    <w:p w14:paraId="507A0FA6" w14:textId="77777777" w:rsidR="009F5D7B" w:rsidRPr="00EE0850" w:rsidRDefault="009F5D7B" w:rsidP="000C6220">
      <w:pPr>
        <w:pBdr>
          <w:top w:val="nil"/>
          <w:left w:val="nil"/>
          <w:bottom w:val="nil"/>
          <w:right w:val="nil"/>
          <w:between w:val="nil"/>
          <w:bar w:val="nil"/>
        </w:pBdr>
        <w:tabs>
          <w:tab w:val="left" w:pos="1260"/>
        </w:tabs>
        <w:spacing w:before="120" w:line="240" w:lineRule="auto"/>
        <w:ind w:firstLine="720"/>
        <w:rPr>
          <w:snapToGrid w:val="0"/>
          <w:kern w:val="22"/>
          <w:szCs w:val="22"/>
        </w:rPr>
      </w:pPr>
      <w:r w:rsidRPr="00EE0850">
        <w:rPr>
          <w:snapToGrid w:val="0"/>
          <w:color w:val="000000"/>
          <w:kern w:val="22"/>
          <w:szCs w:val="22"/>
        </w:rPr>
        <w:t>(b)</w:t>
      </w:r>
      <w:r w:rsidRPr="00EE0850">
        <w:rPr>
          <w:snapToGrid w:val="0"/>
          <w:color w:val="000000"/>
          <w:kern w:val="22"/>
          <w:szCs w:val="22"/>
        </w:rPr>
        <w:tab/>
      </w:r>
      <w:r w:rsidRPr="00EE0850">
        <w:rPr>
          <w:snapToGrid w:val="0"/>
          <w:kern w:val="22"/>
          <w:szCs w:val="22"/>
        </w:rPr>
        <w:t xml:space="preserve">Support the integration of the central clearing-house of the Convention and the Biosafety Clearing-House with the </w:t>
      </w:r>
      <w:r w:rsidRPr="00EE0850">
        <w:rPr>
          <w:kern w:val="22"/>
          <w:szCs w:val="22"/>
        </w:rPr>
        <w:t>Access and Benefit-sharing</w:t>
      </w:r>
      <w:r w:rsidRPr="00EE0850" w:rsidDel="00B527C5">
        <w:rPr>
          <w:snapToGrid w:val="0"/>
          <w:kern w:val="22"/>
          <w:szCs w:val="22"/>
        </w:rPr>
        <w:t xml:space="preserve"> </w:t>
      </w:r>
      <w:r w:rsidRPr="00EE0850">
        <w:rPr>
          <w:snapToGrid w:val="0"/>
          <w:kern w:val="22"/>
          <w:szCs w:val="22"/>
        </w:rPr>
        <w:t>Clearing-House under a single platform</w:t>
      </w:r>
      <w:r w:rsidRPr="00EE0850" w:rsidDel="00767F7E">
        <w:rPr>
          <w:snapToGrid w:val="0"/>
          <w:kern w:val="22"/>
          <w:szCs w:val="22"/>
        </w:rPr>
        <w:t xml:space="preserve"> </w:t>
      </w:r>
      <w:r w:rsidRPr="00EE0850">
        <w:rPr>
          <w:snapToGrid w:val="0"/>
          <w:kern w:val="22"/>
          <w:szCs w:val="22"/>
        </w:rPr>
        <w:t>in order to ensure a coordinated approach to web development and related information technology infrastructure.</w:t>
      </w:r>
    </w:p>
    <w:p w14:paraId="75B736A8" w14:textId="77777777" w:rsidR="009F5D7B" w:rsidRPr="00EE0850" w:rsidRDefault="009F5D7B" w:rsidP="000C6220">
      <w:pPr>
        <w:spacing w:before="120" w:line="240" w:lineRule="auto"/>
        <w:rPr>
          <w:kern w:val="22"/>
          <w:szCs w:val="22"/>
        </w:rPr>
      </w:pPr>
    </w:p>
    <w:p w14:paraId="10B8C5B1" w14:textId="61719B66" w:rsidR="007A0D55" w:rsidRPr="00EE0850" w:rsidRDefault="007A0D55" w:rsidP="000C6220">
      <w:pPr>
        <w:spacing w:before="120" w:line="240" w:lineRule="auto"/>
        <w:jc w:val="left"/>
        <w:rPr>
          <w:kern w:val="22"/>
        </w:rPr>
      </w:pPr>
      <w:r w:rsidRPr="00EE0850">
        <w:rPr>
          <w:kern w:val="22"/>
        </w:rPr>
        <w:br w:type="page"/>
      </w:r>
    </w:p>
    <w:p w14:paraId="63F0C3E3" w14:textId="590AFC20" w:rsidR="009F5D7B" w:rsidRPr="00EE0850" w:rsidRDefault="009F5D7B" w:rsidP="000C6220">
      <w:pPr>
        <w:pStyle w:val="recommendationheader"/>
        <w:tabs>
          <w:tab w:val="clear" w:pos="720"/>
        </w:tabs>
        <w:spacing w:line="240" w:lineRule="auto"/>
      </w:pPr>
      <w:bookmarkStart w:id="5" w:name="_Toc256204"/>
      <w:r w:rsidRPr="00EE0850">
        <w:t>3/4.</w:t>
      </w:r>
      <w:r w:rsidRPr="00EE0850">
        <w:tab/>
        <w:t>Monitoring and reporting (Article 29)</w:t>
      </w:r>
      <w:bookmarkEnd w:id="5"/>
    </w:p>
    <w:p w14:paraId="29DE3FA9" w14:textId="0BB6192E" w:rsidR="009F5D7B" w:rsidRPr="00EE0850" w:rsidRDefault="009F5D7B" w:rsidP="000C6220">
      <w:pPr>
        <w:pStyle w:val="Para1"/>
        <w:numPr>
          <w:ilvl w:val="0"/>
          <w:numId w:val="0"/>
        </w:numPr>
        <w:suppressLineNumbers/>
        <w:suppressAutoHyphens/>
        <w:kinsoku w:val="0"/>
        <w:overflowPunct w:val="0"/>
        <w:autoSpaceDE w:val="0"/>
        <w:autoSpaceDN w:val="0"/>
        <w:adjustRightInd w:val="0"/>
        <w:snapToGrid w:val="0"/>
        <w:spacing w:line="240" w:lineRule="auto"/>
        <w:ind w:firstLine="720"/>
        <w:rPr>
          <w:i/>
          <w:kern w:val="22"/>
          <w:szCs w:val="22"/>
        </w:rPr>
      </w:pPr>
      <w:r w:rsidRPr="00EE0850">
        <w:rPr>
          <w:i/>
          <w:kern w:val="22"/>
          <w:szCs w:val="22"/>
        </w:rPr>
        <w:t>The Conference of the Parties serving as the meeting of the Parties to the Nagoya Protocol on Access and Benefit-sharing,</w:t>
      </w:r>
    </w:p>
    <w:p w14:paraId="4E3D05F8" w14:textId="77777777" w:rsidR="009F5D7B" w:rsidRPr="00EE0850" w:rsidRDefault="009F5D7B" w:rsidP="000C6220">
      <w:pPr>
        <w:pStyle w:val="Para1"/>
        <w:numPr>
          <w:ilvl w:val="0"/>
          <w:numId w:val="0"/>
        </w:numPr>
        <w:suppressLineNumbers/>
        <w:suppressAutoHyphens/>
        <w:kinsoku w:val="0"/>
        <w:overflowPunct w:val="0"/>
        <w:autoSpaceDE w:val="0"/>
        <w:autoSpaceDN w:val="0"/>
        <w:adjustRightInd w:val="0"/>
        <w:snapToGrid w:val="0"/>
        <w:spacing w:line="240" w:lineRule="auto"/>
        <w:ind w:firstLine="720"/>
        <w:rPr>
          <w:kern w:val="22"/>
          <w:szCs w:val="22"/>
        </w:rPr>
      </w:pPr>
      <w:r w:rsidRPr="00EE0850">
        <w:rPr>
          <w:i/>
          <w:kern w:val="22"/>
          <w:szCs w:val="22"/>
        </w:rPr>
        <w:t xml:space="preserve">Recognizing </w:t>
      </w:r>
      <w:r w:rsidRPr="00EE0850">
        <w:rPr>
          <w:kern w:val="22"/>
          <w:szCs w:val="22"/>
        </w:rPr>
        <w:t>the importance of improving the alignment of national reporting under the Convention and its Protocols and of enhancing synergies among the biodiversity-related conventions and the Rio conventions as well as the 2030 Agenda for Sustainable Development</w:t>
      </w:r>
      <w:r w:rsidRPr="00EE0850">
        <w:rPr>
          <w:rStyle w:val="FootnoteReference"/>
          <w:rFonts w:eastAsiaTheme="majorEastAsia"/>
          <w:kern w:val="22"/>
          <w:sz w:val="22"/>
          <w:szCs w:val="22"/>
          <w:u w:val="none"/>
          <w:vertAlign w:val="superscript"/>
        </w:rPr>
        <w:footnoteReference w:id="9"/>
      </w:r>
      <w:r w:rsidRPr="00EE0850">
        <w:rPr>
          <w:kern w:val="22"/>
          <w:szCs w:val="22"/>
        </w:rPr>
        <w:t xml:space="preserve"> and reporting tools for the Sustainable Development Goals, and </w:t>
      </w:r>
      <w:r w:rsidRPr="00EE0850">
        <w:rPr>
          <w:i/>
          <w:kern w:val="22"/>
          <w:szCs w:val="22"/>
        </w:rPr>
        <w:t>noting</w:t>
      </w:r>
      <w:r w:rsidRPr="00EE0850">
        <w:rPr>
          <w:kern w:val="22"/>
          <w:szCs w:val="22"/>
        </w:rPr>
        <w:t xml:space="preserve"> the progress made thus far in this respect,</w:t>
      </w:r>
    </w:p>
    <w:p w14:paraId="161AD130" w14:textId="77777777" w:rsidR="009F5D7B" w:rsidRPr="00EE0850" w:rsidRDefault="009F5D7B" w:rsidP="000C6220">
      <w:pPr>
        <w:pStyle w:val="Para1"/>
        <w:numPr>
          <w:ilvl w:val="0"/>
          <w:numId w:val="20"/>
        </w:numPr>
        <w:suppressLineNumbers/>
        <w:tabs>
          <w:tab w:val="clear" w:pos="360"/>
          <w:tab w:val="clear" w:pos="567"/>
          <w:tab w:val="clear" w:pos="2912"/>
          <w:tab w:val="num" w:pos="1418"/>
        </w:tabs>
        <w:suppressAutoHyphens/>
        <w:kinsoku w:val="0"/>
        <w:overflowPunct w:val="0"/>
        <w:autoSpaceDE w:val="0"/>
        <w:autoSpaceDN w:val="0"/>
        <w:adjustRightInd w:val="0"/>
        <w:snapToGrid w:val="0"/>
        <w:spacing w:line="240" w:lineRule="auto"/>
        <w:ind w:firstLine="720"/>
        <w:rPr>
          <w:kern w:val="22"/>
          <w:szCs w:val="22"/>
        </w:rPr>
      </w:pPr>
      <w:r w:rsidRPr="00EE0850">
        <w:rPr>
          <w:i/>
          <w:kern w:val="22"/>
          <w:szCs w:val="22"/>
        </w:rPr>
        <w:t>Accepts</w:t>
      </w:r>
      <w:r w:rsidRPr="00EE0850">
        <w:rPr>
          <w:kern w:val="22"/>
          <w:szCs w:val="22"/>
        </w:rPr>
        <w:t xml:space="preserve"> the invitation of the Conference of the Parties to the Convention contained in decision 14/27, paragraph 1, and </w:t>
      </w:r>
      <w:r w:rsidRPr="00EE0850">
        <w:rPr>
          <w:i/>
          <w:kern w:val="22"/>
          <w:szCs w:val="22"/>
        </w:rPr>
        <w:t>agrees</w:t>
      </w:r>
      <w:r w:rsidRPr="00EE0850">
        <w:rPr>
          <w:kern w:val="22"/>
          <w:szCs w:val="22"/>
        </w:rPr>
        <w:t xml:space="preserve"> to have a synchronized national reporting cycle commencing in 2023;</w:t>
      </w:r>
    </w:p>
    <w:p w14:paraId="1DD7ECF7"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snapToGrid w:val="0"/>
          <w:kern w:val="22"/>
          <w:szCs w:val="22"/>
        </w:rPr>
      </w:pPr>
      <w:r w:rsidRPr="00EE0850">
        <w:rPr>
          <w:snapToGrid w:val="0"/>
          <w:kern w:val="22"/>
          <w:szCs w:val="22"/>
        </w:rPr>
        <w:t>2.</w:t>
      </w:r>
      <w:r w:rsidRPr="00EE0850">
        <w:rPr>
          <w:snapToGrid w:val="0"/>
          <w:kern w:val="22"/>
          <w:szCs w:val="22"/>
        </w:rPr>
        <w:tab/>
      </w:r>
      <w:r w:rsidRPr="00EE0850">
        <w:rPr>
          <w:i/>
          <w:snapToGrid w:val="0"/>
          <w:kern w:val="22"/>
          <w:szCs w:val="22"/>
        </w:rPr>
        <w:t>Welcomes</w:t>
      </w:r>
      <w:r w:rsidRPr="00EE0850">
        <w:rPr>
          <w:snapToGrid w:val="0"/>
          <w:kern w:val="22"/>
          <w:szCs w:val="22"/>
        </w:rPr>
        <w:t xml:space="preserve"> the fact that 82 of the 100 Parties that had the obligation to report have submitted their interim national report;</w:t>
      </w:r>
    </w:p>
    <w:p w14:paraId="7FAA80FD"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snapToGrid w:val="0"/>
          <w:kern w:val="22"/>
          <w:szCs w:val="22"/>
        </w:rPr>
      </w:pPr>
      <w:r w:rsidRPr="00EE0850">
        <w:rPr>
          <w:snapToGrid w:val="0"/>
          <w:kern w:val="22"/>
          <w:szCs w:val="22"/>
        </w:rPr>
        <w:t>3.</w:t>
      </w:r>
      <w:r w:rsidRPr="00EE0850">
        <w:rPr>
          <w:snapToGrid w:val="0"/>
          <w:kern w:val="22"/>
          <w:szCs w:val="22"/>
        </w:rPr>
        <w:tab/>
      </w:r>
      <w:r w:rsidRPr="00EE0850">
        <w:rPr>
          <w:i/>
          <w:iCs/>
          <w:snapToGrid w:val="0"/>
          <w:kern w:val="22"/>
          <w:szCs w:val="22"/>
        </w:rPr>
        <w:t>Also</w:t>
      </w:r>
      <w:r w:rsidRPr="00EE0850">
        <w:rPr>
          <w:snapToGrid w:val="0"/>
          <w:kern w:val="22"/>
          <w:szCs w:val="22"/>
        </w:rPr>
        <w:t xml:space="preserve"> </w:t>
      </w:r>
      <w:r w:rsidRPr="00EE0850">
        <w:rPr>
          <w:i/>
          <w:snapToGrid w:val="0"/>
          <w:kern w:val="22"/>
          <w:szCs w:val="22"/>
        </w:rPr>
        <w:t xml:space="preserve">welcomes </w:t>
      </w:r>
      <w:r w:rsidRPr="00EE0850">
        <w:rPr>
          <w:snapToGrid w:val="0"/>
          <w:kern w:val="22"/>
          <w:szCs w:val="22"/>
        </w:rPr>
        <w:t>the interim national reports submitted by non-Parties;</w:t>
      </w:r>
    </w:p>
    <w:p w14:paraId="4B237221"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snapToGrid w:val="0"/>
          <w:kern w:val="22"/>
          <w:szCs w:val="22"/>
        </w:rPr>
      </w:pPr>
      <w:r w:rsidRPr="00EE0850">
        <w:rPr>
          <w:snapToGrid w:val="0"/>
          <w:kern w:val="22"/>
          <w:szCs w:val="22"/>
        </w:rPr>
        <w:t>4.</w:t>
      </w:r>
      <w:r w:rsidRPr="00EE0850">
        <w:rPr>
          <w:snapToGrid w:val="0"/>
          <w:kern w:val="22"/>
          <w:szCs w:val="22"/>
        </w:rPr>
        <w:tab/>
      </w:r>
      <w:r w:rsidRPr="00EE0850">
        <w:rPr>
          <w:i/>
          <w:snapToGrid w:val="0"/>
          <w:kern w:val="22"/>
          <w:szCs w:val="22"/>
        </w:rPr>
        <w:t>Urges</w:t>
      </w:r>
      <w:r w:rsidRPr="00EE0850">
        <w:rPr>
          <w:snapToGrid w:val="0"/>
          <w:kern w:val="22"/>
          <w:szCs w:val="22"/>
        </w:rPr>
        <w:t xml:space="preserve"> Parties that have not yet submitted their interim national report to do so as soon as possible;</w:t>
      </w:r>
    </w:p>
    <w:p w14:paraId="29DE3E85"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snapToGrid w:val="0"/>
          <w:kern w:val="22"/>
          <w:szCs w:val="22"/>
        </w:rPr>
      </w:pPr>
      <w:r w:rsidRPr="00EE0850">
        <w:rPr>
          <w:snapToGrid w:val="0"/>
          <w:kern w:val="22"/>
          <w:szCs w:val="22"/>
        </w:rPr>
        <w:t>5.</w:t>
      </w:r>
      <w:r w:rsidRPr="00EE0850">
        <w:rPr>
          <w:snapToGrid w:val="0"/>
          <w:kern w:val="22"/>
          <w:szCs w:val="22"/>
        </w:rPr>
        <w:tab/>
      </w:r>
      <w:r w:rsidRPr="00EE0850">
        <w:rPr>
          <w:i/>
          <w:snapToGrid w:val="0"/>
          <w:kern w:val="22"/>
          <w:szCs w:val="22"/>
        </w:rPr>
        <w:t xml:space="preserve">Expresses its appreciation </w:t>
      </w:r>
      <w:r w:rsidRPr="00EE0850">
        <w:rPr>
          <w:snapToGrid w:val="0"/>
          <w:kern w:val="22"/>
          <w:szCs w:val="22"/>
        </w:rPr>
        <w:t xml:space="preserve">for the financial support provided by the Global Environment Facility for a number of eligible Parties to support the preparation of their interim national reports, and </w:t>
      </w:r>
      <w:r w:rsidRPr="00EE0850">
        <w:rPr>
          <w:i/>
          <w:snapToGrid w:val="0"/>
          <w:kern w:val="22"/>
          <w:szCs w:val="22"/>
        </w:rPr>
        <w:t xml:space="preserve">notes </w:t>
      </w:r>
      <w:r w:rsidRPr="00EE0850">
        <w:rPr>
          <w:snapToGrid w:val="0"/>
          <w:kern w:val="22"/>
          <w:szCs w:val="22"/>
        </w:rPr>
        <w:t>the importance of timely availability of financial resources to support the preparation and submission of national reports by the reporting deadline;</w:t>
      </w:r>
    </w:p>
    <w:p w14:paraId="4E1148AF"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snapToGrid w:val="0"/>
          <w:kern w:val="22"/>
          <w:szCs w:val="22"/>
        </w:rPr>
      </w:pPr>
      <w:r w:rsidRPr="00EE0850">
        <w:rPr>
          <w:snapToGrid w:val="0"/>
          <w:kern w:val="22"/>
          <w:szCs w:val="22"/>
        </w:rPr>
        <w:t>6.</w:t>
      </w:r>
      <w:r w:rsidRPr="00EE0850">
        <w:rPr>
          <w:snapToGrid w:val="0"/>
          <w:kern w:val="22"/>
          <w:szCs w:val="22"/>
        </w:rPr>
        <w:tab/>
      </w:r>
      <w:r w:rsidRPr="00EE0850">
        <w:rPr>
          <w:i/>
          <w:iCs/>
          <w:snapToGrid w:val="0"/>
          <w:kern w:val="22"/>
          <w:szCs w:val="22"/>
        </w:rPr>
        <w:t>W</w:t>
      </w:r>
      <w:r w:rsidRPr="00EE0850">
        <w:rPr>
          <w:i/>
          <w:snapToGrid w:val="0"/>
          <w:kern w:val="22"/>
          <w:szCs w:val="22"/>
        </w:rPr>
        <w:t>elcomes</w:t>
      </w:r>
      <w:r w:rsidRPr="00EE0850">
        <w:rPr>
          <w:snapToGrid w:val="0"/>
          <w:kern w:val="22"/>
          <w:szCs w:val="22"/>
        </w:rPr>
        <w:t xml:space="preserve"> the efforts made by the Secretariat to assist Parties in submitting interim national reports;</w:t>
      </w:r>
    </w:p>
    <w:p w14:paraId="081E4FA6" w14:textId="77777777" w:rsidR="009F5D7B" w:rsidRPr="00EE0850" w:rsidRDefault="009F5D7B" w:rsidP="000C6220">
      <w:pPr>
        <w:suppressLineNumbers/>
        <w:suppressAutoHyphens/>
        <w:kinsoku w:val="0"/>
        <w:overflowPunct w:val="0"/>
        <w:autoSpaceDE w:val="0"/>
        <w:autoSpaceDN w:val="0"/>
        <w:adjustRightInd w:val="0"/>
        <w:snapToGrid w:val="0"/>
        <w:spacing w:before="120" w:line="240" w:lineRule="auto"/>
        <w:ind w:firstLine="720"/>
        <w:rPr>
          <w:snapToGrid w:val="0"/>
          <w:kern w:val="22"/>
          <w:szCs w:val="22"/>
        </w:rPr>
      </w:pPr>
      <w:r w:rsidRPr="00EE0850">
        <w:rPr>
          <w:snapToGrid w:val="0"/>
          <w:kern w:val="22"/>
          <w:szCs w:val="22"/>
        </w:rPr>
        <w:t>7.</w:t>
      </w:r>
      <w:r w:rsidRPr="00EE0850">
        <w:rPr>
          <w:snapToGrid w:val="0"/>
          <w:kern w:val="22"/>
          <w:szCs w:val="22"/>
        </w:rPr>
        <w:tab/>
      </w:r>
      <w:r w:rsidRPr="00EE0850">
        <w:rPr>
          <w:i/>
          <w:snapToGrid w:val="0"/>
          <w:kern w:val="22"/>
          <w:szCs w:val="22"/>
        </w:rPr>
        <w:t>Requests</w:t>
      </w:r>
      <w:r w:rsidRPr="00EE0850">
        <w:rPr>
          <w:snapToGrid w:val="0"/>
          <w:kern w:val="22"/>
          <w:szCs w:val="22"/>
        </w:rPr>
        <w:t xml:space="preserve"> the Compliance Committee to provide an input to the review of the reporting format for the next reporting cycle;</w:t>
      </w:r>
    </w:p>
    <w:p w14:paraId="0DE24044" w14:textId="77777777" w:rsidR="009F5D7B" w:rsidRPr="00EE0850" w:rsidRDefault="009F5D7B" w:rsidP="000C6220">
      <w:pPr>
        <w:suppressLineNumbers/>
        <w:suppressAutoHyphens/>
        <w:kinsoku w:val="0"/>
        <w:overflowPunct w:val="0"/>
        <w:autoSpaceDE w:val="0"/>
        <w:autoSpaceDN w:val="0"/>
        <w:snapToGrid w:val="0"/>
        <w:spacing w:before="120" w:line="240" w:lineRule="auto"/>
        <w:ind w:firstLine="720"/>
        <w:rPr>
          <w:snapToGrid w:val="0"/>
          <w:kern w:val="22"/>
          <w:szCs w:val="22"/>
        </w:rPr>
      </w:pPr>
      <w:r w:rsidRPr="00EE0850">
        <w:rPr>
          <w:snapToGrid w:val="0"/>
          <w:kern w:val="22"/>
          <w:szCs w:val="22"/>
        </w:rPr>
        <w:t>8.</w:t>
      </w:r>
      <w:r w:rsidRPr="00EE0850">
        <w:rPr>
          <w:snapToGrid w:val="0"/>
          <w:kern w:val="22"/>
          <w:szCs w:val="22"/>
        </w:rPr>
        <w:tab/>
      </w:r>
      <w:r w:rsidRPr="00EE0850">
        <w:rPr>
          <w:i/>
          <w:snapToGrid w:val="0"/>
          <w:kern w:val="22"/>
          <w:szCs w:val="22"/>
        </w:rPr>
        <w:t>Requests</w:t>
      </w:r>
      <w:r w:rsidRPr="00EE0850">
        <w:rPr>
          <w:snapToGrid w:val="0"/>
          <w:kern w:val="22"/>
          <w:szCs w:val="22"/>
        </w:rPr>
        <w:t xml:space="preserve"> the Executive Secretary to review the reporting format for its consideration by the Conference of the Parties serving as the meeting of the Parties to the Protocol at its fourth meeting, taking into account comments received, input from the Compliance Committee, the framework of indicators contained in decision NP-3/1, the post-2020 global biodiversity framework and the alignment of national reports under the Convention and its Protocols, while bearing in mind the need for continuity in the format in order to measure progress in implementation;</w:t>
      </w:r>
    </w:p>
    <w:p w14:paraId="3BC82394" w14:textId="77777777" w:rsidR="009F5D7B" w:rsidRPr="00EE0850" w:rsidRDefault="009F5D7B" w:rsidP="000C6220">
      <w:pPr>
        <w:suppressLineNumbers/>
        <w:suppressAutoHyphens/>
        <w:kinsoku w:val="0"/>
        <w:overflowPunct w:val="0"/>
        <w:autoSpaceDE w:val="0"/>
        <w:autoSpaceDN w:val="0"/>
        <w:snapToGrid w:val="0"/>
        <w:spacing w:before="120" w:line="240" w:lineRule="auto"/>
        <w:ind w:firstLine="720"/>
        <w:rPr>
          <w:snapToGrid w:val="0"/>
          <w:kern w:val="22"/>
          <w:szCs w:val="22"/>
        </w:rPr>
      </w:pPr>
      <w:r w:rsidRPr="00EE0850">
        <w:rPr>
          <w:snapToGrid w:val="0"/>
          <w:kern w:val="22"/>
          <w:szCs w:val="22"/>
        </w:rPr>
        <w:t>9.</w:t>
      </w:r>
      <w:r w:rsidRPr="00EE0850">
        <w:rPr>
          <w:snapToGrid w:val="0"/>
          <w:kern w:val="22"/>
          <w:szCs w:val="22"/>
        </w:rPr>
        <w:tab/>
      </w:r>
      <w:r w:rsidRPr="00EE0850">
        <w:rPr>
          <w:i/>
          <w:snapToGrid w:val="0"/>
          <w:kern w:val="22"/>
          <w:szCs w:val="22"/>
        </w:rPr>
        <w:t>Decides</w:t>
      </w:r>
      <w:r w:rsidRPr="00EE0850">
        <w:rPr>
          <w:snapToGrid w:val="0"/>
          <w:kern w:val="22"/>
          <w:szCs w:val="22"/>
        </w:rPr>
        <w:t xml:space="preserve"> to revisit the issue of intervals for reporting at the sixth meeting of the Conference of the Parties serving as the meeting of the Parties to the Protocol, taking into account the alignment of national reports under the Convention and its Protocols and the post-2020 global biodiversity framework.</w:t>
      </w:r>
    </w:p>
    <w:p w14:paraId="0809CB6C" w14:textId="77777777" w:rsidR="009F5D7B" w:rsidRPr="00EE0850" w:rsidRDefault="009F5D7B" w:rsidP="000C6220">
      <w:pPr>
        <w:suppressLineNumbers/>
        <w:suppressAutoHyphens/>
        <w:spacing w:before="120" w:line="240" w:lineRule="auto"/>
        <w:rPr>
          <w:kern w:val="22"/>
          <w:szCs w:val="22"/>
        </w:rPr>
      </w:pPr>
    </w:p>
    <w:p w14:paraId="2F34DBE8" w14:textId="77777777" w:rsidR="009F5D7B" w:rsidRPr="00EE0850" w:rsidRDefault="009F5D7B" w:rsidP="000C6220">
      <w:pPr>
        <w:spacing w:before="120" w:line="240" w:lineRule="auto"/>
        <w:jc w:val="left"/>
        <w:rPr>
          <w:rFonts w:ascii="Times New Roman Bold" w:hAnsi="Times New Roman Bold" w:cs="Times New Roman Bold"/>
          <w:b/>
          <w:bCs/>
          <w:caps/>
          <w:snapToGrid w:val="0"/>
          <w:kern w:val="22"/>
          <w:szCs w:val="22"/>
        </w:rPr>
      </w:pPr>
      <w:r w:rsidRPr="00EE0850">
        <w:br w:type="page"/>
      </w:r>
    </w:p>
    <w:p w14:paraId="4AB36D24" w14:textId="0C2BC6A9" w:rsidR="009E044D" w:rsidRPr="00EE0850" w:rsidRDefault="009E044D" w:rsidP="000C6220">
      <w:pPr>
        <w:pStyle w:val="recommendationheader"/>
        <w:spacing w:line="240" w:lineRule="auto"/>
        <w:rPr>
          <w:b w:val="0"/>
          <w:szCs w:val="22"/>
        </w:rPr>
      </w:pPr>
      <w:bookmarkStart w:id="6" w:name="_Toc256205"/>
      <w:r w:rsidRPr="00EE0850">
        <w:rPr>
          <w:rStyle w:val="Heading2Char"/>
          <w:b/>
          <w:kern w:val="22"/>
          <w:szCs w:val="22"/>
        </w:rPr>
        <w:t>3/5.</w:t>
      </w:r>
      <w:r w:rsidRPr="00EE0850">
        <w:rPr>
          <w:rStyle w:val="Heading2Char"/>
          <w:b/>
          <w:kern w:val="22"/>
          <w:szCs w:val="22"/>
        </w:rPr>
        <w:tab/>
        <w:t>Measures to assist in capacity-building and capacity development (Article 2</w:t>
      </w:r>
      <w:r w:rsidRPr="00EE0850">
        <w:rPr>
          <w:rStyle w:val="Heading2Char"/>
          <w:b/>
          <w:caps/>
          <w:kern w:val="22"/>
          <w:szCs w:val="22"/>
        </w:rPr>
        <w:t>2)</w:t>
      </w:r>
      <w:bookmarkEnd w:id="6"/>
    </w:p>
    <w:p w14:paraId="606ECFE6" w14:textId="77777777" w:rsidR="009E044D" w:rsidRPr="00EE0850" w:rsidRDefault="009E044D" w:rsidP="000C6220">
      <w:pPr>
        <w:pStyle w:val="ListParagraph"/>
        <w:keepNext/>
        <w:numPr>
          <w:ilvl w:val="0"/>
          <w:numId w:val="56"/>
        </w:numPr>
        <w:suppressLineNumbers/>
        <w:suppressAutoHyphens/>
        <w:spacing w:before="120" w:line="240" w:lineRule="auto"/>
        <w:ind w:left="1843" w:hanging="992"/>
        <w:contextualSpacing w:val="0"/>
        <w:jc w:val="left"/>
        <w:rPr>
          <w:b/>
          <w:kern w:val="22"/>
          <w:szCs w:val="22"/>
        </w:rPr>
      </w:pPr>
      <w:r w:rsidRPr="00EE0850">
        <w:rPr>
          <w:b/>
          <w:snapToGrid w:val="0"/>
          <w:kern w:val="22"/>
          <w:szCs w:val="22"/>
        </w:rPr>
        <w:t>Strategic framework for capacity-building and development for the implementation of the Nagoya Protocol</w:t>
      </w:r>
    </w:p>
    <w:p w14:paraId="162A91E2" w14:textId="77777777" w:rsidR="009E044D" w:rsidRPr="00EE0850" w:rsidRDefault="009E044D" w:rsidP="000C6220">
      <w:pPr>
        <w:suppressLineNumbers/>
        <w:suppressAutoHyphens/>
        <w:kinsoku w:val="0"/>
        <w:overflowPunct w:val="0"/>
        <w:autoSpaceDE w:val="0"/>
        <w:autoSpaceDN w:val="0"/>
        <w:adjustRightInd w:val="0"/>
        <w:snapToGrid w:val="0"/>
        <w:spacing w:before="120" w:line="240" w:lineRule="auto"/>
        <w:ind w:firstLine="720"/>
        <w:rPr>
          <w:i/>
          <w:kern w:val="22"/>
          <w:szCs w:val="22"/>
          <w:lang w:eastAsia="en-CA"/>
        </w:rPr>
      </w:pPr>
      <w:r w:rsidRPr="00EE0850">
        <w:rPr>
          <w:i/>
          <w:kern w:val="22"/>
          <w:szCs w:val="22"/>
          <w:lang w:eastAsia="en-CA"/>
        </w:rPr>
        <w:t xml:space="preserve">The Conference of the Parties serving as the meeting of the Parties to the Nagoya Protocol </w:t>
      </w:r>
      <w:r w:rsidRPr="00EE0850">
        <w:rPr>
          <w:rFonts w:eastAsia="Arial Unicode MS"/>
          <w:i/>
          <w:snapToGrid w:val="0"/>
          <w:kern w:val="22"/>
          <w:szCs w:val="22"/>
          <w:u w:color="000000"/>
          <w:bdr w:val="nil"/>
        </w:rPr>
        <w:t>on Access and Benefit-sharing</w:t>
      </w:r>
    </w:p>
    <w:p w14:paraId="7A2B5115" w14:textId="77777777" w:rsidR="009E044D" w:rsidRPr="00EE0850" w:rsidRDefault="009E044D"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color w:val="000000"/>
          <w:kern w:val="22"/>
          <w:szCs w:val="22"/>
        </w:rPr>
        <w:t>1.</w:t>
      </w:r>
      <w:r w:rsidRPr="00EE0850">
        <w:rPr>
          <w:color w:val="000000"/>
          <w:kern w:val="22"/>
          <w:szCs w:val="22"/>
        </w:rPr>
        <w:tab/>
      </w:r>
      <w:r w:rsidRPr="00EE0850">
        <w:rPr>
          <w:i/>
          <w:kern w:val="22"/>
          <w:szCs w:val="22"/>
        </w:rPr>
        <w:t xml:space="preserve">Takes note </w:t>
      </w:r>
      <w:r w:rsidRPr="00EE0850">
        <w:rPr>
          <w:kern w:val="22"/>
          <w:szCs w:val="22"/>
        </w:rPr>
        <w:t>of the progress made in the implementation of the strategic framework for capacity-building and development for the implementation of the Nagoya Protocol on Access to Genetic Resources and the Fair and Equitable Sharing of Benefits Arising from Their Utilization;</w:t>
      </w:r>
      <w:r w:rsidRPr="00EE0850">
        <w:rPr>
          <w:kern w:val="22"/>
          <w:szCs w:val="22"/>
          <w:vertAlign w:val="superscript"/>
        </w:rPr>
        <w:footnoteReference w:id="10"/>
      </w:r>
    </w:p>
    <w:p w14:paraId="6AD2857E" w14:textId="77777777" w:rsidR="009E044D" w:rsidRPr="00EE0850" w:rsidRDefault="009E044D" w:rsidP="000C6220">
      <w:pPr>
        <w:suppressLineNumbers/>
        <w:pBdr>
          <w:top w:val="nil"/>
          <w:left w:val="nil"/>
          <w:bottom w:val="nil"/>
          <w:right w:val="nil"/>
          <w:between w:val="nil"/>
          <w:bar w:val="nil"/>
        </w:pBdr>
        <w:suppressAutoHyphens/>
        <w:spacing w:before="120" w:line="240" w:lineRule="auto"/>
        <w:ind w:firstLine="720"/>
        <w:rPr>
          <w:kern w:val="22"/>
          <w:szCs w:val="22"/>
        </w:rPr>
      </w:pPr>
      <w:r w:rsidRPr="00EE0850">
        <w:rPr>
          <w:color w:val="000000"/>
          <w:kern w:val="22"/>
          <w:szCs w:val="22"/>
        </w:rPr>
        <w:t>2.</w:t>
      </w:r>
      <w:r w:rsidRPr="00EE0850">
        <w:rPr>
          <w:color w:val="000000"/>
          <w:kern w:val="22"/>
          <w:szCs w:val="22"/>
        </w:rPr>
        <w:tab/>
      </w:r>
      <w:r w:rsidRPr="00EE0850">
        <w:rPr>
          <w:i/>
          <w:kern w:val="22"/>
          <w:szCs w:val="22"/>
        </w:rPr>
        <w:t xml:space="preserve">Invites </w:t>
      </w:r>
      <w:r w:rsidRPr="00EE0850">
        <w:rPr>
          <w:kern w:val="22"/>
          <w:szCs w:val="22"/>
        </w:rPr>
        <w:t>Parties, other Governments and relevant organizations to expand their efforts to implement the strategic framework and further share information about their capacity-building initiatives, including emerging experiences, best practices and lessons learned, and capacity-building resources through the Access and Benefit-sharing Clearing-House, using the relevant common formats;</w:t>
      </w:r>
    </w:p>
    <w:p w14:paraId="29581E26" w14:textId="77777777" w:rsidR="009E044D" w:rsidRPr="00EE0850" w:rsidRDefault="009E044D" w:rsidP="000C6220">
      <w:pPr>
        <w:suppressLineNumbers/>
        <w:pBdr>
          <w:top w:val="nil"/>
          <w:left w:val="nil"/>
          <w:bottom w:val="nil"/>
          <w:right w:val="nil"/>
          <w:between w:val="nil"/>
          <w:bar w:val="nil"/>
        </w:pBdr>
        <w:suppressAutoHyphens/>
        <w:spacing w:before="120" w:line="240" w:lineRule="auto"/>
        <w:ind w:firstLine="720"/>
        <w:rPr>
          <w:kern w:val="22"/>
          <w:szCs w:val="22"/>
        </w:rPr>
      </w:pPr>
      <w:r w:rsidRPr="00EE0850">
        <w:rPr>
          <w:color w:val="000000"/>
          <w:kern w:val="22"/>
          <w:szCs w:val="22"/>
        </w:rPr>
        <w:t>3.</w:t>
      </w:r>
      <w:r w:rsidRPr="00EE0850">
        <w:rPr>
          <w:color w:val="000000"/>
          <w:kern w:val="22"/>
          <w:szCs w:val="22"/>
        </w:rPr>
        <w:tab/>
      </w:r>
      <w:r w:rsidRPr="00EE0850">
        <w:rPr>
          <w:i/>
          <w:kern w:val="22"/>
          <w:szCs w:val="22"/>
        </w:rPr>
        <w:t>Invites</w:t>
      </w:r>
      <w:r w:rsidRPr="00EE0850">
        <w:rPr>
          <w:kern w:val="22"/>
          <w:szCs w:val="22"/>
        </w:rPr>
        <w:t xml:space="preserve"> Parties, other Governments and relevant organizations to consider developing </w:t>
      </w:r>
      <w:r w:rsidRPr="00EE0850">
        <w:rPr>
          <w:snapToGrid w:val="0"/>
          <w:kern w:val="22"/>
          <w:szCs w:val="22"/>
        </w:rPr>
        <w:t xml:space="preserve">regional and </w:t>
      </w:r>
      <w:proofErr w:type="spellStart"/>
      <w:r w:rsidRPr="00EE0850">
        <w:rPr>
          <w:snapToGrid w:val="0"/>
          <w:kern w:val="22"/>
          <w:szCs w:val="22"/>
        </w:rPr>
        <w:t>subregional</w:t>
      </w:r>
      <w:proofErr w:type="spellEnd"/>
      <w:r w:rsidRPr="00EE0850">
        <w:rPr>
          <w:snapToGrid w:val="0"/>
          <w:kern w:val="22"/>
          <w:szCs w:val="22"/>
        </w:rPr>
        <w:t xml:space="preserve"> projects as a way forward to support regional cooperation and address the capacity-building gaps in certain regions;</w:t>
      </w:r>
    </w:p>
    <w:p w14:paraId="34895685" w14:textId="77777777" w:rsidR="009E044D" w:rsidRPr="00EE0850" w:rsidRDefault="009E044D" w:rsidP="000C6220">
      <w:pPr>
        <w:suppressLineNumbers/>
        <w:pBdr>
          <w:top w:val="nil"/>
          <w:left w:val="nil"/>
          <w:bottom w:val="nil"/>
          <w:right w:val="nil"/>
          <w:between w:val="nil"/>
          <w:bar w:val="nil"/>
        </w:pBdr>
        <w:suppressAutoHyphens/>
        <w:spacing w:before="120" w:line="240" w:lineRule="auto"/>
        <w:ind w:firstLine="720"/>
        <w:rPr>
          <w:color w:val="000000"/>
          <w:kern w:val="22"/>
          <w:szCs w:val="22"/>
        </w:rPr>
      </w:pPr>
      <w:r w:rsidRPr="00EE0850">
        <w:rPr>
          <w:color w:val="000000"/>
          <w:kern w:val="22"/>
          <w:szCs w:val="22"/>
        </w:rPr>
        <w:t>4.</w:t>
      </w:r>
      <w:r w:rsidRPr="00EE0850">
        <w:rPr>
          <w:color w:val="000000"/>
          <w:kern w:val="22"/>
          <w:szCs w:val="22"/>
        </w:rPr>
        <w:tab/>
      </w:r>
      <w:r w:rsidRPr="00EE0850">
        <w:rPr>
          <w:i/>
          <w:kern w:val="22"/>
          <w:szCs w:val="22"/>
        </w:rPr>
        <w:t>Takes note</w:t>
      </w:r>
      <w:r w:rsidRPr="00EE0850">
        <w:rPr>
          <w:kern w:val="22"/>
          <w:szCs w:val="22"/>
        </w:rPr>
        <w:t xml:space="preserve"> of the report of the meeting of the Informal Advisory Committee on Capacity-building for the Implementation of the Nagoya Protocol held during the intersessional period,</w:t>
      </w:r>
      <w:r w:rsidRPr="00EE0850">
        <w:rPr>
          <w:kern w:val="22"/>
          <w:szCs w:val="22"/>
          <w:vertAlign w:val="superscript"/>
        </w:rPr>
        <w:footnoteReference w:id="11"/>
      </w:r>
      <w:r w:rsidRPr="00EE0850">
        <w:rPr>
          <w:i/>
          <w:kern w:val="22"/>
          <w:szCs w:val="22"/>
        </w:rPr>
        <w:t xml:space="preserve"> </w:t>
      </w:r>
      <w:r w:rsidRPr="00EE0850">
        <w:rPr>
          <w:kern w:val="22"/>
          <w:szCs w:val="22"/>
        </w:rPr>
        <w:t xml:space="preserve">and </w:t>
      </w:r>
      <w:r w:rsidRPr="00EE0850">
        <w:rPr>
          <w:i/>
          <w:kern w:val="22"/>
          <w:szCs w:val="22"/>
        </w:rPr>
        <w:t>decides</w:t>
      </w:r>
      <w:r w:rsidRPr="00EE0850">
        <w:rPr>
          <w:kern w:val="22"/>
          <w:szCs w:val="22"/>
        </w:rPr>
        <w:t xml:space="preserve"> to extend the mandate of the Informal Advisory Committee until the fourth meeting of the Conference of the Parties serving as the meeting of the Parties to the Nagoya Protocol, so that it can continue to support the implementation of the strategic framework for capacity-building and development in accordance with the terms of reference contained in decision </w:t>
      </w:r>
      <w:hyperlink r:id="rId13" w:history="1">
        <w:r w:rsidRPr="00EE0850">
          <w:rPr>
            <w:color w:val="0000FF"/>
            <w:kern w:val="22"/>
            <w:szCs w:val="22"/>
            <w:u w:val="single"/>
          </w:rPr>
          <w:t>NP-1/8</w:t>
        </w:r>
      </w:hyperlink>
      <w:r w:rsidRPr="00EE0850">
        <w:rPr>
          <w:kern w:val="22"/>
          <w:szCs w:val="22"/>
        </w:rPr>
        <w:t>;</w:t>
      </w:r>
    </w:p>
    <w:p w14:paraId="13C9076F" w14:textId="77777777" w:rsidR="009E044D" w:rsidRPr="00EE0850" w:rsidRDefault="009E044D" w:rsidP="000C6220">
      <w:pPr>
        <w:suppressLineNumbers/>
        <w:pBdr>
          <w:top w:val="nil"/>
          <w:left w:val="nil"/>
          <w:bottom w:val="nil"/>
          <w:right w:val="nil"/>
          <w:between w:val="nil"/>
          <w:bar w:val="nil"/>
        </w:pBdr>
        <w:suppressAutoHyphens/>
        <w:spacing w:before="120" w:line="240" w:lineRule="auto"/>
        <w:ind w:firstLine="720"/>
        <w:rPr>
          <w:kern w:val="22"/>
          <w:szCs w:val="22"/>
        </w:rPr>
      </w:pPr>
      <w:r w:rsidRPr="00EE0850">
        <w:rPr>
          <w:color w:val="000000"/>
          <w:kern w:val="22"/>
          <w:szCs w:val="22"/>
        </w:rPr>
        <w:t>5.</w:t>
      </w:r>
      <w:r w:rsidRPr="00EE0850">
        <w:rPr>
          <w:color w:val="000000"/>
          <w:kern w:val="22"/>
          <w:szCs w:val="22"/>
        </w:rPr>
        <w:tab/>
      </w:r>
      <w:r w:rsidRPr="00EE0850">
        <w:rPr>
          <w:i/>
          <w:kern w:val="22"/>
          <w:szCs w:val="22"/>
        </w:rPr>
        <w:t xml:space="preserve">Decides </w:t>
      </w:r>
      <w:r w:rsidRPr="00EE0850">
        <w:rPr>
          <w:kern w:val="22"/>
          <w:szCs w:val="22"/>
        </w:rPr>
        <w:t xml:space="preserve">that the Informal Advisory Committee will hold one meeting, and online consultations as needed, and </w:t>
      </w:r>
      <w:r w:rsidRPr="00EE0850">
        <w:rPr>
          <w:i/>
          <w:kern w:val="22"/>
          <w:szCs w:val="22"/>
        </w:rPr>
        <w:t>requests</w:t>
      </w:r>
      <w:r w:rsidRPr="00EE0850">
        <w:rPr>
          <w:kern w:val="22"/>
          <w:szCs w:val="22"/>
        </w:rPr>
        <w:t xml:space="preserve"> the Informal Advisory Committee to provide inputs for the evaluation of the strategic framework through a review of preliminary findings and by providing additional information and recommendations;</w:t>
      </w:r>
    </w:p>
    <w:p w14:paraId="222EDC02" w14:textId="77777777" w:rsidR="009E044D" w:rsidRPr="00EE0850" w:rsidRDefault="009E044D" w:rsidP="000C6220">
      <w:pPr>
        <w:suppressLineNumbers/>
        <w:pBdr>
          <w:top w:val="nil"/>
          <w:left w:val="nil"/>
          <w:bottom w:val="nil"/>
          <w:right w:val="nil"/>
          <w:between w:val="nil"/>
          <w:bar w:val="nil"/>
        </w:pBdr>
        <w:suppressAutoHyphens/>
        <w:spacing w:before="120" w:line="240" w:lineRule="auto"/>
        <w:ind w:firstLine="720"/>
        <w:rPr>
          <w:kern w:val="22"/>
          <w:szCs w:val="22"/>
        </w:rPr>
      </w:pPr>
      <w:r w:rsidRPr="00EE0850">
        <w:rPr>
          <w:color w:val="000000"/>
          <w:kern w:val="22"/>
          <w:szCs w:val="22"/>
        </w:rPr>
        <w:t>6.</w:t>
      </w:r>
      <w:r w:rsidRPr="00EE0850">
        <w:rPr>
          <w:color w:val="000000"/>
          <w:kern w:val="22"/>
          <w:szCs w:val="22"/>
        </w:rPr>
        <w:tab/>
      </w:r>
      <w:r w:rsidRPr="00EE0850">
        <w:rPr>
          <w:i/>
          <w:kern w:val="22"/>
          <w:szCs w:val="22"/>
        </w:rPr>
        <w:t>Also decides</w:t>
      </w:r>
      <w:r w:rsidRPr="00EE0850">
        <w:rPr>
          <w:kern w:val="22"/>
          <w:szCs w:val="22"/>
        </w:rPr>
        <w:t xml:space="preserve"> to evaluate the strategic framework for capacity-building and development to support the effective implementation of the Nagoya Protocol</w:t>
      </w:r>
      <w:r w:rsidRPr="00EE0850">
        <w:rPr>
          <w:kern w:val="22"/>
          <w:szCs w:val="22"/>
          <w:vertAlign w:val="superscript"/>
        </w:rPr>
        <w:footnoteReference w:id="12"/>
      </w:r>
      <w:r w:rsidRPr="00EE0850">
        <w:rPr>
          <w:kern w:val="22"/>
          <w:szCs w:val="22"/>
        </w:rPr>
        <w:t xml:space="preserve"> on the basis of the elements in the annex to the present decision;</w:t>
      </w:r>
    </w:p>
    <w:p w14:paraId="7ABAF26B" w14:textId="77777777" w:rsidR="009E044D" w:rsidRPr="00EE0850" w:rsidRDefault="009E044D" w:rsidP="000C6220">
      <w:pPr>
        <w:suppressLineNumbers/>
        <w:pBdr>
          <w:top w:val="nil"/>
          <w:left w:val="nil"/>
          <w:bottom w:val="nil"/>
          <w:right w:val="nil"/>
          <w:between w:val="nil"/>
          <w:bar w:val="nil"/>
        </w:pBdr>
        <w:suppressAutoHyphens/>
        <w:spacing w:before="120" w:line="240" w:lineRule="auto"/>
        <w:ind w:firstLine="720"/>
        <w:rPr>
          <w:i/>
          <w:kern w:val="22"/>
          <w:szCs w:val="22"/>
        </w:rPr>
      </w:pPr>
      <w:r w:rsidRPr="00EE0850">
        <w:rPr>
          <w:color w:val="000000"/>
          <w:kern w:val="22"/>
          <w:szCs w:val="22"/>
        </w:rPr>
        <w:t>7.</w:t>
      </w:r>
      <w:r w:rsidRPr="00EE0850">
        <w:rPr>
          <w:color w:val="000000"/>
          <w:kern w:val="22"/>
          <w:szCs w:val="22"/>
        </w:rPr>
        <w:tab/>
      </w:r>
      <w:r w:rsidRPr="00EE0850">
        <w:rPr>
          <w:i/>
          <w:kern w:val="22"/>
          <w:szCs w:val="22"/>
        </w:rPr>
        <w:t>Requests</w:t>
      </w:r>
      <w:r w:rsidRPr="00EE0850">
        <w:rPr>
          <w:kern w:val="22"/>
          <w:szCs w:val="22"/>
        </w:rPr>
        <w:t xml:space="preserve"> the Executive Secretary:</w:t>
      </w:r>
    </w:p>
    <w:p w14:paraId="70F2EDD3" w14:textId="77777777" w:rsidR="009E044D" w:rsidRPr="00EE0850" w:rsidRDefault="009E044D" w:rsidP="000C6220">
      <w:pPr>
        <w:suppressLineNumbers/>
        <w:pBdr>
          <w:top w:val="nil"/>
          <w:left w:val="nil"/>
          <w:bottom w:val="nil"/>
          <w:right w:val="nil"/>
          <w:between w:val="nil"/>
          <w:bar w:val="nil"/>
        </w:pBdr>
        <w:suppressAutoHyphens/>
        <w:spacing w:before="120" w:line="240" w:lineRule="auto"/>
        <w:ind w:firstLine="720"/>
        <w:rPr>
          <w:kern w:val="22"/>
          <w:szCs w:val="22"/>
        </w:rPr>
      </w:pPr>
      <w:r w:rsidRPr="00EE0850">
        <w:rPr>
          <w:kern w:val="22"/>
          <w:szCs w:val="22"/>
        </w:rPr>
        <w:t>(a)</w:t>
      </w:r>
      <w:r w:rsidRPr="00EE0850">
        <w:rPr>
          <w:kern w:val="22"/>
          <w:szCs w:val="22"/>
        </w:rPr>
        <w:tab/>
        <w:t>To continue to carry out and facilitate capacity-building activities to support the ratification and implementation of the Nagoya Protocol, subject to the availability of resources, as set out in the short</w:t>
      </w:r>
      <w:r w:rsidRPr="00EE0850">
        <w:rPr>
          <w:kern w:val="22"/>
          <w:szCs w:val="22"/>
        </w:rPr>
        <w:noBreakHyphen/>
        <w:t xml:space="preserve">term action plan (2017-2020) annexed to decision </w:t>
      </w:r>
      <w:hyperlink r:id="rId14" w:history="1">
        <w:r w:rsidRPr="00EE0850">
          <w:rPr>
            <w:color w:val="0000FF"/>
            <w:kern w:val="22"/>
            <w:szCs w:val="22"/>
            <w:u w:val="single"/>
          </w:rPr>
          <w:t>NP-2/8</w:t>
        </w:r>
      </w:hyperlink>
      <w:r w:rsidRPr="00EE0850">
        <w:rPr>
          <w:kern w:val="22"/>
          <w:szCs w:val="22"/>
        </w:rPr>
        <w:t xml:space="preserve"> of the Conference of the Parties serving as the meeting of the Parties to the Protocol and decision </w:t>
      </w:r>
      <w:hyperlink r:id="rId15" w:history="1">
        <w:r w:rsidRPr="00EE0850">
          <w:rPr>
            <w:color w:val="0000FF"/>
            <w:kern w:val="22"/>
            <w:szCs w:val="22"/>
            <w:u w:val="single"/>
          </w:rPr>
          <w:t>XIII/23</w:t>
        </w:r>
      </w:hyperlink>
      <w:r w:rsidRPr="00EE0850">
        <w:rPr>
          <w:kern w:val="22"/>
          <w:szCs w:val="22"/>
        </w:rPr>
        <w:t xml:space="preserve"> of the Conference of the Parties to the Convention to enhance and support capacity-building for the implementation of the Strategic Plan for Biodiversity 2011-2020 and its Aichi Biodiversity Targets;</w:t>
      </w:r>
    </w:p>
    <w:p w14:paraId="329ABAB4" w14:textId="77777777" w:rsidR="009E044D" w:rsidRPr="00EE0850" w:rsidRDefault="009E044D" w:rsidP="000C6220">
      <w:pPr>
        <w:suppressLineNumbers/>
        <w:pBdr>
          <w:top w:val="nil"/>
          <w:left w:val="nil"/>
          <w:bottom w:val="nil"/>
          <w:right w:val="nil"/>
          <w:between w:val="nil"/>
          <w:bar w:val="nil"/>
        </w:pBdr>
        <w:suppressAutoHyphens/>
        <w:spacing w:before="120" w:line="240" w:lineRule="auto"/>
        <w:ind w:firstLine="720"/>
        <w:rPr>
          <w:kern w:val="22"/>
          <w:szCs w:val="22"/>
        </w:rPr>
      </w:pPr>
      <w:r w:rsidRPr="00EE0850">
        <w:rPr>
          <w:kern w:val="22"/>
          <w:szCs w:val="22"/>
        </w:rPr>
        <w:t>(b)</w:t>
      </w:r>
      <w:r w:rsidRPr="00EE0850">
        <w:rPr>
          <w:kern w:val="22"/>
          <w:szCs w:val="22"/>
        </w:rPr>
        <w:tab/>
        <w:t>To prepare an evaluation of the strategic framework for capacity-building and development in accordance with decision NP-1/8, paragraph 9(f), and submit the evaluation report for the consideration of the Subsidiary Body on Implementation at its third meeting, with a view to ensuring an effective approach to capacity-building under the Nagoya Protocol that is consistent with the post-2020 global biodiversity framework;</w:t>
      </w:r>
    </w:p>
    <w:p w14:paraId="74F95963" w14:textId="77777777" w:rsidR="009E044D" w:rsidRPr="00EE0850" w:rsidRDefault="009E044D" w:rsidP="000C6220">
      <w:pPr>
        <w:suppressLineNumbers/>
        <w:pBdr>
          <w:top w:val="nil"/>
          <w:left w:val="nil"/>
          <w:bottom w:val="nil"/>
          <w:right w:val="nil"/>
          <w:between w:val="nil"/>
          <w:bar w:val="nil"/>
        </w:pBdr>
        <w:suppressAutoHyphens/>
        <w:spacing w:before="120" w:line="240" w:lineRule="auto"/>
        <w:ind w:firstLine="720"/>
        <w:rPr>
          <w:b/>
          <w:kern w:val="22"/>
          <w:szCs w:val="22"/>
        </w:rPr>
      </w:pPr>
      <w:r w:rsidRPr="00EE0850">
        <w:rPr>
          <w:kern w:val="22"/>
          <w:szCs w:val="22"/>
        </w:rPr>
        <w:t>8.</w:t>
      </w:r>
      <w:r w:rsidRPr="00EE0850">
        <w:rPr>
          <w:kern w:val="22"/>
          <w:szCs w:val="22"/>
        </w:rPr>
        <w:tab/>
      </w:r>
      <w:r w:rsidRPr="00EE0850">
        <w:rPr>
          <w:i/>
          <w:kern w:val="22"/>
          <w:szCs w:val="22"/>
        </w:rPr>
        <w:t>Requests</w:t>
      </w:r>
      <w:r w:rsidRPr="00EE0850">
        <w:rPr>
          <w:kern w:val="22"/>
          <w:szCs w:val="22"/>
        </w:rPr>
        <w:t xml:space="preserve"> the Subsidiary Body on Implementation at its third meeting to review the evaluation report submitted by the Executive Secretary and submit its recommendations to the Conference of the Parties serving as the meeting of the Parties to the Protocol at its fourth meeting.</w:t>
      </w:r>
    </w:p>
    <w:p w14:paraId="1CE72E8B" w14:textId="77777777" w:rsidR="009E044D" w:rsidRPr="00EE0850" w:rsidRDefault="009E044D" w:rsidP="000C6220">
      <w:pPr>
        <w:pStyle w:val="Para1"/>
        <w:keepNext/>
        <w:numPr>
          <w:ilvl w:val="0"/>
          <w:numId w:val="56"/>
        </w:numPr>
        <w:suppressLineNumbers/>
        <w:tabs>
          <w:tab w:val="clear" w:pos="567"/>
        </w:tabs>
        <w:suppressAutoHyphens/>
        <w:kinsoku w:val="0"/>
        <w:overflowPunct w:val="0"/>
        <w:autoSpaceDE w:val="0"/>
        <w:autoSpaceDN w:val="0"/>
        <w:adjustRightInd w:val="0"/>
        <w:snapToGrid w:val="0"/>
        <w:spacing w:line="240" w:lineRule="auto"/>
        <w:jc w:val="center"/>
        <w:rPr>
          <w:b/>
          <w:kern w:val="22"/>
          <w:szCs w:val="22"/>
        </w:rPr>
      </w:pPr>
      <w:r w:rsidRPr="00EE0850">
        <w:rPr>
          <w:b/>
          <w:kern w:val="22"/>
          <w:szCs w:val="22"/>
        </w:rPr>
        <w:t>Long-term strategic framework for capacity-building beyond 2020</w:t>
      </w:r>
    </w:p>
    <w:p w14:paraId="6BF13C79" w14:textId="77777777" w:rsidR="009E044D" w:rsidRPr="00EE0850" w:rsidRDefault="009E044D" w:rsidP="000C6220">
      <w:pPr>
        <w:pStyle w:val="Para1"/>
        <w:keepNext/>
        <w:numPr>
          <w:ilvl w:val="0"/>
          <w:numId w:val="0"/>
        </w:numPr>
        <w:suppressLineNumbers/>
        <w:suppressAutoHyphens/>
        <w:kinsoku w:val="0"/>
        <w:overflowPunct w:val="0"/>
        <w:autoSpaceDE w:val="0"/>
        <w:autoSpaceDN w:val="0"/>
        <w:adjustRightInd w:val="0"/>
        <w:snapToGrid w:val="0"/>
        <w:spacing w:line="240" w:lineRule="auto"/>
        <w:ind w:firstLine="720"/>
        <w:rPr>
          <w:i/>
          <w:kern w:val="22"/>
          <w:szCs w:val="22"/>
        </w:rPr>
      </w:pPr>
      <w:r w:rsidRPr="00EE0850">
        <w:rPr>
          <w:i/>
          <w:kern w:val="22"/>
          <w:szCs w:val="22"/>
        </w:rPr>
        <w:t>The Conference of the Parties serving as the meeting of the Parties to the Nagoya Protocol,</w:t>
      </w:r>
    </w:p>
    <w:p w14:paraId="20A9CDB8" w14:textId="77777777" w:rsidR="009E044D" w:rsidRPr="00EE0850" w:rsidRDefault="009E044D" w:rsidP="000C6220">
      <w:pPr>
        <w:pStyle w:val="Para1"/>
        <w:keepNext/>
        <w:numPr>
          <w:ilvl w:val="0"/>
          <w:numId w:val="0"/>
        </w:numPr>
        <w:suppressLineNumbers/>
        <w:suppressAutoHyphens/>
        <w:kinsoku w:val="0"/>
        <w:overflowPunct w:val="0"/>
        <w:autoSpaceDE w:val="0"/>
        <w:autoSpaceDN w:val="0"/>
        <w:adjustRightInd w:val="0"/>
        <w:snapToGrid w:val="0"/>
        <w:spacing w:line="240" w:lineRule="auto"/>
        <w:ind w:firstLine="720"/>
        <w:rPr>
          <w:kern w:val="22"/>
          <w:szCs w:val="22"/>
        </w:rPr>
      </w:pPr>
      <w:r w:rsidRPr="00EE0850">
        <w:rPr>
          <w:i/>
          <w:iCs/>
          <w:kern w:val="22"/>
          <w:szCs w:val="22"/>
        </w:rPr>
        <w:t xml:space="preserve">Recalling </w:t>
      </w:r>
      <w:r w:rsidRPr="00EE0850">
        <w:rPr>
          <w:kern w:val="22"/>
          <w:szCs w:val="22"/>
        </w:rPr>
        <w:t xml:space="preserve">decisions </w:t>
      </w:r>
      <w:r w:rsidRPr="00EE0850">
        <w:rPr>
          <w:rStyle w:val="Hyperlink"/>
          <w:kern w:val="22"/>
          <w:sz w:val="22"/>
          <w:szCs w:val="22"/>
        </w:rPr>
        <w:t>NP-1/8</w:t>
      </w:r>
      <w:r w:rsidRPr="00EE0850">
        <w:rPr>
          <w:kern w:val="22"/>
          <w:szCs w:val="22"/>
        </w:rPr>
        <w:t xml:space="preserve"> and </w:t>
      </w:r>
      <w:r w:rsidRPr="00EE0850">
        <w:rPr>
          <w:rStyle w:val="Hyperlink"/>
          <w:kern w:val="22"/>
          <w:sz w:val="22"/>
          <w:szCs w:val="22"/>
        </w:rPr>
        <w:t>NP-2/8</w:t>
      </w:r>
      <w:r w:rsidRPr="00EE0850">
        <w:rPr>
          <w:kern w:val="22"/>
          <w:szCs w:val="22"/>
        </w:rPr>
        <w:t>,</w:t>
      </w:r>
    </w:p>
    <w:p w14:paraId="2D45C4B7" w14:textId="77777777" w:rsidR="009E044D" w:rsidRPr="00EE0850" w:rsidRDefault="009E044D" w:rsidP="000C6220">
      <w:pPr>
        <w:pStyle w:val="Para1"/>
        <w:numPr>
          <w:ilvl w:val="0"/>
          <w:numId w:val="0"/>
        </w:numPr>
        <w:suppressLineNumbers/>
        <w:tabs>
          <w:tab w:val="clear" w:pos="567"/>
          <w:tab w:val="clear" w:pos="2912"/>
          <w:tab w:val="num" w:pos="1418"/>
        </w:tabs>
        <w:suppressAutoHyphens/>
        <w:kinsoku w:val="0"/>
        <w:overflowPunct w:val="0"/>
        <w:autoSpaceDE w:val="0"/>
        <w:autoSpaceDN w:val="0"/>
        <w:adjustRightInd w:val="0"/>
        <w:snapToGrid w:val="0"/>
        <w:spacing w:line="240" w:lineRule="auto"/>
        <w:ind w:firstLine="720"/>
        <w:rPr>
          <w:kern w:val="22"/>
          <w:szCs w:val="22"/>
        </w:rPr>
      </w:pPr>
      <w:r w:rsidRPr="00EE0850">
        <w:rPr>
          <w:kern w:val="22"/>
          <w:szCs w:val="22"/>
        </w:rPr>
        <w:t>1.</w:t>
      </w:r>
      <w:r w:rsidRPr="00EE0850">
        <w:rPr>
          <w:kern w:val="22"/>
          <w:szCs w:val="22"/>
        </w:rPr>
        <w:tab/>
      </w:r>
      <w:r w:rsidRPr="00EE0850">
        <w:rPr>
          <w:i/>
          <w:kern w:val="22"/>
          <w:szCs w:val="22"/>
        </w:rPr>
        <w:t>Takes note</w:t>
      </w:r>
      <w:r w:rsidRPr="00EE0850">
        <w:rPr>
          <w:kern w:val="22"/>
          <w:szCs w:val="22"/>
        </w:rPr>
        <w:t xml:space="preserve"> of the progress report on the implementation of the short-term action plan (2017-2020) to enhance and support capacity-building for the implementation of the Convention and its Protocols supported and facilitated by the Executive Secretary in collaboration with various partners;</w:t>
      </w:r>
      <w:r w:rsidRPr="00EE0850">
        <w:rPr>
          <w:rStyle w:val="StyleFootnoteReferencenumberFootnoteReferenceSuperscript-EF"/>
          <w:sz w:val="22"/>
          <w:szCs w:val="22"/>
        </w:rPr>
        <w:footnoteReference w:id="13"/>
      </w:r>
    </w:p>
    <w:p w14:paraId="68987526" w14:textId="77777777" w:rsidR="009E044D" w:rsidRPr="00EE0850" w:rsidRDefault="009E044D" w:rsidP="000C6220">
      <w:pPr>
        <w:pStyle w:val="Para1"/>
        <w:numPr>
          <w:ilvl w:val="0"/>
          <w:numId w:val="0"/>
        </w:numPr>
        <w:suppressLineNumbers/>
        <w:tabs>
          <w:tab w:val="clear" w:pos="567"/>
          <w:tab w:val="clear" w:pos="2912"/>
          <w:tab w:val="num" w:pos="1418"/>
        </w:tabs>
        <w:suppressAutoHyphens/>
        <w:kinsoku w:val="0"/>
        <w:overflowPunct w:val="0"/>
        <w:autoSpaceDE w:val="0"/>
        <w:autoSpaceDN w:val="0"/>
        <w:adjustRightInd w:val="0"/>
        <w:snapToGrid w:val="0"/>
        <w:spacing w:line="240" w:lineRule="auto"/>
        <w:ind w:firstLine="720"/>
        <w:rPr>
          <w:kern w:val="22"/>
          <w:szCs w:val="22"/>
        </w:rPr>
      </w:pPr>
      <w:r w:rsidRPr="00EE0850">
        <w:rPr>
          <w:kern w:val="22"/>
          <w:szCs w:val="22"/>
        </w:rPr>
        <w:t>2.</w:t>
      </w:r>
      <w:r w:rsidRPr="00EE0850">
        <w:rPr>
          <w:kern w:val="22"/>
          <w:szCs w:val="22"/>
        </w:rPr>
        <w:tab/>
      </w:r>
      <w:r w:rsidRPr="00EE0850">
        <w:rPr>
          <w:i/>
          <w:kern w:val="22"/>
          <w:szCs w:val="22"/>
        </w:rPr>
        <w:t>Welcomes</w:t>
      </w:r>
      <w:r w:rsidRPr="00EE0850">
        <w:rPr>
          <w:kern w:val="22"/>
          <w:szCs w:val="22"/>
        </w:rPr>
        <w:t xml:space="preserve"> the terms of reference for the study to provide an information base for the preparation of a long-term strategic framework for capacity-building beyond 2020, as contained in decision 14/24, annex I, appendix, and </w:t>
      </w:r>
      <w:r w:rsidRPr="00EE0850">
        <w:rPr>
          <w:i/>
          <w:iCs/>
          <w:kern w:val="22"/>
          <w:szCs w:val="22"/>
        </w:rPr>
        <w:t>notes</w:t>
      </w:r>
      <w:r w:rsidRPr="00EE0850">
        <w:rPr>
          <w:kern w:val="22"/>
          <w:szCs w:val="22"/>
        </w:rPr>
        <w:t xml:space="preserve"> that, in decision 14/24, the Conference of the Parties requested the Executive Secretary to commission a study, subject to the availability of resources, to provide an information base for the preparation of a long-term strategic framework for capacity-building beyond 2020, and </w:t>
      </w:r>
      <w:r w:rsidRPr="00EE0850">
        <w:rPr>
          <w:i/>
          <w:iCs/>
          <w:kern w:val="22"/>
          <w:szCs w:val="22"/>
        </w:rPr>
        <w:t>requests</w:t>
      </w:r>
      <w:r w:rsidRPr="00EE0850">
        <w:rPr>
          <w:kern w:val="22"/>
          <w:szCs w:val="22"/>
        </w:rPr>
        <w:t xml:space="preserve"> that aspects relevant to the Nagoya Protocol be considered in the study;</w:t>
      </w:r>
    </w:p>
    <w:p w14:paraId="3BD31663" w14:textId="77777777" w:rsidR="009E044D" w:rsidRPr="00EE0850" w:rsidRDefault="009E044D" w:rsidP="000C6220">
      <w:pPr>
        <w:pStyle w:val="Para1"/>
        <w:numPr>
          <w:ilvl w:val="0"/>
          <w:numId w:val="0"/>
        </w:numPr>
        <w:suppressLineNumbers/>
        <w:tabs>
          <w:tab w:val="clear" w:pos="567"/>
          <w:tab w:val="clear" w:pos="2912"/>
          <w:tab w:val="num" w:pos="1418"/>
        </w:tabs>
        <w:suppressAutoHyphens/>
        <w:kinsoku w:val="0"/>
        <w:overflowPunct w:val="0"/>
        <w:autoSpaceDE w:val="0"/>
        <w:autoSpaceDN w:val="0"/>
        <w:adjustRightInd w:val="0"/>
        <w:snapToGrid w:val="0"/>
        <w:spacing w:line="240" w:lineRule="auto"/>
        <w:ind w:firstLine="720"/>
        <w:rPr>
          <w:kern w:val="22"/>
          <w:szCs w:val="22"/>
        </w:rPr>
      </w:pPr>
      <w:r w:rsidRPr="00EE0850">
        <w:rPr>
          <w:kern w:val="22"/>
          <w:szCs w:val="22"/>
        </w:rPr>
        <w:t>3.</w:t>
      </w:r>
      <w:r w:rsidRPr="00EE0850">
        <w:rPr>
          <w:kern w:val="22"/>
          <w:szCs w:val="22"/>
        </w:rPr>
        <w:tab/>
      </w:r>
      <w:r w:rsidRPr="00EE0850">
        <w:rPr>
          <w:i/>
          <w:kern w:val="22"/>
          <w:szCs w:val="22"/>
        </w:rPr>
        <w:t>Invites</w:t>
      </w:r>
      <w:r w:rsidRPr="00EE0850">
        <w:rPr>
          <w:kern w:val="22"/>
          <w:szCs w:val="22"/>
        </w:rPr>
        <w:t xml:space="preserve"> Parties, indigenous peoples and local communities and relevant organizations to provide the Executive Secretary with views and suggestions on the possible elements of the long-term strategic framework for capacity-building beyond 2020;</w:t>
      </w:r>
    </w:p>
    <w:p w14:paraId="2C0E96CD" w14:textId="77777777" w:rsidR="009E044D" w:rsidRPr="00EE0850" w:rsidRDefault="009E044D" w:rsidP="000C6220">
      <w:pPr>
        <w:pStyle w:val="Para1"/>
        <w:numPr>
          <w:ilvl w:val="0"/>
          <w:numId w:val="0"/>
        </w:numPr>
        <w:suppressLineNumbers/>
        <w:tabs>
          <w:tab w:val="clear" w:pos="567"/>
          <w:tab w:val="clear" w:pos="2912"/>
          <w:tab w:val="num" w:pos="1418"/>
        </w:tabs>
        <w:suppressAutoHyphens/>
        <w:kinsoku w:val="0"/>
        <w:overflowPunct w:val="0"/>
        <w:autoSpaceDE w:val="0"/>
        <w:autoSpaceDN w:val="0"/>
        <w:adjustRightInd w:val="0"/>
        <w:snapToGrid w:val="0"/>
        <w:spacing w:line="240" w:lineRule="auto"/>
        <w:ind w:firstLine="720"/>
        <w:rPr>
          <w:kern w:val="22"/>
          <w:szCs w:val="22"/>
        </w:rPr>
      </w:pPr>
      <w:r w:rsidRPr="00EE0850">
        <w:rPr>
          <w:kern w:val="22"/>
          <w:szCs w:val="22"/>
        </w:rPr>
        <w:t>4.</w:t>
      </w:r>
      <w:r w:rsidRPr="00EE0850">
        <w:rPr>
          <w:kern w:val="22"/>
          <w:szCs w:val="22"/>
        </w:rPr>
        <w:tab/>
      </w:r>
      <w:r w:rsidRPr="00EE0850">
        <w:rPr>
          <w:i/>
          <w:kern w:val="22"/>
          <w:szCs w:val="22"/>
        </w:rPr>
        <w:t xml:space="preserve">Also invites </w:t>
      </w:r>
      <w:r w:rsidRPr="00EE0850">
        <w:rPr>
          <w:kern w:val="22"/>
          <w:szCs w:val="22"/>
        </w:rPr>
        <w:t>Parties as well as indigenous peoples and local communities and relevant organizations to participate in the consultative workshops and online discussion forums on the draft long-term strategic framework for capacity-building beyond 2020, in conjunction with the preparatory process for the post-2020 global biodiversity framework;</w:t>
      </w:r>
    </w:p>
    <w:p w14:paraId="46BC1136" w14:textId="77777777" w:rsidR="009E044D" w:rsidRPr="00EE0850" w:rsidRDefault="009E044D" w:rsidP="000C6220">
      <w:pPr>
        <w:pStyle w:val="Para1"/>
        <w:numPr>
          <w:ilvl w:val="0"/>
          <w:numId w:val="0"/>
        </w:numPr>
        <w:suppressLineNumbers/>
        <w:tabs>
          <w:tab w:val="clear" w:pos="567"/>
          <w:tab w:val="clear" w:pos="2912"/>
          <w:tab w:val="num" w:pos="1418"/>
        </w:tabs>
        <w:suppressAutoHyphens/>
        <w:kinsoku w:val="0"/>
        <w:overflowPunct w:val="0"/>
        <w:autoSpaceDE w:val="0"/>
        <w:autoSpaceDN w:val="0"/>
        <w:adjustRightInd w:val="0"/>
        <w:snapToGrid w:val="0"/>
        <w:spacing w:line="240" w:lineRule="auto"/>
        <w:ind w:firstLine="720"/>
        <w:rPr>
          <w:kern w:val="22"/>
          <w:szCs w:val="22"/>
        </w:rPr>
      </w:pPr>
      <w:r w:rsidRPr="00EE0850">
        <w:rPr>
          <w:rFonts w:eastAsia="MS Mincho"/>
          <w:kern w:val="22"/>
          <w:szCs w:val="22"/>
        </w:rPr>
        <w:t>5.</w:t>
      </w:r>
      <w:r w:rsidRPr="00EE0850">
        <w:rPr>
          <w:rFonts w:eastAsia="MS Mincho"/>
          <w:kern w:val="22"/>
          <w:szCs w:val="22"/>
        </w:rPr>
        <w:tab/>
      </w:r>
      <w:r w:rsidRPr="00EE0850">
        <w:rPr>
          <w:rFonts w:eastAsia="MS Mincho"/>
          <w:i/>
          <w:kern w:val="22"/>
          <w:szCs w:val="22"/>
        </w:rPr>
        <w:t>Requests</w:t>
      </w:r>
      <w:r w:rsidRPr="00EE0850">
        <w:rPr>
          <w:rFonts w:eastAsia="MS Mincho"/>
          <w:kern w:val="22"/>
          <w:szCs w:val="22"/>
        </w:rPr>
        <w:t xml:space="preserve"> the Informal Advisory Committee on Capacity-building for the implementation of the Nagoya Protocol to contribute to the development of the draft long-term strategic framework for capacity-building beyond 2020;</w:t>
      </w:r>
    </w:p>
    <w:p w14:paraId="37ED1D2F" w14:textId="77777777" w:rsidR="009E044D" w:rsidRPr="00EE0850" w:rsidRDefault="009E044D" w:rsidP="000C6220">
      <w:pPr>
        <w:pStyle w:val="Para1"/>
        <w:numPr>
          <w:ilvl w:val="0"/>
          <w:numId w:val="0"/>
        </w:numPr>
        <w:suppressLineNumbers/>
        <w:tabs>
          <w:tab w:val="clear" w:pos="567"/>
          <w:tab w:val="clear" w:pos="2912"/>
          <w:tab w:val="num" w:pos="1418"/>
        </w:tabs>
        <w:suppressAutoHyphens/>
        <w:kinsoku w:val="0"/>
        <w:overflowPunct w:val="0"/>
        <w:autoSpaceDE w:val="0"/>
        <w:autoSpaceDN w:val="0"/>
        <w:adjustRightInd w:val="0"/>
        <w:snapToGrid w:val="0"/>
        <w:spacing w:line="240" w:lineRule="auto"/>
        <w:ind w:firstLine="720"/>
        <w:rPr>
          <w:kern w:val="22"/>
          <w:szCs w:val="22"/>
        </w:rPr>
      </w:pPr>
      <w:r w:rsidRPr="00EE0850">
        <w:rPr>
          <w:kern w:val="22"/>
          <w:szCs w:val="22"/>
        </w:rPr>
        <w:t>6.</w:t>
      </w:r>
      <w:r w:rsidRPr="00EE0850">
        <w:rPr>
          <w:kern w:val="22"/>
          <w:szCs w:val="22"/>
        </w:rPr>
        <w:tab/>
      </w:r>
      <w:r w:rsidRPr="00EE0850">
        <w:rPr>
          <w:i/>
          <w:kern w:val="22"/>
          <w:szCs w:val="22"/>
        </w:rPr>
        <w:t>Requests</w:t>
      </w:r>
      <w:r w:rsidRPr="00EE0850">
        <w:rPr>
          <w:iCs/>
          <w:kern w:val="22"/>
          <w:szCs w:val="22"/>
        </w:rPr>
        <w:t xml:space="preserve"> t</w:t>
      </w:r>
      <w:r w:rsidRPr="00EE0850">
        <w:rPr>
          <w:kern w:val="22"/>
          <w:szCs w:val="22"/>
        </w:rPr>
        <w:t>he Executive Secretary, subject to the availability of resources, to submit a draft long-term strategic framework for capacity-building beyond 2020 for consideration by the Subsidiary Body on Implementation at its third meeting and for subsequent consideration by the Conference of the Parties serving as the meeting of the Parties to the Protocol at its fourth meeting;</w:t>
      </w:r>
    </w:p>
    <w:p w14:paraId="1E856260" w14:textId="77777777" w:rsidR="009E044D" w:rsidRPr="00EE0850" w:rsidRDefault="009E044D" w:rsidP="000C6220">
      <w:pPr>
        <w:keepNext/>
        <w:suppressLineNumbers/>
        <w:suppressAutoHyphens/>
        <w:spacing w:before="120" w:line="240" w:lineRule="auto"/>
        <w:jc w:val="center"/>
        <w:outlineLvl w:val="2"/>
        <w:rPr>
          <w:i/>
          <w:kern w:val="22"/>
          <w:szCs w:val="22"/>
        </w:rPr>
      </w:pPr>
      <w:r w:rsidRPr="00EE0850">
        <w:rPr>
          <w:i/>
          <w:kern w:val="22"/>
          <w:szCs w:val="22"/>
        </w:rPr>
        <w:t>Annex</w:t>
      </w:r>
    </w:p>
    <w:p w14:paraId="7E1BCF98" w14:textId="77777777" w:rsidR="009E044D" w:rsidRPr="00EE0850" w:rsidRDefault="009E044D" w:rsidP="000C6220">
      <w:pPr>
        <w:keepNext/>
        <w:suppressLineNumbers/>
        <w:suppressAutoHyphens/>
        <w:spacing w:before="120" w:line="240" w:lineRule="auto"/>
        <w:jc w:val="center"/>
        <w:rPr>
          <w:b/>
          <w:caps/>
          <w:kern w:val="22"/>
          <w:szCs w:val="22"/>
        </w:rPr>
      </w:pPr>
      <w:r w:rsidRPr="00EE0850">
        <w:rPr>
          <w:b/>
          <w:caps/>
          <w:kern w:val="22"/>
          <w:szCs w:val="22"/>
        </w:rPr>
        <w:t>Elements for the evaluation of the strategic framework for capacity</w:t>
      </w:r>
      <w:r w:rsidRPr="00EE0850">
        <w:rPr>
          <w:b/>
          <w:caps/>
          <w:kern w:val="22"/>
          <w:szCs w:val="22"/>
        </w:rPr>
        <w:noBreakHyphen/>
        <w:t>building and development to support the effective implementation of the Nagoya Protocol</w:t>
      </w:r>
    </w:p>
    <w:p w14:paraId="0BF7E871" w14:textId="77777777" w:rsidR="009E044D" w:rsidRPr="00EE0850" w:rsidRDefault="009E044D" w:rsidP="000C6220">
      <w:pPr>
        <w:keepNext/>
        <w:suppressLineNumbers/>
        <w:tabs>
          <w:tab w:val="left" w:pos="426"/>
        </w:tabs>
        <w:suppressAutoHyphens/>
        <w:kinsoku w:val="0"/>
        <w:overflowPunct w:val="0"/>
        <w:autoSpaceDE w:val="0"/>
        <w:autoSpaceDN w:val="0"/>
        <w:snapToGrid w:val="0"/>
        <w:spacing w:before="120" w:line="240" w:lineRule="auto"/>
        <w:jc w:val="center"/>
        <w:rPr>
          <w:b/>
          <w:kern w:val="22"/>
          <w:szCs w:val="22"/>
        </w:rPr>
      </w:pPr>
      <w:r w:rsidRPr="00EE0850">
        <w:rPr>
          <w:b/>
          <w:kern w:val="22"/>
          <w:szCs w:val="22"/>
        </w:rPr>
        <w:t>A.</w:t>
      </w:r>
      <w:r w:rsidRPr="00EE0850">
        <w:rPr>
          <w:b/>
          <w:kern w:val="22"/>
          <w:szCs w:val="22"/>
        </w:rPr>
        <w:tab/>
        <w:t>Scope and objectives of the evaluation</w:t>
      </w:r>
    </w:p>
    <w:p w14:paraId="409CF205" w14:textId="77777777" w:rsidR="009E044D" w:rsidRPr="00EE0850" w:rsidRDefault="009E044D" w:rsidP="000C6220">
      <w:pPr>
        <w:suppressLineNumbers/>
        <w:suppressAutoHyphens/>
        <w:kinsoku w:val="0"/>
        <w:overflowPunct w:val="0"/>
        <w:autoSpaceDE w:val="0"/>
        <w:autoSpaceDN w:val="0"/>
        <w:snapToGrid w:val="0"/>
        <w:spacing w:before="120" w:line="240" w:lineRule="auto"/>
        <w:rPr>
          <w:snapToGrid w:val="0"/>
          <w:kern w:val="22"/>
          <w:szCs w:val="22"/>
        </w:rPr>
      </w:pPr>
      <w:r w:rsidRPr="00EE0850">
        <w:rPr>
          <w:snapToGrid w:val="0"/>
          <w:kern w:val="22"/>
          <w:szCs w:val="22"/>
        </w:rPr>
        <w:t>1.</w:t>
      </w:r>
      <w:r w:rsidRPr="00EE0850">
        <w:rPr>
          <w:snapToGrid w:val="0"/>
          <w:kern w:val="22"/>
          <w:szCs w:val="22"/>
        </w:rPr>
        <w:tab/>
        <w:t>It is proposed that the exercise focus on evaluating the relevance and effectiveness of the strategic framework in guiding the capacity-building and development efforts during the short and medium term (2014-2020) and offering recommendations that could be useful for the possible revision of the strategic framework beyond 2020. In other words, the objective of the evaluation will be to assess the framework’s contribution in helping foster a strategic, coherent and coordinated approach to capacity-building and development for the effective implementation of the Nagoya Protocol.</w:t>
      </w:r>
    </w:p>
    <w:p w14:paraId="5FFD81C8" w14:textId="77777777" w:rsidR="009E044D" w:rsidRPr="00EE0850" w:rsidRDefault="009E044D" w:rsidP="000C6220">
      <w:pPr>
        <w:suppressLineNumbers/>
        <w:suppressAutoHyphens/>
        <w:kinsoku w:val="0"/>
        <w:overflowPunct w:val="0"/>
        <w:autoSpaceDE w:val="0"/>
        <w:autoSpaceDN w:val="0"/>
        <w:snapToGrid w:val="0"/>
        <w:spacing w:before="120" w:line="240" w:lineRule="auto"/>
        <w:rPr>
          <w:snapToGrid w:val="0"/>
          <w:kern w:val="22"/>
          <w:szCs w:val="22"/>
        </w:rPr>
      </w:pPr>
      <w:r w:rsidRPr="00EE0850">
        <w:rPr>
          <w:snapToGrid w:val="0"/>
          <w:kern w:val="22"/>
          <w:szCs w:val="22"/>
        </w:rPr>
        <w:t>2.</w:t>
      </w:r>
      <w:r w:rsidRPr="00EE0850">
        <w:rPr>
          <w:snapToGrid w:val="0"/>
          <w:kern w:val="22"/>
          <w:szCs w:val="22"/>
        </w:rPr>
        <w:tab/>
        <w:t>Specific objectives of the evaluation will be threefold:</w:t>
      </w:r>
    </w:p>
    <w:p w14:paraId="1B68B8F0"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(a)</w:t>
      </w:r>
      <w:r w:rsidRPr="00EE0850">
        <w:rPr>
          <w:kern w:val="22"/>
          <w:szCs w:val="22"/>
        </w:rPr>
        <w:tab/>
        <w:t>To take stock and review progress made in the implementation of the strategic framework, including the main achievements by key area of the strategic framework, limitations and lessons learned since its adoption in 2014, based on the achievement of the objectives of the strategic framework;</w:t>
      </w:r>
      <w:r w:rsidRPr="00EE0850">
        <w:rPr>
          <w:rStyle w:val="FootnoteReference"/>
          <w:kern w:val="22"/>
          <w:sz w:val="22"/>
          <w:szCs w:val="22"/>
          <w:u w:val="none"/>
          <w:vertAlign w:val="superscript"/>
        </w:rPr>
        <w:footnoteReference w:id="14"/>
      </w:r>
    </w:p>
    <w:p w14:paraId="1B8B9C84"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(b)</w:t>
      </w:r>
      <w:r w:rsidRPr="00EE0850">
        <w:rPr>
          <w:kern w:val="22"/>
          <w:szCs w:val="22"/>
        </w:rPr>
        <w:tab/>
        <w:t>To review the relevance and effectiveness of the strategic framework in guiding and facilitating capacity-building efforts while fostering coordination and cooperation in the short and medium term;</w:t>
      </w:r>
    </w:p>
    <w:p w14:paraId="560038D0"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(c)</w:t>
      </w:r>
      <w:r w:rsidRPr="00EE0850">
        <w:rPr>
          <w:kern w:val="22"/>
          <w:szCs w:val="22"/>
        </w:rPr>
        <w:tab/>
        <w:t>To propose options and make recommendations for further capacity-building to support the implementation of the Nagoya Protocol that could be taken into consideration for the preparation of the long-term strategic framework for capacity-building and development beyond 2020 pursuant to decision XIII/23 of the Conference of the Parties.</w:t>
      </w:r>
    </w:p>
    <w:p w14:paraId="61905AA1" w14:textId="77777777" w:rsidR="009E044D" w:rsidRPr="00EE0850" w:rsidRDefault="009E044D" w:rsidP="000C6220">
      <w:pPr>
        <w:keepNext/>
        <w:suppressLineNumbers/>
        <w:suppressAutoHyphens/>
        <w:kinsoku w:val="0"/>
        <w:overflowPunct w:val="0"/>
        <w:autoSpaceDE w:val="0"/>
        <w:autoSpaceDN w:val="0"/>
        <w:snapToGrid w:val="0"/>
        <w:spacing w:before="120" w:line="240" w:lineRule="auto"/>
        <w:jc w:val="center"/>
        <w:rPr>
          <w:b/>
          <w:kern w:val="22"/>
          <w:szCs w:val="22"/>
        </w:rPr>
      </w:pPr>
      <w:r w:rsidRPr="00EE0850">
        <w:rPr>
          <w:b/>
          <w:kern w:val="22"/>
          <w:szCs w:val="22"/>
        </w:rPr>
        <w:t>B.</w:t>
      </w:r>
      <w:r w:rsidRPr="00EE0850">
        <w:rPr>
          <w:b/>
          <w:kern w:val="22"/>
          <w:szCs w:val="22"/>
        </w:rPr>
        <w:tab/>
        <w:t>Methodology and sources of information</w:t>
      </w:r>
    </w:p>
    <w:p w14:paraId="79F1AEDF" w14:textId="77777777" w:rsidR="009E044D" w:rsidRPr="00EE0850" w:rsidRDefault="009E044D" w:rsidP="000C6220">
      <w:pPr>
        <w:suppressLineNumbers/>
        <w:suppressAutoHyphens/>
        <w:kinsoku w:val="0"/>
        <w:overflowPunct w:val="0"/>
        <w:autoSpaceDE w:val="0"/>
        <w:autoSpaceDN w:val="0"/>
        <w:snapToGrid w:val="0"/>
        <w:spacing w:before="120" w:line="240" w:lineRule="auto"/>
        <w:rPr>
          <w:snapToGrid w:val="0"/>
          <w:kern w:val="22"/>
          <w:szCs w:val="22"/>
        </w:rPr>
      </w:pPr>
      <w:r w:rsidRPr="00EE0850">
        <w:rPr>
          <w:snapToGrid w:val="0"/>
          <w:kern w:val="22"/>
          <w:szCs w:val="22"/>
        </w:rPr>
        <w:t>3.</w:t>
      </w:r>
      <w:r w:rsidRPr="00EE0850">
        <w:rPr>
          <w:snapToGrid w:val="0"/>
          <w:kern w:val="22"/>
          <w:szCs w:val="22"/>
        </w:rPr>
        <w:tab/>
        <w:t>The Secretariat will be responsible for carrying out the evaluation in 2019 with inputs from Parties, international organizations and other relevant stakeholders. Three main data collection methods will be used: (a) documentation review; (b) an online survey; and (c) interviews with representatives of key organizations working on capacity</w:t>
      </w:r>
      <w:r w:rsidRPr="00EE0850">
        <w:rPr>
          <w:snapToGrid w:val="0"/>
          <w:kern w:val="22"/>
          <w:szCs w:val="22"/>
        </w:rPr>
        <w:noBreakHyphen/>
        <w:t>building and development related to access and benefit-sharing.</w:t>
      </w:r>
    </w:p>
    <w:p w14:paraId="47CE9FCA" w14:textId="77777777" w:rsidR="009E044D" w:rsidRPr="00EE0850" w:rsidRDefault="009E044D" w:rsidP="000C6220">
      <w:pPr>
        <w:suppressLineNumbers/>
        <w:suppressAutoHyphens/>
        <w:kinsoku w:val="0"/>
        <w:overflowPunct w:val="0"/>
        <w:autoSpaceDE w:val="0"/>
        <w:autoSpaceDN w:val="0"/>
        <w:snapToGrid w:val="0"/>
        <w:spacing w:before="120" w:line="240" w:lineRule="auto"/>
        <w:rPr>
          <w:snapToGrid w:val="0"/>
          <w:kern w:val="22"/>
          <w:szCs w:val="22"/>
        </w:rPr>
      </w:pPr>
      <w:r w:rsidRPr="00EE0850">
        <w:rPr>
          <w:snapToGrid w:val="0"/>
          <w:kern w:val="22"/>
          <w:szCs w:val="22"/>
        </w:rPr>
        <w:t>4.</w:t>
      </w:r>
      <w:r w:rsidRPr="00EE0850">
        <w:rPr>
          <w:snapToGrid w:val="0"/>
          <w:kern w:val="22"/>
          <w:szCs w:val="22"/>
        </w:rPr>
        <w:tab/>
        <w:t>To guide the review, the following set of questions and sub-questions is proposed:</w:t>
      </w:r>
    </w:p>
    <w:p w14:paraId="5CD4EF1C"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bCs/>
          <w:kern w:val="22"/>
          <w:szCs w:val="22"/>
        </w:rPr>
      </w:pPr>
      <w:r w:rsidRPr="00EE0850">
        <w:rPr>
          <w:bCs/>
          <w:kern w:val="22"/>
          <w:szCs w:val="22"/>
        </w:rPr>
        <w:t>(a)</w:t>
      </w:r>
      <w:r w:rsidRPr="00EE0850">
        <w:rPr>
          <w:bCs/>
          <w:kern w:val="22"/>
          <w:szCs w:val="22"/>
        </w:rPr>
        <w:tab/>
        <w:t>What progress has been made in the implementation of the strategic framework?</w:t>
      </w:r>
    </w:p>
    <w:p w14:paraId="6FE5E022"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708"/>
        <w:rPr>
          <w:kern w:val="22"/>
          <w:szCs w:val="22"/>
        </w:rPr>
      </w:pPr>
      <w:r w:rsidRPr="00EE0850">
        <w:rPr>
          <w:kern w:val="22"/>
          <w:szCs w:val="22"/>
        </w:rPr>
        <w:t>(</w:t>
      </w:r>
      <w:proofErr w:type="spellStart"/>
      <w:r w:rsidRPr="00EE0850">
        <w:rPr>
          <w:kern w:val="22"/>
          <w:szCs w:val="22"/>
        </w:rPr>
        <w:t>i</w:t>
      </w:r>
      <w:proofErr w:type="spellEnd"/>
      <w:r w:rsidRPr="00EE0850">
        <w:rPr>
          <w:kern w:val="22"/>
          <w:szCs w:val="22"/>
        </w:rPr>
        <w:t>)</w:t>
      </w:r>
      <w:r w:rsidRPr="00EE0850">
        <w:rPr>
          <w:kern w:val="22"/>
          <w:szCs w:val="22"/>
        </w:rPr>
        <w:tab/>
        <w:t>What have been the main achievements relating to the implementation of the strategic framework?</w:t>
      </w:r>
    </w:p>
    <w:p w14:paraId="60D465D2"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708"/>
        <w:rPr>
          <w:kern w:val="22"/>
          <w:szCs w:val="22"/>
        </w:rPr>
      </w:pPr>
      <w:r w:rsidRPr="00EE0850">
        <w:rPr>
          <w:kern w:val="22"/>
          <w:szCs w:val="22"/>
        </w:rPr>
        <w:t>(ii)</w:t>
      </w:r>
      <w:r w:rsidRPr="00EE0850">
        <w:rPr>
          <w:kern w:val="22"/>
          <w:szCs w:val="22"/>
        </w:rPr>
        <w:tab/>
        <w:t>What progress has been made in strengthening capacities in the five key areas</w:t>
      </w:r>
      <w:r w:rsidRPr="00EE0850">
        <w:rPr>
          <w:kern w:val="22"/>
          <w:szCs w:val="22"/>
          <w:vertAlign w:val="superscript"/>
        </w:rPr>
        <w:footnoteReference w:id="15"/>
      </w:r>
      <w:r w:rsidRPr="00EE0850">
        <w:rPr>
          <w:kern w:val="22"/>
          <w:szCs w:val="22"/>
        </w:rPr>
        <w:t xml:space="preserve"> identified by the strategic framework?</w:t>
      </w:r>
    </w:p>
    <w:p w14:paraId="4F5311AA"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708"/>
        <w:rPr>
          <w:kern w:val="22"/>
          <w:szCs w:val="22"/>
        </w:rPr>
      </w:pPr>
      <w:r w:rsidRPr="00EE0850">
        <w:rPr>
          <w:kern w:val="22"/>
          <w:szCs w:val="22"/>
        </w:rPr>
        <w:t>(iii)</w:t>
      </w:r>
      <w:r w:rsidRPr="00EE0850">
        <w:rPr>
          <w:kern w:val="22"/>
          <w:szCs w:val="22"/>
        </w:rPr>
        <w:tab/>
        <w:t>Are there any gaps (thematic and/or geographic) in the implementation of the strategic framework?</w:t>
      </w:r>
    </w:p>
    <w:p w14:paraId="40D98192"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708"/>
        <w:rPr>
          <w:kern w:val="22"/>
          <w:szCs w:val="22"/>
        </w:rPr>
      </w:pPr>
      <w:r w:rsidRPr="00EE0850">
        <w:rPr>
          <w:kern w:val="22"/>
          <w:szCs w:val="22"/>
        </w:rPr>
        <w:t>(iv)</w:t>
      </w:r>
      <w:r w:rsidRPr="00EE0850">
        <w:rPr>
          <w:kern w:val="22"/>
          <w:szCs w:val="22"/>
        </w:rPr>
        <w:tab/>
        <w:t>Have the measures and capacity-building activities proposed in appendix II of the strategic framework been used in capacity-building initiatives?</w:t>
      </w:r>
    </w:p>
    <w:p w14:paraId="734C9D92"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708"/>
        <w:rPr>
          <w:kern w:val="22"/>
          <w:szCs w:val="22"/>
        </w:rPr>
      </w:pPr>
      <w:r w:rsidRPr="00EE0850">
        <w:rPr>
          <w:kern w:val="22"/>
          <w:szCs w:val="22"/>
        </w:rPr>
        <w:t>(v)</w:t>
      </w:r>
      <w:r w:rsidRPr="00EE0850">
        <w:rPr>
          <w:kern w:val="22"/>
          <w:szCs w:val="22"/>
        </w:rPr>
        <w:tab/>
        <w:t xml:space="preserve">What have been the main challenges/obstacles to implementation? </w:t>
      </w:r>
    </w:p>
    <w:p w14:paraId="5D45DA94"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708"/>
        <w:rPr>
          <w:kern w:val="22"/>
          <w:szCs w:val="22"/>
        </w:rPr>
      </w:pPr>
      <w:r w:rsidRPr="00EE0850">
        <w:rPr>
          <w:kern w:val="22"/>
          <w:szCs w:val="22"/>
        </w:rPr>
        <w:t>(vi)</w:t>
      </w:r>
      <w:r w:rsidRPr="00EE0850">
        <w:rPr>
          <w:kern w:val="22"/>
          <w:szCs w:val="22"/>
        </w:rPr>
        <w:tab/>
        <w:t>What have been the most successful approaches and lessons arising from the capacity</w:t>
      </w:r>
      <w:r w:rsidRPr="00EE0850">
        <w:rPr>
          <w:kern w:val="22"/>
          <w:szCs w:val="22"/>
        </w:rPr>
        <w:noBreakHyphen/>
        <w:t>building initiatives?</w:t>
      </w:r>
    </w:p>
    <w:p w14:paraId="5BDF595F"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bCs/>
          <w:kern w:val="22"/>
          <w:szCs w:val="22"/>
        </w:rPr>
      </w:pPr>
      <w:r w:rsidRPr="00EE0850">
        <w:rPr>
          <w:bCs/>
          <w:kern w:val="22"/>
          <w:szCs w:val="22"/>
        </w:rPr>
        <w:t>(b)</w:t>
      </w:r>
      <w:r w:rsidRPr="00EE0850">
        <w:rPr>
          <w:bCs/>
          <w:kern w:val="22"/>
          <w:szCs w:val="22"/>
        </w:rPr>
        <w:tab/>
        <w:t>To what extent has the strategic framework been effective in fostering a systematic, coherent and coordinated approach to capacity-building and development?</w:t>
      </w:r>
    </w:p>
    <w:p w14:paraId="22748A26"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708"/>
        <w:rPr>
          <w:kern w:val="22"/>
          <w:szCs w:val="22"/>
        </w:rPr>
      </w:pPr>
      <w:r w:rsidRPr="00EE0850">
        <w:rPr>
          <w:kern w:val="22"/>
          <w:szCs w:val="22"/>
        </w:rPr>
        <w:t>(</w:t>
      </w:r>
      <w:proofErr w:type="spellStart"/>
      <w:r w:rsidRPr="00EE0850">
        <w:rPr>
          <w:kern w:val="22"/>
          <w:szCs w:val="22"/>
        </w:rPr>
        <w:t>i</w:t>
      </w:r>
      <w:proofErr w:type="spellEnd"/>
      <w:r w:rsidRPr="00EE0850">
        <w:rPr>
          <w:kern w:val="22"/>
          <w:szCs w:val="22"/>
        </w:rPr>
        <w:t>)</w:t>
      </w:r>
      <w:r w:rsidRPr="00EE0850">
        <w:rPr>
          <w:kern w:val="22"/>
          <w:szCs w:val="22"/>
        </w:rPr>
        <w:tab/>
        <w:t>To what extent is the framework being used as a reference to guide the policies and actions of Parties, organizations and donors in relation to capacity-building for access and benefit-sharing (ABS)? If so, how? If it has not been used as a reference, please explain why;</w:t>
      </w:r>
    </w:p>
    <w:p w14:paraId="6BE49836"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708"/>
        <w:rPr>
          <w:kern w:val="22"/>
          <w:szCs w:val="22"/>
        </w:rPr>
      </w:pPr>
      <w:r w:rsidRPr="00EE0850">
        <w:rPr>
          <w:kern w:val="22"/>
          <w:szCs w:val="22"/>
        </w:rPr>
        <w:t>(ii)</w:t>
      </w:r>
      <w:r w:rsidRPr="00EE0850">
        <w:rPr>
          <w:kern w:val="22"/>
          <w:szCs w:val="22"/>
        </w:rPr>
        <w:tab/>
        <w:t>What have been the most useful mechanisms to facilitate coordination of the implementation of the strategic framework and how?</w:t>
      </w:r>
    </w:p>
    <w:p w14:paraId="3BB0499A"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708"/>
        <w:rPr>
          <w:kern w:val="22"/>
          <w:szCs w:val="22"/>
        </w:rPr>
      </w:pPr>
      <w:r w:rsidRPr="00EE0850">
        <w:rPr>
          <w:kern w:val="22"/>
          <w:szCs w:val="22"/>
        </w:rPr>
        <w:t>(iii)</w:t>
      </w:r>
      <w:r w:rsidRPr="00EE0850">
        <w:rPr>
          <w:kern w:val="22"/>
          <w:szCs w:val="22"/>
        </w:rPr>
        <w:tab/>
        <w:t>To what extent are Parties and relevant organizations cooperating on capacity</w:t>
      </w:r>
      <w:r w:rsidRPr="00EE0850">
        <w:rPr>
          <w:kern w:val="22"/>
          <w:szCs w:val="22"/>
        </w:rPr>
        <w:noBreakHyphen/>
        <w:t>development?</w:t>
      </w:r>
    </w:p>
    <w:p w14:paraId="750467B1"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bCs/>
          <w:kern w:val="22"/>
          <w:szCs w:val="22"/>
        </w:rPr>
      </w:pPr>
      <w:r w:rsidRPr="00EE0850">
        <w:rPr>
          <w:bCs/>
          <w:kern w:val="22"/>
          <w:szCs w:val="22"/>
        </w:rPr>
        <w:t>(c)</w:t>
      </w:r>
      <w:r w:rsidRPr="00EE0850">
        <w:rPr>
          <w:bCs/>
          <w:kern w:val="22"/>
          <w:szCs w:val="22"/>
        </w:rPr>
        <w:tab/>
        <w:t>In what way has the strategic framework been effective in guiding and facilitating capacity-building activities?</w:t>
      </w:r>
    </w:p>
    <w:p w14:paraId="450AEDD5"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567"/>
        <w:rPr>
          <w:kern w:val="22"/>
          <w:szCs w:val="22"/>
        </w:rPr>
      </w:pPr>
      <w:r w:rsidRPr="00EE0850">
        <w:rPr>
          <w:kern w:val="22"/>
          <w:szCs w:val="22"/>
        </w:rPr>
        <w:t>(</w:t>
      </w:r>
      <w:proofErr w:type="spellStart"/>
      <w:r w:rsidRPr="00EE0850">
        <w:rPr>
          <w:kern w:val="22"/>
          <w:szCs w:val="22"/>
        </w:rPr>
        <w:t>i</w:t>
      </w:r>
      <w:proofErr w:type="spellEnd"/>
      <w:r w:rsidRPr="00EE0850">
        <w:rPr>
          <w:kern w:val="22"/>
          <w:szCs w:val="22"/>
        </w:rPr>
        <w:t>)</w:t>
      </w:r>
      <w:r w:rsidRPr="00EE0850">
        <w:rPr>
          <w:kern w:val="22"/>
          <w:szCs w:val="22"/>
        </w:rPr>
        <w:tab/>
        <w:t>How has the strategic framework been used to guide capacity-building activities at the national, regional and international levels?</w:t>
      </w:r>
    </w:p>
    <w:p w14:paraId="4F52DA05"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567"/>
        <w:rPr>
          <w:kern w:val="22"/>
          <w:szCs w:val="22"/>
        </w:rPr>
      </w:pPr>
      <w:r w:rsidRPr="00EE0850">
        <w:rPr>
          <w:kern w:val="22"/>
          <w:szCs w:val="22"/>
        </w:rPr>
        <w:t>(ii)</w:t>
      </w:r>
      <w:r w:rsidRPr="00EE0850">
        <w:rPr>
          <w:kern w:val="22"/>
          <w:szCs w:val="22"/>
        </w:rPr>
        <w:tab/>
        <w:t>Was the strategic framework used to guide resource mobilization by Parties and has it influenced donor financing?</w:t>
      </w:r>
    </w:p>
    <w:p w14:paraId="3882E342"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567"/>
        <w:rPr>
          <w:kern w:val="22"/>
          <w:szCs w:val="22"/>
        </w:rPr>
      </w:pPr>
      <w:r w:rsidRPr="00EE0850">
        <w:rPr>
          <w:kern w:val="22"/>
          <w:szCs w:val="22"/>
        </w:rPr>
        <w:t>(iii)</w:t>
      </w:r>
      <w:r w:rsidRPr="00EE0850">
        <w:rPr>
          <w:kern w:val="22"/>
          <w:szCs w:val="22"/>
        </w:rPr>
        <w:tab/>
        <w:t>To what extent was the strategic framework taken into account by eligible countries in the design of their ABS capacity-building projects submitted to the Global Environment Facility?</w:t>
      </w:r>
    </w:p>
    <w:p w14:paraId="105534F8"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bCs/>
          <w:kern w:val="22"/>
          <w:szCs w:val="22"/>
        </w:rPr>
      </w:pPr>
      <w:r w:rsidRPr="00EE0850">
        <w:rPr>
          <w:bCs/>
          <w:kern w:val="22"/>
          <w:szCs w:val="22"/>
        </w:rPr>
        <w:t>(d)</w:t>
      </w:r>
      <w:r w:rsidRPr="00EE0850">
        <w:rPr>
          <w:bCs/>
          <w:kern w:val="22"/>
          <w:szCs w:val="22"/>
        </w:rPr>
        <w:tab/>
        <w:t>Are the elements of the strategic framework (i.e. key areas, objectives, proposed activities) still relevant?</w:t>
      </w:r>
    </w:p>
    <w:p w14:paraId="2FDDC757"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567"/>
        <w:rPr>
          <w:kern w:val="22"/>
          <w:szCs w:val="22"/>
        </w:rPr>
      </w:pPr>
      <w:r w:rsidRPr="00EE0850">
        <w:rPr>
          <w:kern w:val="22"/>
          <w:szCs w:val="22"/>
        </w:rPr>
        <w:t>(</w:t>
      </w:r>
      <w:proofErr w:type="spellStart"/>
      <w:r w:rsidRPr="00EE0850">
        <w:rPr>
          <w:kern w:val="22"/>
          <w:szCs w:val="22"/>
        </w:rPr>
        <w:t>i</w:t>
      </w:r>
      <w:proofErr w:type="spellEnd"/>
      <w:r w:rsidRPr="00EE0850">
        <w:rPr>
          <w:kern w:val="22"/>
          <w:szCs w:val="22"/>
        </w:rPr>
        <w:t>)</w:t>
      </w:r>
      <w:r w:rsidRPr="00EE0850">
        <w:rPr>
          <w:kern w:val="22"/>
          <w:szCs w:val="22"/>
        </w:rPr>
        <w:tab/>
        <w:t>Are the objectives of the strategic framework still valid? To what extent?</w:t>
      </w:r>
    </w:p>
    <w:p w14:paraId="6A3525C0"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567"/>
        <w:rPr>
          <w:kern w:val="22"/>
          <w:szCs w:val="22"/>
        </w:rPr>
      </w:pPr>
      <w:r w:rsidRPr="00EE0850">
        <w:rPr>
          <w:kern w:val="22"/>
          <w:szCs w:val="22"/>
        </w:rPr>
        <w:t>(ii)</w:t>
      </w:r>
      <w:r w:rsidRPr="00EE0850">
        <w:rPr>
          <w:kern w:val="22"/>
          <w:szCs w:val="22"/>
        </w:rPr>
        <w:tab/>
        <w:t>Are the key areas and indicative activities for capacity-building</w:t>
      </w:r>
      <w:r w:rsidRPr="00EE0850">
        <w:rPr>
          <w:kern w:val="22"/>
          <w:szCs w:val="22"/>
          <w:vertAlign w:val="superscript"/>
        </w:rPr>
        <w:footnoteReference w:id="16"/>
      </w:r>
      <w:r w:rsidRPr="00EE0850">
        <w:rPr>
          <w:kern w:val="22"/>
          <w:szCs w:val="22"/>
          <w:vertAlign w:val="superscript"/>
        </w:rPr>
        <w:t xml:space="preserve"> </w:t>
      </w:r>
      <w:r w:rsidRPr="00EE0850">
        <w:rPr>
          <w:kern w:val="22"/>
          <w:szCs w:val="22"/>
        </w:rPr>
        <w:t>still consistent with the overall strategic goals, objectives and desired changes in capacity-building and development to support the implementation of the Nagoya Protocol?</w:t>
      </w:r>
    </w:p>
    <w:p w14:paraId="13F62C17"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bCs/>
          <w:kern w:val="22"/>
          <w:szCs w:val="22"/>
        </w:rPr>
        <w:t>(e)</w:t>
      </w:r>
      <w:r w:rsidRPr="00EE0850">
        <w:rPr>
          <w:bCs/>
          <w:kern w:val="22"/>
          <w:szCs w:val="22"/>
        </w:rPr>
        <w:tab/>
        <w:t>Recommendations for the preparation of the long-term strategic framework for capacity-building and development beyond 2020:</w:t>
      </w:r>
    </w:p>
    <w:p w14:paraId="66063310"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567"/>
        <w:rPr>
          <w:kern w:val="22"/>
          <w:szCs w:val="22"/>
        </w:rPr>
      </w:pPr>
      <w:r w:rsidRPr="00EE0850">
        <w:rPr>
          <w:kern w:val="22"/>
          <w:szCs w:val="22"/>
        </w:rPr>
        <w:t>(</w:t>
      </w:r>
      <w:proofErr w:type="spellStart"/>
      <w:r w:rsidRPr="00EE0850">
        <w:rPr>
          <w:kern w:val="22"/>
          <w:szCs w:val="22"/>
        </w:rPr>
        <w:t>i</w:t>
      </w:r>
      <w:proofErr w:type="spellEnd"/>
      <w:r w:rsidRPr="00EE0850">
        <w:rPr>
          <w:kern w:val="22"/>
          <w:szCs w:val="22"/>
        </w:rPr>
        <w:t>)</w:t>
      </w:r>
      <w:r w:rsidRPr="00EE0850">
        <w:rPr>
          <w:kern w:val="22"/>
          <w:szCs w:val="22"/>
        </w:rPr>
        <w:tab/>
        <w:t>Which are the priority capacity-building actions related to ABS that should be included in the long</w:t>
      </w:r>
      <w:r w:rsidRPr="00EE0850">
        <w:rPr>
          <w:kern w:val="22"/>
          <w:szCs w:val="22"/>
        </w:rPr>
        <w:noBreakHyphen/>
        <w:t>term strategic framework for capacity-building and development beyond 2020?</w:t>
      </w:r>
    </w:p>
    <w:p w14:paraId="16E1DC4F" w14:textId="77777777" w:rsidR="009E044D" w:rsidRPr="00EE0850" w:rsidRDefault="009E044D" w:rsidP="000C6220">
      <w:pPr>
        <w:suppressLineNumbers/>
        <w:suppressAutoHyphens/>
        <w:kinsoku w:val="0"/>
        <w:overflowPunct w:val="0"/>
        <w:autoSpaceDE w:val="0"/>
        <w:autoSpaceDN w:val="0"/>
        <w:snapToGrid w:val="0"/>
        <w:spacing w:before="120" w:line="240" w:lineRule="auto"/>
        <w:ind w:left="1418" w:hanging="567"/>
        <w:rPr>
          <w:kern w:val="22"/>
          <w:szCs w:val="22"/>
        </w:rPr>
      </w:pPr>
      <w:r w:rsidRPr="00EE0850">
        <w:rPr>
          <w:kern w:val="22"/>
          <w:szCs w:val="22"/>
        </w:rPr>
        <w:t>(ii)</w:t>
      </w:r>
      <w:r w:rsidRPr="00EE0850">
        <w:rPr>
          <w:kern w:val="22"/>
          <w:szCs w:val="22"/>
        </w:rPr>
        <w:tab/>
        <w:t>What key recommendations can you make for enhancing capacity-building and development on ABS beyond 2020,</w:t>
      </w:r>
      <w:r w:rsidRPr="00EE0850">
        <w:rPr>
          <w:bCs/>
          <w:kern w:val="22"/>
          <w:szCs w:val="22"/>
        </w:rPr>
        <w:t xml:space="preserve"> taking into account the challenges/obstacles identified under paragraph 4(a)</w:t>
      </w:r>
      <w:r w:rsidRPr="00EE0850">
        <w:rPr>
          <w:kern w:val="22"/>
          <w:szCs w:val="22"/>
        </w:rPr>
        <w:t>?</w:t>
      </w:r>
    </w:p>
    <w:p w14:paraId="71CD80F6" w14:textId="77777777" w:rsidR="009E044D" w:rsidRPr="00EE0850" w:rsidRDefault="009E044D" w:rsidP="000C6220">
      <w:pPr>
        <w:suppressLineNumbers/>
        <w:suppressAutoHyphens/>
        <w:kinsoku w:val="0"/>
        <w:overflowPunct w:val="0"/>
        <w:autoSpaceDE w:val="0"/>
        <w:autoSpaceDN w:val="0"/>
        <w:snapToGrid w:val="0"/>
        <w:spacing w:before="120" w:line="240" w:lineRule="auto"/>
        <w:rPr>
          <w:snapToGrid w:val="0"/>
          <w:kern w:val="22"/>
          <w:szCs w:val="22"/>
        </w:rPr>
      </w:pPr>
      <w:r w:rsidRPr="00EE0850">
        <w:rPr>
          <w:snapToGrid w:val="0"/>
          <w:kern w:val="22"/>
          <w:szCs w:val="22"/>
        </w:rPr>
        <w:t>5.</w:t>
      </w:r>
      <w:r w:rsidRPr="00EE0850">
        <w:rPr>
          <w:snapToGrid w:val="0"/>
          <w:kern w:val="22"/>
          <w:szCs w:val="22"/>
        </w:rPr>
        <w:tab/>
        <w:t>Information for the review will be drawn from various sources including the following:</w:t>
      </w:r>
    </w:p>
    <w:p w14:paraId="73D95B65"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(a)</w:t>
      </w:r>
      <w:r w:rsidRPr="00EE0850">
        <w:rPr>
          <w:kern w:val="22"/>
          <w:szCs w:val="22"/>
        </w:rPr>
        <w:tab/>
        <w:t>The assessment and review of the effectiveness of the Nagoya Protocol and related decisions of the Conference of the Parties serving as the meeting of the Parties to the Protocol;</w:t>
      </w:r>
    </w:p>
    <w:p w14:paraId="74941F9C"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(b)</w:t>
      </w:r>
      <w:r w:rsidRPr="00EE0850">
        <w:rPr>
          <w:kern w:val="22"/>
          <w:szCs w:val="22"/>
        </w:rPr>
        <w:tab/>
        <w:t>Information published in the interim national reports;</w:t>
      </w:r>
    </w:p>
    <w:p w14:paraId="718D8F7E"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(c)</w:t>
      </w:r>
      <w:r w:rsidRPr="00EE0850">
        <w:rPr>
          <w:kern w:val="22"/>
          <w:szCs w:val="22"/>
        </w:rPr>
        <w:tab/>
        <w:t>Information published in the ABS Clearing-House;</w:t>
      </w:r>
    </w:p>
    <w:p w14:paraId="5EC6BD4C"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(d)</w:t>
      </w:r>
      <w:r w:rsidRPr="00EE0850">
        <w:rPr>
          <w:kern w:val="22"/>
          <w:szCs w:val="22"/>
        </w:rPr>
        <w:tab/>
        <w:t>Progress reports on capacity-building and development initiatives supporting the implementation of the Nagoya Protocol prepared by the Secretariat;</w:t>
      </w:r>
    </w:p>
    <w:p w14:paraId="0958F570"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(e)</w:t>
      </w:r>
      <w:r w:rsidRPr="00EE0850">
        <w:rPr>
          <w:kern w:val="22"/>
          <w:szCs w:val="22"/>
        </w:rPr>
        <w:tab/>
        <w:t>Reports of the Informal Advisory Committee;</w:t>
      </w:r>
    </w:p>
    <w:p w14:paraId="34CC8196"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(f)</w:t>
      </w:r>
      <w:r w:rsidRPr="00EE0850">
        <w:rPr>
          <w:kern w:val="22"/>
          <w:szCs w:val="22"/>
        </w:rPr>
        <w:tab/>
        <w:t>Project reports, evaluations and submissions from the Global Environment Facility</w:t>
      </w:r>
      <w:r w:rsidRPr="00EE0850" w:rsidDel="00CE7C73">
        <w:rPr>
          <w:kern w:val="22"/>
          <w:szCs w:val="22"/>
        </w:rPr>
        <w:t xml:space="preserve"> </w:t>
      </w:r>
      <w:r w:rsidRPr="00EE0850">
        <w:rPr>
          <w:kern w:val="22"/>
          <w:szCs w:val="22"/>
        </w:rPr>
        <w:t>and its implementing agencies, as well as from other key organizations involved in capacity-building (for example, the ABS Capacity Development Initiative);</w:t>
      </w:r>
    </w:p>
    <w:p w14:paraId="24941E4D"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(g)</w:t>
      </w:r>
      <w:r w:rsidRPr="00EE0850">
        <w:rPr>
          <w:kern w:val="22"/>
          <w:szCs w:val="22"/>
        </w:rPr>
        <w:tab/>
        <w:t>Needs assessments carried out by Parties and international organizations;</w:t>
      </w:r>
    </w:p>
    <w:p w14:paraId="615B3C66" w14:textId="77777777" w:rsidR="009E044D" w:rsidRPr="00EE0850" w:rsidRDefault="009E044D" w:rsidP="000C6220">
      <w:pPr>
        <w:suppressLineNumbers/>
        <w:suppressAutoHyphens/>
        <w:kinsoku w:val="0"/>
        <w:overflowPunct w:val="0"/>
        <w:autoSpaceDE w:val="0"/>
        <w:autoSpaceDN w:val="0"/>
        <w:snapToGrid w:val="0"/>
        <w:spacing w:before="120" w:line="240" w:lineRule="auto"/>
        <w:ind w:firstLine="720"/>
        <w:rPr>
          <w:kern w:val="22"/>
          <w:szCs w:val="22"/>
        </w:rPr>
      </w:pPr>
      <w:r w:rsidRPr="00EE0850">
        <w:rPr>
          <w:kern w:val="22"/>
          <w:szCs w:val="22"/>
        </w:rPr>
        <w:t>(h)</w:t>
      </w:r>
      <w:r w:rsidRPr="00EE0850">
        <w:rPr>
          <w:kern w:val="22"/>
          <w:szCs w:val="22"/>
        </w:rPr>
        <w:tab/>
        <w:t>Information gathered in an online survey and targeted interviews with key stakeholders.</w:t>
      </w:r>
    </w:p>
    <w:p w14:paraId="0428F963" w14:textId="77777777" w:rsidR="009E044D" w:rsidRPr="00EE0850" w:rsidRDefault="009E044D" w:rsidP="000C6220">
      <w:pPr>
        <w:keepNext/>
        <w:suppressLineNumbers/>
        <w:tabs>
          <w:tab w:val="left" w:pos="426"/>
        </w:tabs>
        <w:suppressAutoHyphens/>
        <w:kinsoku w:val="0"/>
        <w:overflowPunct w:val="0"/>
        <w:autoSpaceDE w:val="0"/>
        <w:autoSpaceDN w:val="0"/>
        <w:snapToGrid w:val="0"/>
        <w:spacing w:before="120" w:line="240" w:lineRule="auto"/>
        <w:jc w:val="center"/>
        <w:rPr>
          <w:b/>
          <w:kern w:val="22"/>
          <w:szCs w:val="22"/>
        </w:rPr>
      </w:pPr>
      <w:r w:rsidRPr="00EE0850">
        <w:rPr>
          <w:b/>
          <w:kern w:val="22"/>
          <w:szCs w:val="22"/>
        </w:rPr>
        <w:t>C.</w:t>
      </w:r>
      <w:r w:rsidRPr="00EE0850">
        <w:rPr>
          <w:b/>
          <w:kern w:val="22"/>
          <w:szCs w:val="22"/>
        </w:rPr>
        <w:tab/>
        <w:t>Expected output and outcomes</w:t>
      </w:r>
    </w:p>
    <w:p w14:paraId="64F34250" w14:textId="699A8288" w:rsidR="009E044D" w:rsidRPr="00EE0850" w:rsidRDefault="009E044D" w:rsidP="000C6220">
      <w:pPr>
        <w:suppressLineNumbers/>
        <w:suppressAutoHyphens/>
        <w:kinsoku w:val="0"/>
        <w:overflowPunct w:val="0"/>
        <w:autoSpaceDE w:val="0"/>
        <w:autoSpaceDN w:val="0"/>
        <w:snapToGrid w:val="0"/>
        <w:spacing w:before="120" w:line="240" w:lineRule="auto"/>
        <w:rPr>
          <w:kern w:val="22"/>
          <w:szCs w:val="22"/>
        </w:rPr>
      </w:pPr>
      <w:r w:rsidRPr="00EE0850">
        <w:rPr>
          <w:snapToGrid w:val="0"/>
          <w:kern w:val="22"/>
          <w:szCs w:val="22"/>
        </w:rPr>
        <w:t>6.</w:t>
      </w:r>
      <w:r w:rsidRPr="00EE0850">
        <w:rPr>
          <w:snapToGrid w:val="0"/>
          <w:kern w:val="22"/>
          <w:szCs w:val="22"/>
        </w:rPr>
        <w:tab/>
        <w:t>The strategic framework is a flexible and living document. From its inception, it was intended to be used, adapted and updated on the basis of emerging experiences and lessons learned. As per paragraph 44 of the strategic framework, the main output of the review will be a report to be used by the Conference of the Parties serving as the meeting of the Parties to the Protocol to review and, as appropriate, revise the strategic framework for capacity-building and development in conjunction with the consideration and adoption of a post-2020 global biodiversity framework.</w:t>
      </w:r>
    </w:p>
    <w:p w14:paraId="1A9A1DEB" w14:textId="77777777" w:rsidR="009F5D7B" w:rsidRPr="00EE0850" w:rsidRDefault="009F5D7B" w:rsidP="000C6220">
      <w:pPr>
        <w:spacing w:before="120" w:line="240" w:lineRule="auto"/>
        <w:jc w:val="left"/>
        <w:rPr>
          <w:b/>
          <w:bCs/>
          <w:caps/>
          <w:snapToGrid w:val="0"/>
          <w:kern w:val="22"/>
          <w:szCs w:val="22"/>
        </w:rPr>
      </w:pPr>
      <w:r w:rsidRPr="00EE0850">
        <w:rPr>
          <w:szCs w:val="22"/>
        </w:rPr>
        <w:br w:type="page"/>
      </w:r>
    </w:p>
    <w:p w14:paraId="0C1EB5F7" w14:textId="678E7FF5" w:rsidR="001E4E65" w:rsidRPr="00EE0850" w:rsidRDefault="001E4E65" w:rsidP="000C6220">
      <w:pPr>
        <w:pStyle w:val="recommendationheader"/>
        <w:spacing w:line="240" w:lineRule="auto"/>
      </w:pPr>
      <w:bookmarkStart w:id="7" w:name="_Toc256206"/>
      <w:r w:rsidRPr="00EE0850">
        <w:t>3/6.</w:t>
      </w:r>
      <w:r w:rsidRPr="00EE0850">
        <w:tab/>
        <w:t>Measures to raise awareness of the importance of genetic resources and associated traditional</w:t>
      </w:r>
      <w:r w:rsidR="007E3BE5" w:rsidRPr="00EE0850">
        <w:t> </w:t>
      </w:r>
      <w:r w:rsidRPr="00EE0850">
        <w:t>knowledge (Article 21)</w:t>
      </w:r>
      <w:bookmarkEnd w:id="7"/>
    </w:p>
    <w:p w14:paraId="0F5DE6F0" w14:textId="59402029" w:rsidR="001E4E65" w:rsidRPr="00EE0850" w:rsidRDefault="001E4E65" w:rsidP="000C6220">
      <w:pPr>
        <w:pStyle w:val="Para1"/>
        <w:numPr>
          <w:ilvl w:val="0"/>
          <w:numId w:val="0"/>
        </w:numPr>
        <w:suppressLineNumbers/>
        <w:shd w:val="clear" w:color="auto" w:fill="FFFFFF" w:themeFill="background1"/>
        <w:suppressAutoHyphens/>
        <w:spacing w:line="240" w:lineRule="auto"/>
        <w:ind w:firstLine="720"/>
        <w:rPr>
          <w:i/>
          <w:kern w:val="22"/>
          <w:szCs w:val="22"/>
        </w:rPr>
      </w:pPr>
      <w:r w:rsidRPr="00EE0850">
        <w:rPr>
          <w:i/>
          <w:kern w:val="22"/>
          <w:szCs w:val="22"/>
        </w:rPr>
        <w:t>The Conference of the Parties serving as the meeting of the Parties to the Nagoya Protocol</w:t>
      </w:r>
      <w:r w:rsidRPr="00EE0850">
        <w:t xml:space="preserve"> </w:t>
      </w:r>
      <w:r w:rsidRPr="00EE0850">
        <w:rPr>
          <w:i/>
          <w:kern w:val="22"/>
          <w:szCs w:val="22"/>
        </w:rPr>
        <w:t>on Access and Benefit-sharing</w:t>
      </w:r>
    </w:p>
    <w:p w14:paraId="20713332" w14:textId="77777777" w:rsidR="001E4E65" w:rsidRPr="00EE0850" w:rsidRDefault="001E4E65" w:rsidP="000C6220">
      <w:pPr>
        <w:pStyle w:val="Para1"/>
        <w:numPr>
          <w:ilvl w:val="0"/>
          <w:numId w:val="63"/>
        </w:numPr>
        <w:suppressLineNumbers/>
        <w:shd w:val="clear" w:color="auto" w:fill="FFFFFF" w:themeFill="background1"/>
        <w:tabs>
          <w:tab w:val="clear" w:pos="360"/>
          <w:tab w:val="clear" w:pos="567"/>
          <w:tab w:val="clear" w:pos="2912"/>
          <w:tab w:val="num" w:pos="1276"/>
        </w:tabs>
        <w:suppressAutoHyphens/>
        <w:spacing w:line="240" w:lineRule="auto"/>
        <w:ind w:firstLine="709"/>
        <w:rPr>
          <w:kern w:val="22"/>
          <w:szCs w:val="22"/>
        </w:rPr>
      </w:pPr>
      <w:r w:rsidRPr="00EE0850">
        <w:rPr>
          <w:i/>
          <w:kern w:val="22"/>
          <w:szCs w:val="22"/>
        </w:rPr>
        <w:t xml:space="preserve">Takes note </w:t>
      </w:r>
      <w:r w:rsidRPr="00EE0850">
        <w:rPr>
          <w:kern w:val="22"/>
          <w:szCs w:val="22"/>
        </w:rPr>
        <w:t>of</w:t>
      </w:r>
      <w:r w:rsidRPr="00EE0850">
        <w:rPr>
          <w:i/>
          <w:kern w:val="22"/>
          <w:szCs w:val="22"/>
        </w:rPr>
        <w:t xml:space="preserve"> </w:t>
      </w:r>
      <w:r w:rsidRPr="00EE0850">
        <w:rPr>
          <w:kern w:val="22"/>
          <w:szCs w:val="22"/>
        </w:rPr>
        <w:t>progress made in the implementation of the awareness-raising strategy for the Nagoya Protocol on Access and Benefit-sharing;</w:t>
      </w:r>
      <w:r w:rsidRPr="00EE0850">
        <w:rPr>
          <w:rStyle w:val="FootnoteReference"/>
          <w:kern w:val="18"/>
          <w:sz w:val="22"/>
          <w:szCs w:val="22"/>
          <w:u w:val="none"/>
          <w:vertAlign w:val="superscript"/>
          <w:lang w:eastAsia="x-none"/>
        </w:rPr>
        <w:footnoteReference w:id="17"/>
      </w:r>
    </w:p>
    <w:p w14:paraId="31C5CCDF" w14:textId="77777777" w:rsidR="001E4E65" w:rsidRPr="00EE0850" w:rsidRDefault="001E4E65" w:rsidP="000C6220">
      <w:pPr>
        <w:pStyle w:val="Para1"/>
        <w:numPr>
          <w:ilvl w:val="0"/>
          <w:numId w:val="63"/>
        </w:numPr>
        <w:suppressLineNumbers/>
        <w:shd w:val="clear" w:color="auto" w:fill="FFFFFF" w:themeFill="background1"/>
        <w:tabs>
          <w:tab w:val="clear" w:pos="360"/>
          <w:tab w:val="clear" w:pos="567"/>
          <w:tab w:val="clear" w:pos="2912"/>
          <w:tab w:val="num" w:pos="1276"/>
        </w:tabs>
        <w:suppressAutoHyphens/>
        <w:spacing w:line="240" w:lineRule="auto"/>
        <w:ind w:firstLine="720"/>
        <w:rPr>
          <w:kern w:val="22"/>
          <w:szCs w:val="22"/>
        </w:rPr>
      </w:pPr>
      <w:r w:rsidRPr="00EE0850">
        <w:rPr>
          <w:i/>
          <w:kern w:val="22"/>
          <w:szCs w:val="22"/>
        </w:rPr>
        <w:t>Welcomes</w:t>
      </w:r>
      <w:r w:rsidRPr="00EE0850">
        <w:rPr>
          <w:kern w:val="22"/>
          <w:szCs w:val="22"/>
        </w:rPr>
        <w:t xml:space="preserve"> the awareness-raising toolkit for access and benefit-sharing developed by the Secretariat with a view to supporting the implementation of the awareness-raising strategy;</w:t>
      </w:r>
    </w:p>
    <w:p w14:paraId="0C515A56" w14:textId="77777777" w:rsidR="001E4E65" w:rsidRPr="00EE0850" w:rsidRDefault="001E4E65" w:rsidP="000C6220">
      <w:pPr>
        <w:pStyle w:val="Para1"/>
        <w:numPr>
          <w:ilvl w:val="0"/>
          <w:numId w:val="63"/>
        </w:numPr>
        <w:suppressLineNumbers/>
        <w:shd w:val="clear" w:color="auto" w:fill="FFFFFF" w:themeFill="background1"/>
        <w:tabs>
          <w:tab w:val="clear" w:pos="360"/>
          <w:tab w:val="clear" w:pos="567"/>
          <w:tab w:val="clear" w:pos="2912"/>
          <w:tab w:val="num" w:pos="1276"/>
        </w:tabs>
        <w:suppressAutoHyphens/>
        <w:spacing w:line="240" w:lineRule="auto"/>
        <w:ind w:firstLine="720"/>
        <w:rPr>
          <w:kern w:val="22"/>
          <w:szCs w:val="22"/>
        </w:rPr>
      </w:pPr>
      <w:r w:rsidRPr="00EE0850">
        <w:rPr>
          <w:i/>
          <w:kern w:val="22"/>
          <w:szCs w:val="22"/>
        </w:rPr>
        <w:t>Encourages</w:t>
      </w:r>
      <w:r w:rsidRPr="00EE0850">
        <w:rPr>
          <w:kern w:val="22"/>
          <w:szCs w:val="22"/>
        </w:rPr>
        <w:t xml:space="preserve"> Parties, non-Parties, relevant organizations and other actors to utilize the access and benefit-sharing awareness</w:t>
      </w:r>
      <w:r w:rsidRPr="00EE0850">
        <w:rPr>
          <w:kern w:val="22"/>
          <w:szCs w:val="22"/>
        </w:rPr>
        <w:noBreakHyphen/>
        <w:t>raising toolkit developed by the Secretariat as part of their awareness-raising and capacity</w:t>
      </w:r>
      <w:r w:rsidRPr="00EE0850">
        <w:rPr>
          <w:kern w:val="22"/>
          <w:szCs w:val="22"/>
        </w:rPr>
        <w:noBreakHyphen/>
        <w:t>building activities and to provide feedback on its use to the Secretariat;</w:t>
      </w:r>
    </w:p>
    <w:p w14:paraId="2803481F" w14:textId="77777777" w:rsidR="001E4E65" w:rsidRPr="00EE0850" w:rsidRDefault="001E4E65" w:rsidP="000C6220">
      <w:pPr>
        <w:pStyle w:val="Para1"/>
        <w:numPr>
          <w:ilvl w:val="0"/>
          <w:numId w:val="63"/>
        </w:numPr>
        <w:suppressLineNumbers/>
        <w:shd w:val="clear" w:color="auto" w:fill="FFFFFF" w:themeFill="background1"/>
        <w:tabs>
          <w:tab w:val="clear" w:pos="360"/>
          <w:tab w:val="clear" w:pos="567"/>
          <w:tab w:val="clear" w:pos="2912"/>
          <w:tab w:val="num" w:pos="1276"/>
        </w:tabs>
        <w:suppressAutoHyphens/>
        <w:spacing w:line="240" w:lineRule="auto"/>
        <w:ind w:firstLine="720"/>
        <w:rPr>
          <w:kern w:val="22"/>
          <w:szCs w:val="22"/>
        </w:rPr>
      </w:pPr>
      <w:r w:rsidRPr="00EE0850">
        <w:rPr>
          <w:i/>
          <w:kern w:val="22"/>
          <w:szCs w:val="22"/>
        </w:rPr>
        <w:t>Also encourages</w:t>
      </w:r>
      <w:r w:rsidRPr="00EE0850">
        <w:rPr>
          <w:kern w:val="22"/>
          <w:szCs w:val="22"/>
        </w:rPr>
        <w:t xml:space="preserve"> Parties, non-Parties, relevant organizations and other actors to continue to implement awareness-raising activities and to make available information on awareness-raising strategies and resources through the Access and Benefit-sharing Clearing-House;</w:t>
      </w:r>
    </w:p>
    <w:p w14:paraId="20F28D8D" w14:textId="77777777" w:rsidR="001E4E65" w:rsidRPr="00EE0850" w:rsidRDefault="001E4E65" w:rsidP="000C6220">
      <w:pPr>
        <w:pStyle w:val="Para1"/>
        <w:numPr>
          <w:ilvl w:val="0"/>
          <w:numId w:val="63"/>
        </w:numPr>
        <w:suppressLineNumbers/>
        <w:shd w:val="clear" w:color="auto" w:fill="FFFFFF" w:themeFill="background1"/>
        <w:tabs>
          <w:tab w:val="clear" w:pos="360"/>
          <w:tab w:val="clear" w:pos="567"/>
          <w:tab w:val="clear" w:pos="2912"/>
          <w:tab w:val="num" w:pos="1276"/>
        </w:tabs>
        <w:suppressAutoHyphens/>
        <w:spacing w:line="240" w:lineRule="auto"/>
        <w:ind w:firstLine="720"/>
        <w:rPr>
          <w:kern w:val="22"/>
          <w:szCs w:val="22"/>
        </w:rPr>
      </w:pPr>
      <w:r w:rsidRPr="00EE0850">
        <w:rPr>
          <w:i/>
          <w:kern w:val="22"/>
          <w:szCs w:val="22"/>
        </w:rPr>
        <w:t>Requests</w:t>
      </w:r>
      <w:r w:rsidRPr="00EE0850">
        <w:rPr>
          <w:kern w:val="22"/>
          <w:szCs w:val="22"/>
        </w:rPr>
        <w:t xml:space="preserve"> the Executive Secretary to continue supporting the implementation of the awareness-raising strategy</w:t>
      </w:r>
      <w:r w:rsidRPr="00EE0850">
        <w:rPr>
          <w:rStyle w:val="FootnoteReference"/>
          <w:kern w:val="18"/>
          <w:sz w:val="22"/>
          <w:szCs w:val="22"/>
          <w:u w:val="none"/>
          <w:vertAlign w:val="superscript"/>
          <w:lang w:eastAsia="x-none"/>
        </w:rPr>
        <w:footnoteReference w:id="18"/>
      </w:r>
      <w:r w:rsidRPr="00EE0850">
        <w:rPr>
          <w:kern w:val="22"/>
          <w:szCs w:val="22"/>
        </w:rPr>
        <w:t xml:space="preserve"> through its capacity</w:t>
      </w:r>
      <w:r w:rsidRPr="00EE0850">
        <w:rPr>
          <w:kern w:val="22"/>
          <w:szCs w:val="22"/>
        </w:rPr>
        <w:noBreakHyphen/>
        <w:t>building activities and by encouraging the use of the access and benefit-sharing awareness-raising toolkit in access and benefit-sharing capacity-building and awareness-raising projects carried out by Parties, non-Parties and relevant organizations;</w:t>
      </w:r>
    </w:p>
    <w:p w14:paraId="142D2E38" w14:textId="77777777" w:rsidR="001E4E65" w:rsidRPr="00EE0850" w:rsidRDefault="001E4E65" w:rsidP="000C6220">
      <w:pPr>
        <w:pStyle w:val="Para1"/>
        <w:numPr>
          <w:ilvl w:val="0"/>
          <w:numId w:val="63"/>
        </w:numPr>
        <w:suppressLineNumbers/>
        <w:shd w:val="clear" w:color="auto" w:fill="FFFFFF" w:themeFill="background1"/>
        <w:tabs>
          <w:tab w:val="clear" w:pos="360"/>
          <w:tab w:val="clear" w:pos="567"/>
          <w:tab w:val="clear" w:pos="2912"/>
          <w:tab w:val="num" w:pos="1276"/>
        </w:tabs>
        <w:suppressAutoHyphens/>
        <w:spacing w:line="240" w:lineRule="auto"/>
        <w:ind w:firstLine="720"/>
        <w:rPr>
          <w:kern w:val="22"/>
          <w:szCs w:val="22"/>
        </w:rPr>
      </w:pPr>
      <w:r w:rsidRPr="00EE0850">
        <w:rPr>
          <w:i/>
          <w:kern w:val="22"/>
          <w:szCs w:val="22"/>
        </w:rPr>
        <w:t>Also requests</w:t>
      </w:r>
      <w:r w:rsidRPr="00EE0850">
        <w:rPr>
          <w:kern w:val="22"/>
          <w:szCs w:val="22"/>
        </w:rPr>
        <w:t xml:space="preserve"> the Executive Secretary to seek feedback from Parties, non-Parties and other relevant actors on the access and benefit-sharing awareness-raising toolkit and to provide an update on the progress of implementation of the awareness-raising strategy for the consideration of the Conference of the Parties serving as the meeting of the Parties to the Nagoya Protocol at its fourth meeting.</w:t>
      </w:r>
    </w:p>
    <w:p w14:paraId="54FE799C" w14:textId="77777777" w:rsidR="00C33A7A" w:rsidRPr="00EE0850" w:rsidRDefault="00C33A7A" w:rsidP="000C6220">
      <w:pPr>
        <w:spacing w:before="120" w:line="240" w:lineRule="auto"/>
        <w:jc w:val="left"/>
        <w:rPr>
          <w:rFonts w:ascii="Times New Roman Bold" w:hAnsi="Times New Roman Bold" w:cs="Times New Roman Bold"/>
          <w:b/>
          <w:bCs/>
          <w:caps/>
          <w:snapToGrid w:val="0"/>
          <w:kern w:val="22"/>
          <w:szCs w:val="22"/>
        </w:rPr>
      </w:pPr>
      <w:r w:rsidRPr="00EE0850">
        <w:br w:type="page"/>
      </w:r>
    </w:p>
    <w:p w14:paraId="30AF157B" w14:textId="29C8DC46" w:rsidR="001E4E65" w:rsidRPr="00EE0850" w:rsidRDefault="001E4E65" w:rsidP="000C6220">
      <w:pPr>
        <w:pStyle w:val="recommendationheader"/>
        <w:spacing w:line="240" w:lineRule="auto"/>
      </w:pPr>
      <w:bookmarkStart w:id="8" w:name="_Toc256207"/>
      <w:r w:rsidRPr="00EE0850">
        <w:t>3/7.</w:t>
      </w:r>
      <w:r w:rsidRPr="00EE0850">
        <w:tab/>
        <w:t>Cooperation with other conventions, international organizations and initiatives</w:t>
      </w:r>
      <w:bookmarkEnd w:id="8"/>
    </w:p>
    <w:p w14:paraId="293C0DB1" w14:textId="55FEF2A2" w:rsidR="001E4E65" w:rsidRPr="00EE0850" w:rsidRDefault="001E4E65" w:rsidP="000C6220">
      <w:pPr>
        <w:pStyle w:val="Para1"/>
        <w:numPr>
          <w:ilvl w:val="0"/>
          <w:numId w:val="0"/>
        </w:numPr>
        <w:spacing w:line="240" w:lineRule="auto"/>
        <w:ind w:firstLine="720"/>
        <w:rPr>
          <w:kern w:val="22"/>
        </w:rPr>
      </w:pPr>
      <w:r w:rsidRPr="00EE0850">
        <w:rPr>
          <w:i/>
          <w:kern w:val="22"/>
        </w:rPr>
        <w:t xml:space="preserve">The Conference of the Parties serving as the meeting of the Parties to the Nagoya Protocol </w:t>
      </w:r>
      <w:r w:rsidRPr="00EE0850">
        <w:rPr>
          <w:rFonts w:eastAsia="Arial Unicode MS"/>
          <w:i/>
          <w:kern w:val="22"/>
          <w:u w:color="000000"/>
          <w:bdr w:val="nil"/>
        </w:rPr>
        <w:t>on Access and Benefit-sharing</w:t>
      </w:r>
      <w:r w:rsidRPr="00EE0850">
        <w:rPr>
          <w:kern w:val="22"/>
        </w:rPr>
        <w:t>,</w:t>
      </w:r>
    </w:p>
    <w:p w14:paraId="7FE60F2C" w14:textId="77777777" w:rsidR="001E4E65" w:rsidRPr="00EE0850" w:rsidRDefault="001E4E65" w:rsidP="000C6220">
      <w:pPr>
        <w:pStyle w:val="Para1"/>
        <w:numPr>
          <w:ilvl w:val="0"/>
          <w:numId w:val="0"/>
        </w:numPr>
        <w:spacing w:line="240" w:lineRule="auto"/>
        <w:ind w:firstLine="720"/>
        <w:rPr>
          <w:kern w:val="22"/>
        </w:rPr>
      </w:pPr>
      <w:r w:rsidRPr="00EE0850">
        <w:rPr>
          <w:i/>
          <w:kern w:val="22"/>
        </w:rPr>
        <w:t>Recognizing</w:t>
      </w:r>
      <w:r w:rsidRPr="00EE0850">
        <w:rPr>
          <w:kern w:val="22"/>
        </w:rPr>
        <w:t xml:space="preserve"> the importance of cooperation with other international organizations, conventions and initiatives on matters related to access and benefit-sharing, and </w:t>
      </w:r>
      <w:r w:rsidRPr="00EE0850">
        <w:rPr>
          <w:i/>
          <w:kern w:val="22"/>
        </w:rPr>
        <w:t>welcoming</w:t>
      </w:r>
      <w:r w:rsidRPr="00EE0850">
        <w:rPr>
          <w:kern w:val="22"/>
        </w:rPr>
        <w:t xml:space="preserve"> the cooperative activities undertaken by the Executive Secretary,</w:t>
      </w:r>
    </w:p>
    <w:p w14:paraId="37E0FCF3" w14:textId="77777777" w:rsidR="001E4E65" w:rsidRPr="00EE0850" w:rsidRDefault="001E4E65" w:rsidP="000C6220">
      <w:pPr>
        <w:pStyle w:val="Para1"/>
        <w:numPr>
          <w:ilvl w:val="0"/>
          <w:numId w:val="0"/>
        </w:numPr>
        <w:spacing w:line="240" w:lineRule="auto"/>
        <w:ind w:firstLine="720"/>
        <w:rPr>
          <w:i/>
          <w:kern w:val="22"/>
        </w:rPr>
      </w:pPr>
      <w:r w:rsidRPr="00EE0850">
        <w:rPr>
          <w:i/>
          <w:kern w:val="22"/>
        </w:rPr>
        <w:t xml:space="preserve">Recalling </w:t>
      </w:r>
      <w:r w:rsidRPr="00EE0850">
        <w:rPr>
          <w:kern w:val="22"/>
        </w:rPr>
        <w:t>the preamble to the Nagoya Protocol, in which Parties to the Protocol recognize that international instruments related to access and benefit-sharing should be mutually supportive with a view to achieving the objectives of the Convention,</w:t>
      </w:r>
    </w:p>
    <w:p w14:paraId="4D54DAC1" w14:textId="77777777" w:rsidR="001E4E65" w:rsidRPr="00EE0850" w:rsidRDefault="001E4E65" w:rsidP="000C6220">
      <w:pPr>
        <w:pStyle w:val="Para1"/>
        <w:numPr>
          <w:ilvl w:val="0"/>
          <w:numId w:val="0"/>
        </w:numPr>
        <w:spacing w:line="240" w:lineRule="auto"/>
        <w:ind w:firstLine="720"/>
        <w:rPr>
          <w:kern w:val="22"/>
        </w:rPr>
      </w:pPr>
      <w:r w:rsidRPr="00EE0850">
        <w:rPr>
          <w:i/>
          <w:kern w:val="22"/>
        </w:rPr>
        <w:t>Recalling</w:t>
      </w:r>
      <w:r w:rsidRPr="00EE0850">
        <w:rPr>
          <w:kern w:val="22"/>
        </w:rPr>
        <w:t xml:space="preserve"> </w:t>
      </w:r>
      <w:r w:rsidRPr="00EE0850">
        <w:rPr>
          <w:i/>
          <w:kern w:val="22"/>
        </w:rPr>
        <w:t xml:space="preserve">also </w:t>
      </w:r>
      <w:r w:rsidRPr="00EE0850">
        <w:rPr>
          <w:kern w:val="22"/>
        </w:rPr>
        <w:t>that the preamble to the Nagoya Protocol refers to the International Treaty on Plant Genetic Resources for Food and Agriculture, the Commission on Genetic Resources for Food and Agriculture of the Food and Agriculture Organization of the United Nations, and the World Health Organization,</w:t>
      </w:r>
    </w:p>
    <w:p w14:paraId="4B590E35" w14:textId="77777777" w:rsidR="001E4E65" w:rsidRPr="00EE0850" w:rsidRDefault="001E4E65" w:rsidP="000C6220">
      <w:pPr>
        <w:pStyle w:val="Para1"/>
        <w:numPr>
          <w:ilvl w:val="0"/>
          <w:numId w:val="81"/>
        </w:numPr>
        <w:tabs>
          <w:tab w:val="clear" w:pos="567"/>
          <w:tab w:val="clear" w:pos="2912"/>
          <w:tab w:val="left" w:pos="1418"/>
        </w:tabs>
        <w:spacing w:line="240" w:lineRule="auto"/>
        <w:ind w:firstLine="709"/>
        <w:rPr>
          <w:kern w:val="22"/>
        </w:rPr>
      </w:pPr>
      <w:r w:rsidRPr="00EE0850">
        <w:rPr>
          <w:i/>
          <w:kern w:val="22"/>
        </w:rPr>
        <w:t>Takes</w:t>
      </w:r>
      <w:r w:rsidRPr="00EE0850">
        <w:rPr>
          <w:kern w:val="22"/>
        </w:rPr>
        <w:t xml:space="preserve"> </w:t>
      </w:r>
      <w:r w:rsidRPr="00EE0850">
        <w:rPr>
          <w:i/>
          <w:kern w:val="22"/>
        </w:rPr>
        <w:t>note</w:t>
      </w:r>
      <w:r w:rsidRPr="00EE0850">
        <w:rPr>
          <w:kern w:val="22"/>
        </w:rPr>
        <w:t xml:space="preserve"> of the cooperative activities on access and benefit-sharing undertaken by the Executive Secretary;</w:t>
      </w:r>
      <w:r w:rsidRPr="00EE0850">
        <w:rPr>
          <w:rStyle w:val="FootnoteReference"/>
          <w:kern w:val="18"/>
          <w:sz w:val="22"/>
          <w:szCs w:val="22"/>
          <w:u w:val="none"/>
          <w:vertAlign w:val="superscript"/>
          <w:lang w:eastAsia="x-none"/>
        </w:rPr>
        <w:footnoteReference w:id="19"/>
      </w:r>
    </w:p>
    <w:p w14:paraId="3282D6E7" w14:textId="77777777" w:rsidR="001E4E65" w:rsidRPr="00EE0850" w:rsidRDefault="001E4E65" w:rsidP="000C6220">
      <w:pPr>
        <w:pStyle w:val="Para1"/>
        <w:numPr>
          <w:ilvl w:val="0"/>
          <w:numId w:val="81"/>
        </w:numPr>
        <w:tabs>
          <w:tab w:val="clear" w:pos="567"/>
          <w:tab w:val="clear" w:pos="2912"/>
          <w:tab w:val="left" w:pos="1418"/>
        </w:tabs>
        <w:spacing w:line="240" w:lineRule="auto"/>
        <w:ind w:firstLine="720"/>
        <w:rPr>
          <w:kern w:val="22"/>
        </w:rPr>
      </w:pPr>
      <w:r w:rsidRPr="00EE0850">
        <w:rPr>
          <w:i/>
          <w:kern w:val="22"/>
        </w:rPr>
        <w:t>Requests</w:t>
      </w:r>
      <w:r w:rsidRPr="00EE0850">
        <w:rPr>
          <w:kern w:val="22"/>
        </w:rPr>
        <w:t xml:space="preserve"> the Executive Secretary to continue to engage with relevant ongoing processes and policy debates, and liaise with other conventions, international organizations and initiatives, as appropriate, to provide and collect information on current discussions on matters related to access and benefit-sharing, and in particular on public health issues;</w:t>
      </w:r>
    </w:p>
    <w:p w14:paraId="607B38FA" w14:textId="77777777" w:rsidR="001E4E65" w:rsidRPr="00EE0850" w:rsidRDefault="001E4E65" w:rsidP="000C6220">
      <w:pPr>
        <w:pStyle w:val="Para1"/>
        <w:numPr>
          <w:ilvl w:val="0"/>
          <w:numId w:val="81"/>
        </w:numPr>
        <w:tabs>
          <w:tab w:val="clear" w:pos="567"/>
          <w:tab w:val="clear" w:pos="2912"/>
          <w:tab w:val="left" w:pos="1418"/>
        </w:tabs>
        <w:spacing w:line="240" w:lineRule="auto"/>
        <w:ind w:firstLine="720"/>
        <w:rPr>
          <w:kern w:val="22"/>
        </w:rPr>
      </w:pPr>
      <w:r w:rsidRPr="00EE0850">
        <w:rPr>
          <w:i/>
          <w:kern w:val="22"/>
        </w:rPr>
        <w:t>Also requests</w:t>
      </w:r>
      <w:r w:rsidRPr="00EE0850">
        <w:rPr>
          <w:kern w:val="22"/>
        </w:rPr>
        <w:t xml:space="preserve"> the Executive Secretary to prepare a report on activities undertaken pursuant to paragraph 2 above including key developments under international agreements and instruments of relevance to the implementation of the Nagoya Protocol for the consideration of the Conference of the Parties serving as the meeting of the Parties at its fourth meeting;</w:t>
      </w:r>
    </w:p>
    <w:p w14:paraId="7245BF96" w14:textId="77777777" w:rsidR="001E4E65" w:rsidRPr="00EE0850" w:rsidRDefault="001E4E65" w:rsidP="000C6220">
      <w:pPr>
        <w:pStyle w:val="Para1"/>
        <w:numPr>
          <w:ilvl w:val="0"/>
          <w:numId w:val="81"/>
        </w:numPr>
        <w:tabs>
          <w:tab w:val="clear" w:pos="567"/>
          <w:tab w:val="clear" w:pos="2912"/>
          <w:tab w:val="left" w:pos="1418"/>
        </w:tabs>
        <w:spacing w:line="240" w:lineRule="auto"/>
        <w:ind w:firstLine="720"/>
        <w:rPr>
          <w:kern w:val="22"/>
        </w:rPr>
      </w:pPr>
      <w:r w:rsidRPr="00EE0850">
        <w:rPr>
          <w:i/>
          <w:kern w:val="22"/>
        </w:rPr>
        <w:t>Further requests</w:t>
      </w:r>
      <w:r w:rsidRPr="00EE0850">
        <w:rPr>
          <w:kern w:val="22"/>
        </w:rPr>
        <w:t xml:space="preserve"> the Executive Secretary to continue to engage in cooperative activities and in projects for mutually supportive implementation of the Nagoya Protocol and the International Treaty on Plant Genetic Resources for Food and Agriculture;</w:t>
      </w:r>
    </w:p>
    <w:p w14:paraId="5DD06D05" w14:textId="1F9444B5" w:rsidR="001E4E65" w:rsidRPr="00EE0850" w:rsidRDefault="001E4E65" w:rsidP="000C6220">
      <w:pPr>
        <w:pStyle w:val="Para1"/>
        <w:keepLines/>
        <w:numPr>
          <w:ilvl w:val="0"/>
          <w:numId w:val="81"/>
        </w:numPr>
        <w:tabs>
          <w:tab w:val="clear" w:pos="567"/>
          <w:tab w:val="clear" w:pos="2912"/>
          <w:tab w:val="left" w:pos="1418"/>
        </w:tabs>
        <w:spacing w:line="240" w:lineRule="auto"/>
        <w:ind w:firstLine="720"/>
        <w:rPr>
          <w:kern w:val="22"/>
        </w:rPr>
      </w:pPr>
      <w:bookmarkStart w:id="9" w:name="_Hlk530975177"/>
      <w:r w:rsidRPr="00EE0850">
        <w:rPr>
          <w:i/>
          <w:kern w:val="22"/>
        </w:rPr>
        <w:t>Requests</w:t>
      </w:r>
      <w:r w:rsidRPr="00EE0850">
        <w:rPr>
          <w:kern w:val="22"/>
        </w:rPr>
        <w:t xml:space="preserve"> the Executive Secretary to share decision NP-3/14 with the World Health Organization, the International Treaty on Plant Genetic Resources for Food and Agriculture, the Commission on Genetic Resources for Food and Agriculture of the Food and Agriculture Organization of the United Nations and other relevant conventions and bodies.</w:t>
      </w:r>
      <w:bookmarkEnd w:id="9"/>
    </w:p>
    <w:p w14:paraId="427E631A" w14:textId="77777777" w:rsidR="001E4E65" w:rsidRPr="00EE0850" w:rsidRDefault="001E4E65" w:rsidP="000C6220">
      <w:pPr>
        <w:spacing w:before="120" w:line="240" w:lineRule="auto"/>
        <w:jc w:val="left"/>
        <w:rPr>
          <w:rFonts w:ascii="Times New Roman Bold" w:hAnsi="Times New Roman Bold" w:cs="Times New Roman Bold"/>
          <w:b/>
          <w:bCs/>
          <w:caps/>
          <w:snapToGrid w:val="0"/>
          <w:kern w:val="22"/>
          <w:szCs w:val="22"/>
        </w:rPr>
      </w:pPr>
      <w:r w:rsidRPr="00EE0850">
        <w:br w:type="page"/>
      </w:r>
    </w:p>
    <w:p w14:paraId="33A94AF4" w14:textId="59C51431" w:rsidR="001E4E65" w:rsidRPr="00EE0850" w:rsidRDefault="001E4E65" w:rsidP="000C6220">
      <w:pPr>
        <w:pStyle w:val="recommendationheader"/>
        <w:spacing w:line="240" w:lineRule="auto"/>
      </w:pPr>
      <w:bookmarkStart w:id="10" w:name="_Toc256208"/>
      <w:r w:rsidRPr="00EE0850">
        <w:t>3/8.</w:t>
      </w:r>
      <w:r w:rsidRPr="00EE0850">
        <w:tab/>
        <w:t>Financial mechanism</w:t>
      </w:r>
      <w:bookmarkEnd w:id="10"/>
    </w:p>
    <w:p w14:paraId="27F0D51E" w14:textId="401D0082" w:rsidR="001E4E65" w:rsidRPr="00EE0850" w:rsidRDefault="001E4E65" w:rsidP="000C6220">
      <w:pPr>
        <w:suppressLineNumbers/>
        <w:shd w:val="clear" w:color="auto" w:fill="FFFFFF" w:themeFill="background1"/>
        <w:suppressAutoHyphens/>
        <w:kinsoku w:val="0"/>
        <w:overflowPunct w:val="0"/>
        <w:autoSpaceDE w:val="0"/>
        <w:autoSpaceDN w:val="0"/>
        <w:snapToGrid w:val="0"/>
        <w:spacing w:before="120" w:line="240" w:lineRule="auto"/>
        <w:ind w:firstLine="720"/>
        <w:rPr>
          <w:i/>
          <w:kern w:val="22"/>
          <w:szCs w:val="22"/>
        </w:rPr>
      </w:pPr>
      <w:r w:rsidRPr="00EE0850">
        <w:rPr>
          <w:i/>
          <w:kern w:val="22"/>
          <w:szCs w:val="22"/>
        </w:rPr>
        <w:t>The Conference of the Parties serving as the meeting of the Parties to the Nagoya Protocol on Access and Benefit-sharing</w:t>
      </w:r>
    </w:p>
    <w:p w14:paraId="5D2CB936" w14:textId="77777777" w:rsidR="001E4E65" w:rsidRPr="00EE0850" w:rsidRDefault="001E4E65" w:rsidP="000C6220">
      <w:pPr>
        <w:numPr>
          <w:ilvl w:val="0"/>
          <w:numId w:val="64"/>
        </w:numPr>
        <w:suppressLineNumbers/>
        <w:shd w:val="clear" w:color="auto" w:fill="FFFFFF" w:themeFill="background1"/>
        <w:tabs>
          <w:tab w:val="clear" w:pos="900"/>
        </w:tabs>
        <w:suppressAutoHyphens/>
        <w:spacing w:before="120" w:line="240" w:lineRule="auto"/>
        <w:ind w:left="0" w:firstLine="720"/>
        <w:rPr>
          <w:kern w:val="22"/>
          <w:szCs w:val="22"/>
          <w:lang w:eastAsia="x-none"/>
        </w:rPr>
      </w:pPr>
      <w:r w:rsidRPr="00EE0850">
        <w:rPr>
          <w:i/>
          <w:kern w:val="22"/>
          <w:szCs w:val="22"/>
          <w:lang w:eastAsia="x-none"/>
        </w:rPr>
        <w:t>Welcomes</w:t>
      </w:r>
      <w:r w:rsidRPr="00EE0850">
        <w:rPr>
          <w:kern w:val="22"/>
          <w:szCs w:val="22"/>
          <w:lang w:eastAsia="x-none"/>
        </w:rPr>
        <w:t xml:space="preserve"> the seventh replenishment of the Global Environment Facility Trust Fund, and </w:t>
      </w:r>
      <w:r w:rsidRPr="00EE0850">
        <w:rPr>
          <w:i/>
          <w:kern w:val="22"/>
          <w:szCs w:val="22"/>
          <w:lang w:eastAsia="x-none"/>
        </w:rPr>
        <w:t>expresses its appreciation</w:t>
      </w:r>
      <w:r w:rsidRPr="00EE0850">
        <w:rPr>
          <w:kern w:val="22"/>
          <w:szCs w:val="22"/>
          <w:lang w:eastAsia="x-none"/>
        </w:rPr>
        <w:t xml:space="preserve"> to the countries that contributed to the seventh replenishment;</w:t>
      </w:r>
      <w:r w:rsidRPr="00EE0850">
        <w:rPr>
          <w:rStyle w:val="FootnoteReference"/>
          <w:kern w:val="22"/>
          <w:sz w:val="22"/>
          <w:szCs w:val="22"/>
          <w:u w:val="none"/>
          <w:vertAlign w:val="superscript"/>
          <w:lang w:eastAsia="x-none"/>
        </w:rPr>
        <w:footnoteReference w:id="20"/>
      </w:r>
    </w:p>
    <w:p w14:paraId="17CA3A3D" w14:textId="77777777" w:rsidR="001E4E65" w:rsidRPr="00EE0850" w:rsidRDefault="001E4E65" w:rsidP="000C6220">
      <w:pPr>
        <w:numPr>
          <w:ilvl w:val="0"/>
          <w:numId w:val="64"/>
        </w:numPr>
        <w:suppressLineNumbers/>
        <w:shd w:val="clear" w:color="auto" w:fill="FFFFFF" w:themeFill="background1"/>
        <w:tabs>
          <w:tab w:val="clear" w:pos="900"/>
        </w:tabs>
        <w:suppressAutoHyphens/>
        <w:spacing w:before="120" w:line="240" w:lineRule="auto"/>
        <w:ind w:left="0" w:firstLine="720"/>
        <w:rPr>
          <w:kern w:val="22"/>
          <w:szCs w:val="22"/>
          <w:lang w:eastAsia="x-none"/>
        </w:rPr>
      </w:pPr>
      <w:r w:rsidRPr="00EE0850">
        <w:rPr>
          <w:i/>
          <w:kern w:val="22"/>
          <w:szCs w:val="22"/>
          <w:lang w:eastAsia="x-none"/>
        </w:rPr>
        <w:t>Also welcomes</w:t>
      </w:r>
      <w:r w:rsidRPr="00EE0850">
        <w:rPr>
          <w:kern w:val="22"/>
          <w:szCs w:val="22"/>
          <w:lang w:eastAsia="x-none"/>
        </w:rPr>
        <w:t xml:space="preserve"> the Biodiversity Focal Area Strategy, which includes a programme for implementing the Nagoya Protocol, and </w:t>
      </w:r>
      <w:r w:rsidRPr="00EE0850">
        <w:rPr>
          <w:i/>
          <w:kern w:val="22"/>
          <w:szCs w:val="22"/>
          <w:lang w:eastAsia="x-none"/>
        </w:rPr>
        <w:t>takes note</w:t>
      </w:r>
      <w:r w:rsidRPr="00EE0850">
        <w:rPr>
          <w:kern w:val="22"/>
          <w:szCs w:val="22"/>
          <w:lang w:eastAsia="x-none"/>
        </w:rPr>
        <w:t xml:space="preserve"> of the notional programming targets for the various Biodiversity Focal Area objectives and programmes contained in the report on the seventh replenishment;</w:t>
      </w:r>
      <w:r w:rsidRPr="00EE0850">
        <w:rPr>
          <w:kern w:val="22"/>
          <w:szCs w:val="22"/>
          <w:vertAlign w:val="superscript"/>
          <w:lang w:eastAsia="x-none"/>
        </w:rPr>
        <w:footnoteReference w:id="21"/>
      </w:r>
    </w:p>
    <w:p w14:paraId="44290609" w14:textId="77777777" w:rsidR="001E4E65" w:rsidRPr="00EE0850" w:rsidRDefault="001E4E65" w:rsidP="000C6220">
      <w:pPr>
        <w:numPr>
          <w:ilvl w:val="0"/>
          <w:numId w:val="64"/>
        </w:numPr>
        <w:suppressLineNumbers/>
        <w:shd w:val="clear" w:color="auto" w:fill="FFFFFF" w:themeFill="background1"/>
        <w:tabs>
          <w:tab w:val="clear" w:pos="900"/>
        </w:tabs>
        <w:suppressAutoHyphens/>
        <w:spacing w:before="120" w:line="240" w:lineRule="auto"/>
        <w:ind w:left="0" w:firstLine="720"/>
        <w:rPr>
          <w:kern w:val="22"/>
          <w:szCs w:val="22"/>
          <w:lang w:eastAsia="x-none"/>
        </w:rPr>
      </w:pPr>
      <w:r w:rsidRPr="00EE0850">
        <w:rPr>
          <w:i/>
          <w:kern w:val="22"/>
          <w:szCs w:val="22"/>
          <w:lang w:eastAsia="x-none"/>
        </w:rPr>
        <w:t>Encourages</w:t>
      </w:r>
      <w:r w:rsidRPr="00EE0850">
        <w:rPr>
          <w:kern w:val="22"/>
          <w:szCs w:val="22"/>
          <w:lang w:eastAsia="x-none"/>
        </w:rPr>
        <w:t xml:space="preserve"> eligible Parties to prioritize access and benefit-sharing projects during the programming of their seventh-replenishment national allocations under the System for Transparent Allocation of Resources (STAR);</w:t>
      </w:r>
    </w:p>
    <w:p w14:paraId="74D952DF" w14:textId="77777777" w:rsidR="001E4E65" w:rsidRPr="00EE0850" w:rsidRDefault="001E4E65" w:rsidP="000C6220">
      <w:pPr>
        <w:numPr>
          <w:ilvl w:val="0"/>
          <w:numId w:val="64"/>
        </w:numPr>
        <w:suppressLineNumbers/>
        <w:shd w:val="clear" w:color="auto" w:fill="FFFFFF" w:themeFill="background1"/>
        <w:tabs>
          <w:tab w:val="clear" w:pos="900"/>
        </w:tabs>
        <w:suppressAutoHyphens/>
        <w:spacing w:before="120" w:line="240" w:lineRule="auto"/>
        <w:ind w:left="0" w:firstLine="720"/>
        <w:rPr>
          <w:kern w:val="22"/>
          <w:szCs w:val="22"/>
          <w:lang w:eastAsia="x-none"/>
        </w:rPr>
      </w:pPr>
      <w:r w:rsidRPr="00EE0850">
        <w:rPr>
          <w:i/>
          <w:kern w:val="22"/>
          <w:szCs w:val="22"/>
          <w:lang w:eastAsia="x-none"/>
        </w:rPr>
        <w:t>Encourages</w:t>
      </w:r>
      <w:r w:rsidRPr="00EE0850">
        <w:rPr>
          <w:kern w:val="22"/>
          <w:szCs w:val="22"/>
          <w:lang w:eastAsia="x-none"/>
        </w:rPr>
        <w:t xml:space="preserve"> Parties to incorporate access and benefit-sharing activities in projects developed under other</w:t>
      </w:r>
      <w:r w:rsidRPr="00EE0850" w:rsidDel="009C5DA7">
        <w:rPr>
          <w:kern w:val="22"/>
          <w:szCs w:val="22"/>
          <w:lang w:eastAsia="x-none"/>
        </w:rPr>
        <w:t xml:space="preserve"> </w:t>
      </w:r>
      <w:r w:rsidRPr="00EE0850">
        <w:rPr>
          <w:kern w:val="22"/>
          <w:szCs w:val="22"/>
          <w:lang w:eastAsia="x-none"/>
        </w:rPr>
        <w:t>programmes of the Global Environment Facility, as appropriate;</w:t>
      </w:r>
    </w:p>
    <w:p w14:paraId="59BA7A9F" w14:textId="6006ADE5" w:rsidR="001E4E65" w:rsidRPr="00EE0850" w:rsidRDefault="001E4E65" w:rsidP="000C6220">
      <w:pPr>
        <w:numPr>
          <w:ilvl w:val="0"/>
          <w:numId w:val="64"/>
        </w:numPr>
        <w:suppressLineNumbers/>
        <w:shd w:val="clear" w:color="auto" w:fill="FFFFFF" w:themeFill="background1"/>
        <w:tabs>
          <w:tab w:val="clear" w:pos="900"/>
        </w:tabs>
        <w:suppressAutoHyphens/>
        <w:spacing w:before="120" w:line="240" w:lineRule="auto"/>
        <w:ind w:left="0" w:firstLine="720"/>
        <w:rPr>
          <w:kern w:val="22"/>
        </w:rPr>
      </w:pPr>
      <w:r w:rsidRPr="00EE0850">
        <w:rPr>
          <w:i/>
          <w:kern w:val="22"/>
          <w:szCs w:val="22"/>
          <w:lang w:eastAsia="x-none"/>
        </w:rPr>
        <w:t>Also encourages</w:t>
      </w:r>
      <w:r w:rsidRPr="00EE0850">
        <w:rPr>
          <w:kern w:val="22"/>
          <w:szCs w:val="22"/>
          <w:lang w:eastAsia="x-none"/>
        </w:rPr>
        <w:t xml:space="preserve"> Parties to cooperate at the regional and </w:t>
      </w:r>
      <w:proofErr w:type="spellStart"/>
      <w:r w:rsidRPr="00EE0850">
        <w:rPr>
          <w:kern w:val="22"/>
          <w:szCs w:val="22"/>
          <w:lang w:eastAsia="x-none"/>
        </w:rPr>
        <w:t>subregional</w:t>
      </w:r>
      <w:proofErr w:type="spellEnd"/>
      <w:r w:rsidRPr="00EE0850">
        <w:rPr>
          <w:kern w:val="22"/>
          <w:szCs w:val="22"/>
          <w:lang w:eastAsia="x-none"/>
        </w:rPr>
        <w:t xml:space="preserve"> levels and to request support from the Global Environment Facility for joint projects in order to maximize synergies and opportunities for cost-effective sharing of resources, information, experiences and expertise.</w:t>
      </w:r>
    </w:p>
    <w:p w14:paraId="29BF4199" w14:textId="77777777" w:rsidR="001E4E65" w:rsidRPr="00EE0850" w:rsidRDefault="001E4E65" w:rsidP="000C6220">
      <w:pPr>
        <w:spacing w:before="120" w:line="240" w:lineRule="auto"/>
        <w:jc w:val="left"/>
        <w:rPr>
          <w:rFonts w:ascii="Times New Roman Bold" w:hAnsi="Times New Roman Bold" w:cs="Times New Roman Bold"/>
          <w:b/>
          <w:bCs/>
          <w:caps/>
          <w:snapToGrid w:val="0"/>
          <w:kern w:val="22"/>
          <w:szCs w:val="22"/>
        </w:rPr>
      </w:pPr>
      <w:r w:rsidRPr="00EE0850">
        <w:br w:type="page"/>
      </w:r>
    </w:p>
    <w:p w14:paraId="118BA585" w14:textId="6C15D3BA" w:rsidR="001E4E65" w:rsidRPr="00EE0850" w:rsidRDefault="001E4E65" w:rsidP="000C6220">
      <w:pPr>
        <w:pStyle w:val="recommendationheader"/>
        <w:spacing w:line="240" w:lineRule="auto"/>
        <w:ind w:left="1560" w:hanging="709"/>
        <w:jc w:val="left"/>
        <w:rPr>
          <w:szCs w:val="22"/>
        </w:rPr>
      </w:pPr>
      <w:bookmarkStart w:id="11" w:name="_Toc256209"/>
      <w:r w:rsidRPr="00EE0850">
        <w:rPr>
          <w:szCs w:val="22"/>
        </w:rPr>
        <w:t>3/9.</w:t>
      </w:r>
      <w:r w:rsidRPr="00EE0850">
        <w:rPr>
          <w:szCs w:val="22"/>
        </w:rPr>
        <w:tab/>
        <w:t>Enhancing integration under the Convention and its Protocols with respect to provisions related to access and benefit-sharing</w:t>
      </w:r>
      <w:bookmarkEnd w:id="11"/>
    </w:p>
    <w:p w14:paraId="0B11AB9C" w14:textId="68F17112" w:rsidR="001E4E65" w:rsidRPr="00EE0850" w:rsidRDefault="001E4E65" w:rsidP="000C6220">
      <w:pPr>
        <w:pStyle w:val="Para1"/>
        <w:numPr>
          <w:ilvl w:val="0"/>
          <w:numId w:val="0"/>
        </w:numPr>
        <w:spacing w:line="240" w:lineRule="auto"/>
        <w:ind w:firstLine="720"/>
        <w:rPr>
          <w:kern w:val="22"/>
          <w:szCs w:val="22"/>
        </w:rPr>
      </w:pPr>
      <w:r w:rsidRPr="00EE0850">
        <w:rPr>
          <w:i/>
          <w:kern w:val="22"/>
          <w:szCs w:val="22"/>
        </w:rPr>
        <w:t>The Conference of the Parties serving as the meeting of the Parties to the Nagoya Protocol on Access and Benefit-sharing</w:t>
      </w:r>
      <w:r w:rsidRPr="00EE0850">
        <w:rPr>
          <w:kern w:val="22"/>
          <w:szCs w:val="22"/>
        </w:rPr>
        <w:t>,</w:t>
      </w:r>
    </w:p>
    <w:p w14:paraId="3FF13060" w14:textId="77777777" w:rsidR="001E4E65" w:rsidRPr="00EE0850" w:rsidRDefault="001E4E65" w:rsidP="000C6220">
      <w:pPr>
        <w:pStyle w:val="Para1"/>
        <w:numPr>
          <w:ilvl w:val="0"/>
          <w:numId w:val="0"/>
        </w:numPr>
        <w:spacing w:line="240" w:lineRule="auto"/>
        <w:ind w:firstLine="720"/>
        <w:rPr>
          <w:kern w:val="22"/>
          <w:szCs w:val="22"/>
        </w:rPr>
      </w:pPr>
      <w:r w:rsidRPr="00EE0850">
        <w:rPr>
          <w:i/>
          <w:kern w:val="22"/>
          <w:szCs w:val="22"/>
        </w:rPr>
        <w:t xml:space="preserve">Recalling </w:t>
      </w:r>
      <w:r w:rsidRPr="00EE0850">
        <w:rPr>
          <w:kern w:val="22"/>
          <w:szCs w:val="22"/>
        </w:rPr>
        <w:t>decision</w:t>
      </w:r>
      <w:r w:rsidRPr="00EE0850">
        <w:rPr>
          <w:i/>
          <w:kern w:val="22"/>
          <w:szCs w:val="22"/>
        </w:rPr>
        <w:t xml:space="preserve"> </w:t>
      </w:r>
      <w:hyperlink r:id="rId16" w:history="1">
        <w:r w:rsidRPr="00EE0850">
          <w:rPr>
            <w:rStyle w:val="Hyperlink"/>
            <w:kern w:val="22"/>
            <w:sz w:val="22"/>
            <w:szCs w:val="22"/>
          </w:rPr>
          <w:t>XII/13</w:t>
        </w:r>
      </w:hyperlink>
      <w:r w:rsidRPr="00EE0850">
        <w:rPr>
          <w:kern w:val="22"/>
          <w:szCs w:val="22"/>
        </w:rPr>
        <w:t xml:space="preserve"> of the Conference of the Parties regarding possible ways and means to promote integrated approaches to issues at the interface between the access and benefit-sharing-related provisions of the Convention and the provisions of the Nagoya Protocol on Access to Genetic Resources and the Fair and Equitable Sharing of Benefits Arising from Their Utilization,</w:t>
      </w:r>
    </w:p>
    <w:p w14:paraId="7C2353D6" w14:textId="6652017C" w:rsidR="001E4E65" w:rsidRPr="00EE0850" w:rsidRDefault="001E4E65" w:rsidP="000C6220">
      <w:pPr>
        <w:pStyle w:val="Para1"/>
        <w:numPr>
          <w:ilvl w:val="0"/>
          <w:numId w:val="0"/>
        </w:numPr>
        <w:spacing w:line="240" w:lineRule="auto"/>
        <w:ind w:firstLine="720"/>
        <w:rPr>
          <w:szCs w:val="22"/>
        </w:rPr>
      </w:pPr>
      <w:r w:rsidRPr="00EE0850">
        <w:rPr>
          <w:i/>
          <w:kern w:val="22"/>
          <w:szCs w:val="22"/>
        </w:rPr>
        <w:t>Takes note</w:t>
      </w:r>
      <w:r w:rsidRPr="00EE0850">
        <w:rPr>
          <w:kern w:val="22"/>
          <w:szCs w:val="22"/>
        </w:rPr>
        <w:t xml:space="preserve"> of the proposed ways and means for enhanced integration,</w:t>
      </w:r>
      <w:r w:rsidRPr="00EE0850">
        <w:rPr>
          <w:rStyle w:val="FootnoteReference"/>
          <w:kern w:val="18"/>
          <w:sz w:val="22"/>
          <w:szCs w:val="22"/>
          <w:u w:val="none"/>
          <w:vertAlign w:val="superscript"/>
          <w:lang w:eastAsia="x-none"/>
        </w:rPr>
        <w:footnoteReference w:id="22"/>
      </w:r>
      <w:r w:rsidRPr="00EE0850">
        <w:rPr>
          <w:kern w:val="22"/>
          <w:szCs w:val="22"/>
        </w:rPr>
        <w:t xml:space="preserve"> and </w:t>
      </w:r>
      <w:r w:rsidRPr="00EE0850">
        <w:rPr>
          <w:i/>
          <w:kern w:val="22"/>
          <w:szCs w:val="22"/>
        </w:rPr>
        <w:t>welcomes</w:t>
      </w:r>
      <w:r w:rsidRPr="00EE0850">
        <w:rPr>
          <w:kern w:val="22"/>
          <w:szCs w:val="22"/>
        </w:rPr>
        <w:t xml:space="preserve"> decision 14/31 of the Conference of the Parties.</w:t>
      </w:r>
    </w:p>
    <w:p w14:paraId="56AD7AD7" w14:textId="77777777" w:rsidR="001E4E65" w:rsidRPr="00EE0850" w:rsidRDefault="001E4E65" w:rsidP="000C6220">
      <w:pPr>
        <w:spacing w:before="120" w:line="240" w:lineRule="auto"/>
        <w:jc w:val="left"/>
        <w:rPr>
          <w:rFonts w:ascii="Times New Roman Bold" w:hAnsi="Times New Roman Bold" w:cs="Times New Roman Bold"/>
          <w:b/>
          <w:bCs/>
          <w:caps/>
          <w:snapToGrid w:val="0"/>
          <w:kern w:val="22"/>
          <w:szCs w:val="22"/>
        </w:rPr>
      </w:pPr>
      <w:r w:rsidRPr="00EE0850">
        <w:rPr>
          <w:rFonts w:hint="eastAsia"/>
        </w:rPr>
        <w:br w:type="page"/>
      </w:r>
    </w:p>
    <w:p w14:paraId="0157EC61" w14:textId="49959093" w:rsidR="00127617" w:rsidRPr="00EE0850" w:rsidRDefault="00127617" w:rsidP="000C6220">
      <w:pPr>
        <w:pStyle w:val="recommendationheader"/>
        <w:spacing w:line="240" w:lineRule="auto"/>
        <w:ind w:left="1560" w:hanging="851"/>
        <w:jc w:val="left"/>
        <w:rPr>
          <w:szCs w:val="22"/>
        </w:rPr>
      </w:pPr>
      <w:bookmarkStart w:id="12" w:name="_Toc256210"/>
      <w:r w:rsidRPr="00EE0850">
        <w:rPr>
          <w:szCs w:val="22"/>
        </w:rPr>
        <w:t>3/10.</w:t>
      </w:r>
      <w:r w:rsidRPr="00EE0850">
        <w:rPr>
          <w:szCs w:val="22"/>
        </w:rPr>
        <w:tab/>
        <w:t>Review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w:t>
      </w:r>
      <w:bookmarkEnd w:id="12"/>
    </w:p>
    <w:p w14:paraId="0658210F" w14:textId="38B7E1A3" w:rsidR="00127617" w:rsidRPr="00EE0850" w:rsidRDefault="0012761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i/>
          <w:kern w:val="22"/>
          <w:szCs w:val="22"/>
        </w:rPr>
      </w:pPr>
      <w:r w:rsidRPr="00EE0850">
        <w:rPr>
          <w:i/>
          <w:kern w:val="22"/>
          <w:szCs w:val="22"/>
        </w:rPr>
        <w:t>The Conference of the Parties serving as the meeting of the Parties to the Nagoya Protocol on Access and Benefit-sharing,</w:t>
      </w:r>
    </w:p>
    <w:p w14:paraId="7DF8E2E2" w14:textId="77777777" w:rsidR="00127617" w:rsidRPr="00EE0850" w:rsidRDefault="0012761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i/>
          <w:iCs/>
          <w:kern w:val="22"/>
          <w:szCs w:val="22"/>
        </w:rPr>
        <w:t>Recalling</w:t>
      </w:r>
      <w:r w:rsidRPr="00EE0850">
        <w:rPr>
          <w:kern w:val="22"/>
          <w:szCs w:val="22"/>
        </w:rPr>
        <w:t xml:space="preserve"> decisions </w:t>
      </w:r>
      <w:hyperlink r:id="rId17" w:history="1">
        <w:r w:rsidRPr="00EE0850">
          <w:rPr>
            <w:color w:val="0000FF"/>
            <w:kern w:val="22"/>
            <w:szCs w:val="22"/>
            <w:u w:val="single"/>
          </w:rPr>
          <w:t>NP-1/12</w:t>
        </w:r>
      </w:hyperlink>
      <w:r w:rsidRPr="00EE0850">
        <w:rPr>
          <w:kern w:val="22"/>
          <w:szCs w:val="22"/>
        </w:rPr>
        <w:t xml:space="preserve"> and </w:t>
      </w:r>
      <w:hyperlink r:id="rId18" w:history="1">
        <w:r w:rsidRPr="00EE0850">
          <w:rPr>
            <w:color w:val="0000FF"/>
            <w:kern w:val="22"/>
            <w:szCs w:val="22"/>
            <w:u w:val="single"/>
          </w:rPr>
          <w:t>NP-2/12</w:t>
        </w:r>
      </w:hyperlink>
      <w:r w:rsidRPr="00EE0850">
        <w:rPr>
          <w:kern w:val="22"/>
          <w:szCs w:val="22"/>
        </w:rPr>
        <w:t>,</w:t>
      </w:r>
    </w:p>
    <w:p w14:paraId="5024FF46" w14:textId="77777777" w:rsidR="00127617" w:rsidRPr="00EE0850" w:rsidRDefault="0012761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i/>
          <w:iCs/>
          <w:kern w:val="22"/>
          <w:szCs w:val="22"/>
        </w:rPr>
        <w:t>Having reviewed</w:t>
      </w:r>
      <w:r w:rsidRPr="00EE0850">
        <w:rPr>
          <w:kern w:val="22"/>
          <w:szCs w:val="22"/>
        </w:rPr>
        <w:t xml:space="preserve"> the experience in holding concurrently meetings of the Conference of the Parties, the Conference of the Parties serving as the meeting of the Parties to the Cartagena Protocol and the Conference of the Parties serving as the meeting of the Parties to the Nagoya Protocol, using the criteria determined in decision NP-2/12, and</w:t>
      </w:r>
      <w:r w:rsidRPr="00EE0850">
        <w:rPr>
          <w:i/>
          <w:iCs/>
          <w:kern w:val="22"/>
          <w:szCs w:val="22"/>
        </w:rPr>
        <w:t xml:space="preserve"> taking into account</w:t>
      </w:r>
      <w:r w:rsidRPr="00EE0850">
        <w:rPr>
          <w:kern w:val="22"/>
          <w:szCs w:val="22"/>
        </w:rPr>
        <w:t xml:space="preserve"> the views of Parties, observers and participants at the thirteenth meeting of the Conference of the Parties to the Convention, the eighth meeting of the Conference of the Parties serving as the meeting of the Parties to the Cartagena Protocol and the second meeting of the Conference of the Parties serving as the meeting of the Parties to the Nagoya Protocol, and through the surveys conducted after the meetings,</w:t>
      </w:r>
    </w:p>
    <w:p w14:paraId="3661EDFB" w14:textId="77777777" w:rsidR="00127617" w:rsidRPr="00EE0850" w:rsidRDefault="0012761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i/>
          <w:iCs/>
          <w:kern w:val="22"/>
          <w:szCs w:val="22"/>
        </w:rPr>
        <w:t>Recognizing</w:t>
      </w:r>
      <w:r w:rsidRPr="00EE0850">
        <w:rPr>
          <w:kern w:val="22"/>
          <w:szCs w:val="22"/>
        </w:rPr>
        <w:t xml:space="preserve"> that a further review will be undertaken at the fifteenth meeting of the Conference of the Parties to the Convention, the tenth meeting of the Conference of the Parties serving as the meeting of the Parties to the Cartagena Protocol and the fourth meeting of the Conference of the Parties serving as the meeting of the Parties to the Nagoya Protocol,</w:t>
      </w:r>
    </w:p>
    <w:p w14:paraId="65F38FF2" w14:textId="77777777" w:rsidR="00127617" w:rsidRPr="00EE0850" w:rsidRDefault="0012761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1.</w:t>
      </w:r>
      <w:r w:rsidRPr="00EE0850">
        <w:rPr>
          <w:kern w:val="22"/>
          <w:szCs w:val="22"/>
        </w:rPr>
        <w:tab/>
      </w:r>
      <w:r w:rsidRPr="00EE0850">
        <w:rPr>
          <w:i/>
          <w:kern w:val="22"/>
          <w:szCs w:val="22"/>
        </w:rPr>
        <w:t>Notes</w:t>
      </w:r>
      <w:r w:rsidRPr="00EE0850">
        <w:rPr>
          <w:kern w:val="22"/>
          <w:szCs w:val="22"/>
        </w:rPr>
        <w:t xml:space="preserve"> </w:t>
      </w:r>
      <w:r w:rsidRPr="00EE0850">
        <w:rPr>
          <w:i/>
          <w:kern w:val="22"/>
          <w:szCs w:val="22"/>
        </w:rPr>
        <w:t>with satisfaction</w:t>
      </w:r>
      <w:r w:rsidRPr="00EE0850">
        <w:rPr>
          <w:kern w:val="22"/>
          <w:szCs w:val="22"/>
        </w:rPr>
        <w:t xml:space="preserve"> that the concurrent meetings have allowed for increased integration among the Convention and its Protocols, and improved consultations, coordination and synergies among the respective national focal points;</w:t>
      </w:r>
    </w:p>
    <w:p w14:paraId="4BE627FB" w14:textId="77777777" w:rsidR="00127617" w:rsidRPr="00EE0850" w:rsidRDefault="0012761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2.</w:t>
      </w:r>
      <w:r w:rsidRPr="00EE0850">
        <w:rPr>
          <w:kern w:val="22"/>
          <w:szCs w:val="22"/>
        </w:rPr>
        <w:tab/>
      </w:r>
      <w:r w:rsidRPr="00EE0850">
        <w:rPr>
          <w:i/>
          <w:kern w:val="22"/>
          <w:szCs w:val="22"/>
        </w:rPr>
        <w:t>Notes</w:t>
      </w:r>
      <w:r w:rsidRPr="00EE0850">
        <w:rPr>
          <w:kern w:val="22"/>
          <w:szCs w:val="22"/>
        </w:rPr>
        <w:t xml:space="preserve"> that most of the criteria were considered as being met or partially met, and that further improvements in the functioning of the concurrent meetings are desirable, in particular to improve the outcomes and effectiveness of the meetings of the Parties to the Protocols;</w:t>
      </w:r>
    </w:p>
    <w:p w14:paraId="5798A5B1" w14:textId="77777777" w:rsidR="00127617" w:rsidRPr="00EE0850" w:rsidRDefault="0012761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3.</w:t>
      </w:r>
      <w:r w:rsidRPr="00EE0850">
        <w:rPr>
          <w:kern w:val="22"/>
          <w:szCs w:val="22"/>
        </w:rPr>
        <w:tab/>
      </w:r>
      <w:r w:rsidRPr="00EE0850">
        <w:rPr>
          <w:i/>
          <w:kern w:val="22"/>
          <w:szCs w:val="22"/>
        </w:rPr>
        <w:t>Reiterates</w:t>
      </w:r>
      <w:r w:rsidRPr="00EE0850">
        <w:rPr>
          <w:kern w:val="22"/>
          <w:szCs w:val="22"/>
        </w:rPr>
        <w:t xml:space="preserve"> the importance of ensuring the full and effective participation of representatives of developing country Parties, in particular the least developed countries and small island developing States among them, and countries with economies in transition, in the concurrent meetings, and </w:t>
      </w:r>
      <w:r w:rsidRPr="00EE0850">
        <w:rPr>
          <w:i/>
          <w:kern w:val="22"/>
          <w:szCs w:val="22"/>
        </w:rPr>
        <w:t>highlights</w:t>
      </w:r>
      <w:r w:rsidRPr="00EE0850">
        <w:rPr>
          <w:kern w:val="22"/>
          <w:szCs w:val="22"/>
        </w:rPr>
        <w:t>, in this respect, the importance, in particular, of ensuring adequate participation of representatives in meetings of the Protocols by making funding available for such participation, including in intersessional meetings;</w:t>
      </w:r>
    </w:p>
    <w:p w14:paraId="16196B84" w14:textId="77777777" w:rsidR="00127617" w:rsidRPr="00EE0850" w:rsidRDefault="00127617" w:rsidP="000C6220">
      <w:pPr>
        <w:suppressLineNumbers/>
        <w:suppressAutoHyphens/>
        <w:kinsoku w:val="0"/>
        <w:overflowPunct w:val="0"/>
        <w:autoSpaceDE w:val="0"/>
        <w:autoSpaceDN w:val="0"/>
        <w:adjustRightInd w:val="0"/>
        <w:snapToGrid w:val="0"/>
        <w:spacing w:before="120" w:line="240" w:lineRule="auto"/>
        <w:ind w:firstLine="720"/>
        <w:rPr>
          <w:kern w:val="22"/>
          <w:szCs w:val="22"/>
          <w:lang w:eastAsia="en-CA"/>
        </w:rPr>
      </w:pPr>
      <w:r w:rsidRPr="00EE0850">
        <w:rPr>
          <w:kern w:val="22"/>
          <w:szCs w:val="22"/>
        </w:rPr>
        <w:t>4.</w:t>
      </w:r>
      <w:r w:rsidRPr="00EE0850">
        <w:rPr>
          <w:kern w:val="22"/>
          <w:szCs w:val="22"/>
        </w:rPr>
        <w:tab/>
      </w:r>
      <w:r w:rsidRPr="00EE0850">
        <w:rPr>
          <w:i/>
          <w:kern w:val="22"/>
          <w:szCs w:val="22"/>
        </w:rPr>
        <w:t>Requests</w:t>
      </w:r>
      <w:r w:rsidRPr="00EE0850">
        <w:rPr>
          <w:kern w:val="22"/>
          <w:szCs w:val="22"/>
        </w:rPr>
        <w:t xml:space="preserve"> the Executive Secretary to further develop the preliminary review of the experience in concurrent meetings, using the criteria referred to in decision 2/12, on the basis of the experience gained from the fourteenth meeting of the Conference of the Parties, the ninth meeting of the Conference of the Parties serving as the meeting of the Parties to the Cartagena Protocol and the third meeting of the Conference of the Parties serving as the meeting of the Parties to the Nagoya Protocol, for consideration by the Subsidiary Body on Implementation at its third meeting;</w:t>
      </w:r>
    </w:p>
    <w:p w14:paraId="3F4A6FA7" w14:textId="730FD493" w:rsidR="00127617" w:rsidRPr="00EE0850" w:rsidRDefault="0012761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rPr>
      </w:pPr>
      <w:r w:rsidRPr="00EE0850">
        <w:rPr>
          <w:kern w:val="22"/>
          <w:szCs w:val="22"/>
        </w:rPr>
        <w:t>5.</w:t>
      </w:r>
      <w:r w:rsidRPr="00EE0850">
        <w:rPr>
          <w:kern w:val="22"/>
          <w:szCs w:val="22"/>
        </w:rPr>
        <w:tab/>
      </w:r>
      <w:r w:rsidRPr="00EE0850">
        <w:rPr>
          <w:i/>
          <w:kern w:val="22"/>
          <w:szCs w:val="22"/>
        </w:rPr>
        <w:t>Requests</w:t>
      </w:r>
      <w:r w:rsidRPr="00EE0850">
        <w:rPr>
          <w:kern w:val="22"/>
          <w:szCs w:val="22"/>
        </w:rPr>
        <w:t xml:space="preserve"> the Bureau and the Executive Secretary, when finalizing the proposed organization of work for the fifteenth meeting of the Conference of the Parties to the Convention, the tenth meeting of the Conference of the Parties serving as the meeting of the Parties to the Cartagena Protocol and the fourth meeting of the Conference of the Parties serving as the meeting of the Parties to the Nagoya Protocol, to take into account the present decision, the information contained in the notes by the Executive Secretary</w:t>
      </w:r>
      <w:r w:rsidRPr="00EE0850">
        <w:rPr>
          <w:kern w:val="22"/>
          <w:szCs w:val="22"/>
          <w:vertAlign w:val="superscript"/>
        </w:rPr>
        <w:footnoteReference w:id="23"/>
      </w:r>
      <w:r w:rsidRPr="00EE0850">
        <w:rPr>
          <w:kern w:val="22"/>
          <w:szCs w:val="22"/>
        </w:rPr>
        <w:t xml:space="preserve"> and the experience gained from the fourteenth meeting of the Conference of the Parties, the ninth meeting of the Conference of the Parties serving as the meeting of the Parties to the Cartagena Protocol and the third meeting of the Conference of the Parties serving as the meeting of the Parties to the Nagoya Protocol.</w:t>
      </w:r>
    </w:p>
    <w:p w14:paraId="4CA11E6A" w14:textId="77777777" w:rsidR="00127617" w:rsidRPr="00EE0850" w:rsidRDefault="00127617" w:rsidP="000C6220">
      <w:pPr>
        <w:spacing w:before="120" w:line="240" w:lineRule="auto"/>
        <w:jc w:val="left"/>
        <w:rPr>
          <w:rFonts w:ascii="Times New Roman Bold" w:hAnsi="Times New Roman Bold" w:cs="Times New Roman Bold"/>
          <w:b/>
          <w:bCs/>
          <w:caps/>
          <w:snapToGrid w:val="0"/>
          <w:kern w:val="22"/>
          <w:szCs w:val="22"/>
        </w:rPr>
      </w:pPr>
      <w:r w:rsidRPr="00EE0850">
        <w:br w:type="page"/>
      </w:r>
    </w:p>
    <w:p w14:paraId="0EEA0EC5" w14:textId="3BDE5B05" w:rsidR="00C01027" w:rsidRPr="00EE0850" w:rsidRDefault="00C01027" w:rsidP="000C6220">
      <w:pPr>
        <w:pStyle w:val="recommendationheader"/>
        <w:spacing w:line="240" w:lineRule="auto"/>
      </w:pPr>
      <w:bookmarkStart w:id="13" w:name="_Toc256211"/>
      <w:r w:rsidRPr="00EE0850">
        <w:t>3/11.</w:t>
      </w:r>
      <w:r w:rsidRPr="00EE0850">
        <w:tab/>
        <w:t>Procedure for avoiding or managing conflicts of interest in expert groups</w:t>
      </w:r>
      <w:bookmarkEnd w:id="13"/>
    </w:p>
    <w:p w14:paraId="67313CFB" w14:textId="077E2F52" w:rsidR="00C01027" w:rsidRPr="00EE0850" w:rsidRDefault="00C0102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i/>
          <w:kern w:val="22"/>
          <w:szCs w:val="22"/>
        </w:rPr>
      </w:pPr>
      <w:r w:rsidRPr="00EE0850">
        <w:rPr>
          <w:i/>
          <w:kern w:val="22"/>
          <w:szCs w:val="22"/>
        </w:rPr>
        <w:t>The Conference of the Parties serving as the meeting of the Parties to the Nagoya Protocol on Access and Benefit-sharing,</w:t>
      </w:r>
    </w:p>
    <w:p w14:paraId="66FD45A5" w14:textId="77777777" w:rsidR="00C01027" w:rsidRPr="00EE0850" w:rsidRDefault="00C0102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i/>
          <w:kern w:val="22"/>
          <w:szCs w:val="22"/>
        </w:rPr>
        <w:t xml:space="preserve">Recognizing </w:t>
      </w:r>
      <w:r w:rsidRPr="00EE0850">
        <w:rPr>
          <w:kern w:val="22"/>
          <w:szCs w:val="22"/>
        </w:rPr>
        <w:t>the critical importance of taking decisions on the basis of the best available expert advice,</w:t>
      </w:r>
    </w:p>
    <w:p w14:paraId="1D65AA54" w14:textId="77777777" w:rsidR="00C01027" w:rsidRPr="00EE0850" w:rsidRDefault="00C0102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i/>
          <w:kern w:val="22"/>
          <w:szCs w:val="22"/>
        </w:rPr>
        <w:t>Recognizing</w:t>
      </w:r>
      <w:r w:rsidRPr="00EE0850">
        <w:rPr>
          <w:i/>
          <w:iCs/>
          <w:kern w:val="22"/>
          <w:szCs w:val="22"/>
        </w:rPr>
        <w:t xml:space="preserve"> also</w:t>
      </w:r>
      <w:r w:rsidRPr="00EE0850">
        <w:rPr>
          <w:kern w:val="22"/>
          <w:szCs w:val="22"/>
        </w:rPr>
        <w:t xml:space="preserve"> the need to avoid or manage, in a transparent manner, conflicts of interest by members of expert groups established from time to time to develop recommendations,</w:t>
      </w:r>
    </w:p>
    <w:p w14:paraId="604414C2" w14:textId="77777777" w:rsidR="00C01027" w:rsidRPr="00EE0850" w:rsidRDefault="00C0102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1.</w:t>
      </w:r>
      <w:r w:rsidRPr="00EE0850">
        <w:rPr>
          <w:kern w:val="22"/>
          <w:szCs w:val="22"/>
        </w:rPr>
        <w:tab/>
      </w:r>
      <w:r w:rsidRPr="00EE0850">
        <w:rPr>
          <w:i/>
          <w:kern w:val="22"/>
          <w:szCs w:val="22"/>
        </w:rPr>
        <w:t>Approves</w:t>
      </w:r>
      <w:r w:rsidRPr="00EE0850">
        <w:rPr>
          <w:kern w:val="22"/>
          <w:szCs w:val="22"/>
        </w:rPr>
        <w:t xml:space="preserve"> the Procedure for Avoiding or Managing Conflicts of Interest in Expert Groups contained in the annex to decision 14/33 of the Conference of the Parties to the Convention;</w:t>
      </w:r>
    </w:p>
    <w:p w14:paraId="2EDD31D1" w14:textId="77777777" w:rsidR="00C01027" w:rsidRPr="00EE0850" w:rsidRDefault="00C01027" w:rsidP="000C6220">
      <w:pPr>
        <w:suppressLineNumbers/>
        <w:shd w:val="clear" w:color="auto" w:fill="FFFFFF"/>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2.</w:t>
      </w:r>
      <w:r w:rsidRPr="00EE0850">
        <w:rPr>
          <w:kern w:val="22"/>
          <w:szCs w:val="22"/>
        </w:rPr>
        <w:tab/>
      </w:r>
      <w:r w:rsidRPr="00EE0850">
        <w:rPr>
          <w:i/>
          <w:iCs/>
          <w:kern w:val="22"/>
          <w:szCs w:val="22"/>
        </w:rPr>
        <w:t>Requests</w:t>
      </w:r>
      <w:r w:rsidRPr="00EE0850">
        <w:rPr>
          <w:kern w:val="22"/>
          <w:szCs w:val="22"/>
        </w:rPr>
        <w:t xml:space="preserve"> the Executive Secretary to ensure the implementation, mutatis mutandis, of the Procedure for Avoiding or Managing Conflicts of Interest in Expert Groups with respect to the work of technical expert groups under the Nagoya Protocol on Access and Benefit-sharing, in consultation with the Bureau of the Subsidiary Body on Scientific, Technical and Technological Advice</w:t>
      </w:r>
      <w:r w:rsidRPr="00EE0850" w:rsidDel="00B9173C">
        <w:rPr>
          <w:kern w:val="22"/>
          <w:szCs w:val="22"/>
        </w:rPr>
        <w:t xml:space="preserve"> </w:t>
      </w:r>
      <w:r w:rsidRPr="00EE0850">
        <w:rPr>
          <w:kern w:val="22"/>
          <w:szCs w:val="22"/>
        </w:rPr>
        <w:t>or the Bureau of the Conference of the Parties when acting as the Bureau of the Conference of the Parties serving as the meeting of the Parties to the Nagoya Protocol, as appropriate;</w:t>
      </w:r>
    </w:p>
    <w:p w14:paraId="76CCE282" w14:textId="77777777" w:rsidR="00C01027" w:rsidRPr="00EE0850" w:rsidRDefault="00C01027" w:rsidP="000C6220">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3.</w:t>
      </w:r>
      <w:r w:rsidRPr="00EE0850">
        <w:rPr>
          <w:kern w:val="22"/>
          <w:szCs w:val="22"/>
        </w:rPr>
        <w:tab/>
      </w:r>
      <w:r w:rsidRPr="00EE0850">
        <w:rPr>
          <w:i/>
          <w:kern w:val="22"/>
          <w:szCs w:val="22"/>
        </w:rPr>
        <w:t>Also requests</w:t>
      </w:r>
      <w:r w:rsidRPr="00EE0850">
        <w:rPr>
          <w:kern w:val="22"/>
          <w:szCs w:val="22"/>
        </w:rPr>
        <w:t xml:space="preserve"> the Executive Secretary to prepare a report on: (a) the implementation of the Procedure; and (b) relevant developments in avoiding or managing conflicts of interest in other multilateral environmental agreements, intergovernmental initiatives or organizations, and, if appropriate, propose updates and amendments to the current Procedure for consideration by the Subsidiary Body on Implementation at a meeting held prior to the fifth meeting of the Conference of the Parties serving as the meeting of the Parties to the Nagoya Protocol;</w:t>
      </w:r>
    </w:p>
    <w:p w14:paraId="2DEED004" w14:textId="1B78A64C" w:rsidR="00C01027" w:rsidRPr="00EE0850" w:rsidRDefault="00C01027" w:rsidP="000C6220">
      <w:pPr>
        <w:pStyle w:val="ListBullet"/>
        <w:spacing w:line="240" w:lineRule="auto"/>
      </w:pPr>
      <w:r w:rsidRPr="00EE0850">
        <w:t>4.</w:t>
      </w:r>
      <w:r w:rsidRPr="00EE0850">
        <w:tab/>
      </w:r>
      <w:r w:rsidRPr="00EE0850">
        <w:rPr>
          <w:i/>
        </w:rPr>
        <w:t>Requests</w:t>
      </w:r>
      <w:r w:rsidRPr="00EE0850">
        <w:t xml:space="preserve"> the Subsidiary Body on Implementation to consider the report referred to in paragraph 3 above and to submit recommendations, as appropriate, for consideration by the Conference of the Parties serving as the meeting of the Parties to the Nagoya Protocol at its fifth meeting.</w:t>
      </w:r>
    </w:p>
    <w:p w14:paraId="6DBDE035" w14:textId="77777777" w:rsidR="00C01027" w:rsidRPr="00EE0850" w:rsidRDefault="00C01027" w:rsidP="000C6220">
      <w:pPr>
        <w:spacing w:before="120" w:line="240" w:lineRule="auto"/>
        <w:jc w:val="left"/>
        <w:rPr>
          <w:rFonts w:ascii="Times New Roman Bold" w:hAnsi="Times New Roman Bold" w:cs="Times New Roman Bold"/>
          <w:b/>
          <w:bCs/>
          <w:caps/>
          <w:snapToGrid w:val="0"/>
          <w:kern w:val="22"/>
          <w:szCs w:val="22"/>
        </w:rPr>
      </w:pPr>
      <w:r w:rsidRPr="00EE0850">
        <w:br w:type="page"/>
      </w:r>
    </w:p>
    <w:p w14:paraId="21B5F637" w14:textId="0088A2ED" w:rsidR="00682B7B" w:rsidRPr="00EE0850" w:rsidRDefault="00682B7B" w:rsidP="000C6220">
      <w:pPr>
        <w:pStyle w:val="recommendationheader"/>
        <w:spacing w:line="240" w:lineRule="auto"/>
      </w:pPr>
      <w:bookmarkStart w:id="14" w:name="_Toc256212"/>
      <w:r w:rsidRPr="00EE0850">
        <w:t>3/12.</w:t>
      </w:r>
      <w:r w:rsidRPr="00EE0850">
        <w:tab/>
        <w:t>Digital sequence information on genetic resources</w:t>
      </w:r>
      <w:bookmarkEnd w:id="14"/>
    </w:p>
    <w:p w14:paraId="78637B72" w14:textId="69A6090C" w:rsidR="00682B7B" w:rsidRPr="00EE0850" w:rsidRDefault="00682B7B" w:rsidP="000C6220">
      <w:pPr>
        <w:suppressLineNumbers/>
        <w:suppressAutoHyphens/>
        <w:spacing w:before="120" w:line="240" w:lineRule="auto"/>
        <w:ind w:firstLine="720"/>
        <w:rPr>
          <w:i/>
          <w:kern w:val="22"/>
          <w:szCs w:val="22"/>
        </w:rPr>
      </w:pPr>
      <w:r w:rsidRPr="00EE0850">
        <w:rPr>
          <w:i/>
          <w:kern w:val="22"/>
          <w:szCs w:val="22"/>
        </w:rPr>
        <w:t>The Conference of the Parties serving as the meeting of the Parties to the Nagoya Protocol on Access and Benefit-sharing,</w:t>
      </w:r>
    </w:p>
    <w:p w14:paraId="1B83BD80" w14:textId="77777777" w:rsidR="00682B7B" w:rsidRPr="00EE0850" w:rsidRDefault="00682B7B" w:rsidP="000C6220">
      <w:pPr>
        <w:suppressLineNumbers/>
        <w:suppressAutoHyphens/>
        <w:spacing w:before="120" w:line="240" w:lineRule="auto"/>
        <w:ind w:firstLine="720"/>
        <w:rPr>
          <w:kern w:val="22"/>
          <w:szCs w:val="22"/>
        </w:rPr>
      </w:pPr>
      <w:r w:rsidRPr="00EE0850">
        <w:rPr>
          <w:i/>
          <w:kern w:val="22"/>
          <w:szCs w:val="22"/>
        </w:rPr>
        <w:t>Mindful</w:t>
      </w:r>
      <w:r w:rsidRPr="00EE0850">
        <w:rPr>
          <w:kern w:val="22"/>
          <w:szCs w:val="22"/>
        </w:rPr>
        <w:t xml:space="preserve"> of the objective of the Nagoya Protocol,</w:t>
      </w:r>
    </w:p>
    <w:p w14:paraId="28099F5C" w14:textId="77777777" w:rsidR="00682B7B" w:rsidRPr="00EE0850" w:rsidRDefault="00682B7B" w:rsidP="000C6220">
      <w:pPr>
        <w:suppressLineNumbers/>
        <w:suppressAutoHyphens/>
        <w:spacing w:before="120" w:line="240" w:lineRule="auto"/>
        <w:ind w:firstLine="720"/>
        <w:rPr>
          <w:kern w:val="22"/>
          <w:szCs w:val="22"/>
        </w:rPr>
      </w:pPr>
      <w:r w:rsidRPr="00EE0850">
        <w:rPr>
          <w:i/>
          <w:kern w:val="22"/>
          <w:szCs w:val="22"/>
        </w:rPr>
        <w:t>Recalling</w:t>
      </w:r>
      <w:r w:rsidRPr="00EE0850">
        <w:rPr>
          <w:kern w:val="22"/>
          <w:szCs w:val="22"/>
        </w:rPr>
        <w:t xml:space="preserve"> Article 5.1, 8, 20, 22, 23 of the Nagoya Protocol,</w:t>
      </w:r>
    </w:p>
    <w:p w14:paraId="14334752" w14:textId="77777777" w:rsidR="00682B7B" w:rsidRPr="00EE0850" w:rsidRDefault="00682B7B" w:rsidP="000C6220">
      <w:pPr>
        <w:suppressLineNumbers/>
        <w:suppressAutoHyphens/>
        <w:spacing w:before="120" w:line="240" w:lineRule="auto"/>
        <w:ind w:firstLine="720"/>
        <w:rPr>
          <w:kern w:val="22"/>
          <w:szCs w:val="22"/>
        </w:rPr>
      </w:pPr>
      <w:r w:rsidRPr="00EE0850">
        <w:rPr>
          <w:kern w:val="22"/>
          <w:szCs w:val="22"/>
        </w:rPr>
        <w:t>1.</w:t>
      </w:r>
      <w:r w:rsidRPr="00EE0850">
        <w:rPr>
          <w:kern w:val="22"/>
          <w:szCs w:val="22"/>
        </w:rPr>
        <w:tab/>
      </w:r>
      <w:r w:rsidRPr="00EE0850">
        <w:rPr>
          <w:i/>
          <w:kern w:val="22"/>
          <w:szCs w:val="22"/>
        </w:rPr>
        <w:t>Welcomes</w:t>
      </w:r>
      <w:r w:rsidRPr="00EE0850">
        <w:rPr>
          <w:kern w:val="22"/>
          <w:szCs w:val="22"/>
        </w:rPr>
        <w:t xml:space="preserve"> decision 14/34 and decision on 14/20 of the Conference of the Parties to the Convention;</w:t>
      </w:r>
    </w:p>
    <w:p w14:paraId="0E43BF6D" w14:textId="77777777" w:rsidR="00682B7B" w:rsidRPr="00EE0850" w:rsidRDefault="00682B7B" w:rsidP="000C6220">
      <w:pPr>
        <w:suppressLineNumbers/>
        <w:suppressAutoHyphens/>
        <w:spacing w:before="120" w:line="240" w:lineRule="auto"/>
        <w:ind w:firstLine="720"/>
        <w:rPr>
          <w:kern w:val="22"/>
          <w:szCs w:val="22"/>
        </w:rPr>
      </w:pPr>
      <w:r w:rsidRPr="00EE0850">
        <w:rPr>
          <w:kern w:val="22"/>
          <w:szCs w:val="22"/>
        </w:rPr>
        <w:t>2.</w:t>
      </w:r>
      <w:r w:rsidRPr="00EE0850">
        <w:rPr>
          <w:kern w:val="22"/>
          <w:szCs w:val="22"/>
        </w:rPr>
        <w:tab/>
      </w:r>
      <w:r w:rsidRPr="00EE0850">
        <w:rPr>
          <w:i/>
          <w:kern w:val="22"/>
          <w:szCs w:val="22"/>
        </w:rPr>
        <w:t>Recognizes</w:t>
      </w:r>
      <w:r w:rsidRPr="00EE0850">
        <w:rPr>
          <w:kern w:val="22"/>
          <w:szCs w:val="22"/>
        </w:rPr>
        <w:t xml:space="preserve"> that the Open-ended Intersessional Working Group on the Post-2020 Global Biodiversity Framework will consider the outcomes of the deliberations of the Ad Hoc Technical Expert Group referred to in paragraph 11 of decision 14/20 of the Conference of the Parties;</w:t>
      </w:r>
    </w:p>
    <w:p w14:paraId="4CD44D00" w14:textId="08EF5BB7" w:rsidR="00682B7B" w:rsidRPr="00EE0850" w:rsidRDefault="00682B7B" w:rsidP="000C6220">
      <w:pPr>
        <w:suppressLineNumbers/>
        <w:suppressAutoHyphens/>
        <w:spacing w:before="120" w:line="240" w:lineRule="auto"/>
        <w:ind w:firstLine="720"/>
        <w:rPr>
          <w:kern w:val="22"/>
          <w:szCs w:val="22"/>
        </w:rPr>
      </w:pPr>
      <w:r w:rsidRPr="00EE0850">
        <w:rPr>
          <w:kern w:val="22"/>
          <w:szCs w:val="22"/>
        </w:rPr>
        <w:t>3.</w:t>
      </w:r>
      <w:r w:rsidRPr="00EE0850">
        <w:rPr>
          <w:i/>
          <w:kern w:val="22"/>
          <w:szCs w:val="22"/>
        </w:rPr>
        <w:tab/>
        <w:t>Requests</w:t>
      </w:r>
      <w:r w:rsidRPr="00EE0850">
        <w:rPr>
          <w:kern w:val="22"/>
          <w:szCs w:val="22"/>
        </w:rPr>
        <w:t xml:space="preserve"> the Open-ended Working Group to submit the outcome of its deliberations for consideration by the Conference of the Parties serving as the meeting of the Parties to the Nagoya Protocol at its fourth meeting</w:t>
      </w:r>
      <w:r w:rsidRPr="00EE0850">
        <w:rPr>
          <w:snapToGrid w:val="0"/>
          <w:kern w:val="22"/>
          <w:szCs w:val="22"/>
        </w:rPr>
        <w:t>.</w:t>
      </w:r>
    </w:p>
    <w:p w14:paraId="4AEDC96E" w14:textId="77777777" w:rsidR="002D1A3A" w:rsidRPr="00EE0850" w:rsidRDefault="002D1A3A" w:rsidP="000C6220">
      <w:pPr>
        <w:spacing w:before="120" w:line="240" w:lineRule="auto"/>
        <w:jc w:val="left"/>
        <w:rPr>
          <w:rFonts w:ascii="Times New Roman Bold" w:hAnsi="Times New Roman Bold" w:cs="Times New Roman Bold"/>
          <w:b/>
          <w:bCs/>
          <w:caps/>
          <w:snapToGrid w:val="0"/>
          <w:kern w:val="22"/>
          <w:szCs w:val="22"/>
        </w:rPr>
      </w:pPr>
      <w:r w:rsidRPr="00EE0850">
        <w:br w:type="page"/>
      </w:r>
    </w:p>
    <w:p w14:paraId="08403F66" w14:textId="6558BA47" w:rsidR="00682B7B" w:rsidRPr="00EE0850" w:rsidRDefault="00682B7B" w:rsidP="000C6220">
      <w:pPr>
        <w:pStyle w:val="recommendationheader"/>
        <w:spacing w:line="240" w:lineRule="auto"/>
      </w:pPr>
      <w:bookmarkStart w:id="15" w:name="_Toc256213"/>
      <w:r w:rsidRPr="00EE0850">
        <w:t>3/13.</w:t>
      </w:r>
      <w:r w:rsidRPr="00EE0850">
        <w:tab/>
        <w:t>Global multilateral benefit-sharing mechanism (Article 10)</w:t>
      </w:r>
      <w:bookmarkEnd w:id="15"/>
    </w:p>
    <w:p w14:paraId="4E596AA4" w14:textId="6D058806" w:rsidR="00682B7B" w:rsidRPr="00EE0850" w:rsidRDefault="00682B7B" w:rsidP="000C6220">
      <w:pPr>
        <w:suppressLineNumbers/>
        <w:suppressAutoHyphens/>
        <w:kinsoku w:val="0"/>
        <w:overflowPunct w:val="0"/>
        <w:autoSpaceDE w:val="0"/>
        <w:autoSpaceDN w:val="0"/>
        <w:spacing w:before="120" w:line="223" w:lineRule="auto"/>
        <w:ind w:firstLine="720"/>
        <w:rPr>
          <w:i/>
          <w:spacing w:val="-1"/>
          <w:kern w:val="22"/>
        </w:rPr>
      </w:pPr>
      <w:r w:rsidRPr="00EE0850">
        <w:rPr>
          <w:i/>
          <w:spacing w:val="-1"/>
          <w:kern w:val="22"/>
        </w:rPr>
        <w:t>The Conference of the Parties serving as the meeting of the Parties to the Nagoya Protocol on Access and Benefit-sharing,</w:t>
      </w:r>
    </w:p>
    <w:p w14:paraId="575CE4C7" w14:textId="77777777" w:rsidR="00682B7B" w:rsidRPr="00EE0850" w:rsidRDefault="00682B7B" w:rsidP="000C6220">
      <w:pPr>
        <w:suppressLineNumbers/>
        <w:suppressAutoHyphens/>
        <w:kinsoku w:val="0"/>
        <w:overflowPunct w:val="0"/>
        <w:autoSpaceDE w:val="0"/>
        <w:autoSpaceDN w:val="0"/>
        <w:spacing w:before="120" w:line="223" w:lineRule="auto"/>
        <w:ind w:firstLine="720"/>
        <w:rPr>
          <w:kern w:val="22"/>
        </w:rPr>
      </w:pPr>
      <w:r w:rsidRPr="00EE0850">
        <w:rPr>
          <w:i/>
          <w:kern w:val="22"/>
        </w:rPr>
        <w:t>Mindful</w:t>
      </w:r>
      <w:r w:rsidRPr="00EE0850">
        <w:rPr>
          <w:kern w:val="22"/>
        </w:rPr>
        <w:t xml:space="preserve"> of the objective of the Nagoya Protocol,</w:t>
      </w:r>
    </w:p>
    <w:p w14:paraId="21C17FE9" w14:textId="77777777" w:rsidR="00682B7B" w:rsidRPr="00EE0850" w:rsidRDefault="00682B7B" w:rsidP="000C6220">
      <w:pPr>
        <w:suppressLineNumbers/>
        <w:suppressAutoHyphens/>
        <w:kinsoku w:val="0"/>
        <w:overflowPunct w:val="0"/>
        <w:autoSpaceDE w:val="0"/>
        <w:autoSpaceDN w:val="0"/>
        <w:spacing w:before="120" w:line="223" w:lineRule="auto"/>
        <w:ind w:firstLine="720"/>
        <w:rPr>
          <w:kern w:val="22"/>
        </w:rPr>
      </w:pPr>
      <w:r w:rsidRPr="00EE0850">
        <w:rPr>
          <w:i/>
          <w:kern w:val="22"/>
        </w:rPr>
        <w:t>Recalling</w:t>
      </w:r>
      <w:r w:rsidRPr="00EE0850">
        <w:rPr>
          <w:kern w:val="22"/>
        </w:rPr>
        <w:t xml:space="preserve"> the sovereign rights of States over their genetic resources,</w:t>
      </w:r>
    </w:p>
    <w:p w14:paraId="1754CA6A" w14:textId="77777777" w:rsidR="00682B7B" w:rsidRPr="00EE0850" w:rsidRDefault="00682B7B" w:rsidP="000C6220">
      <w:pPr>
        <w:suppressLineNumbers/>
        <w:suppressAutoHyphens/>
        <w:kinsoku w:val="0"/>
        <w:overflowPunct w:val="0"/>
        <w:autoSpaceDE w:val="0"/>
        <w:autoSpaceDN w:val="0"/>
        <w:spacing w:before="120" w:line="223" w:lineRule="auto"/>
        <w:ind w:firstLine="720"/>
        <w:rPr>
          <w:kern w:val="22"/>
        </w:rPr>
      </w:pPr>
      <w:r w:rsidRPr="00EE0850">
        <w:rPr>
          <w:i/>
          <w:kern w:val="22"/>
        </w:rPr>
        <w:t>Recalling</w:t>
      </w:r>
      <w:r w:rsidRPr="00EE0850">
        <w:rPr>
          <w:kern w:val="22"/>
        </w:rPr>
        <w:t xml:space="preserve"> </w:t>
      </w:r>
      <w:r w:rsidRPr="00EE0850">
        <w:rPr>
          <w:i/>
          <w:kern w:val="22"/>
        </w:rPr>
        <w:t>also</w:t>
      </w:r>
      <w:r w:rsidRPr="00EE0850">
        <w:rPr>
          <w:kern w:val="22"/>
        </w:rPr>
        <w:t xml:space="preserve"> Article 10 of the Nagoya Protocol,</w:t>
      </w:r>
    </w:p>
    <w:p w14:paraId="2AE603E6" w14:textId="77777777" w:rsidR="00682B7B" w:rsidRPr="00EE0850" w:rsidRDefault="00682B7B" w:rsidP="000C6220">
      <w:pPr>
        <w:suppressLineNumbers/>
        <w:suppressAutoHyphens/>
        <w:kinsoku w:val="0"/>
        <w:overflowPunct w:val="0"/>
        <w:autoSpaceDE w:val="0"/>
        <w:autoSpaceDN w:val="0"/>
        <w:spacing w:before="120" w:line="223" w:lineRule="auto"/>
        <w:ind w:firstLine="720"/>
        <w:rPr>
          <w:kern w:val="22"/>
          <w:szCs w:val="22"/>
        </w:rPr>
      </w:pPr>
      <w:r w:rsidRPr="00EE0850">
        <w:rPr>
          <w:i/>
          <w:kern w:val="22"/>
          <w:szCs w:val="22"/>
        </w:rPr>
        <w:t xml:space="preserve">Recalling further </w:t>
      </w:r>
      <w:r w:rsidRPr="00EE0850">
        <w:rPr>
          <w:kern w:val="22"/>
          <w:szCs w:val="22"/>
        </w:rPr>
        <w:t>Articles 9, 11 and 22 of the Nagoya Protocol,</w:t>
      </w:r>
    </w:p>
    <w:p w14:paraId="55305BA8" w14:textId="77777777" w:rsidR="00682B7B" w:rsidRPr="00EE0850" w:rsidRDefault="00682B7B" w:rsidP="000C6220">
      <w:pPr>
        <w:suppressLineNumbers/>
        <w:suppressAutoHyphens/>
        <w:spacing w:before="120" w:line="223" w:lineRule="auto"/>
        <w:ind w:firstLine="720"/>
        <w:rPr>
          <w:kern w:val="22"/>
          <w:szCs w:val="22"/>
        </w:rPr>
      </w:pPr>
      <w:r w:rsidRPr="00EE0850">
        <w:rPr>
          <w:i/>
          <w:kern w:val="22"/>
          <w:szCs w:val="22"/>
        </w:rPr>
        <w:t>Recalling</w:t>
      </w:r>
      <w:r w:rsidRPr="00EE0850">
        <w:rPr>
          <w:kern w:val="22"/>
          <w:szCs w:val="22"/>
        </w:rPr>
        <w:t xml:space="preserve"> decisions XI/1 B, NP-1/10 and NP-2/10 and </w:t>
      </w:r>
      <w:r w:rsidRPr="00EE0850">
        <w:rPr>
          <w:i/>
          <w:kern w:val="22"/>
          <w:szCs w:val="22"/>
        </w:rPr>
        <w:t>building</w:t>
      </w:r>
      <w:r w:rsidRPr="00EE0850">
        <w:rPr>
          <w:kern w:val="22"/>
          <w:szCs w:val="22"/>
        </w:rPr>
        <w:t xml:space="preserve"> on the work undertaken pursuant to these decisions,</w:t>
      </w:r>
    </w:p>
    <w:p w14:paraId="3B391259" w14:textId="77777777" w:rsidR="00682B7B" w:rsidRPr="00EE0850" w:rsidRDefault="00682B7B" w:rsidP="000C6220">
      <w:pPr>
        <w:suppressLineNumbers/>
        <w:suppressAutoHyphens/>
        <w:spacing w:before="120" w:line="223" w:lineRule="auto"/>
        <w:ind w:firstLine="720"/>
        <w:rPr>
          <w:kern w:val="22"/>
          <w:szCs w:val="22"/>
        </w:rPr>
      </w:pPr>
      <w:r w:rsidRPr="00EE0850">
        <w:rPr>
          <w:i/>
          <w:kern w:val="22"/>
          <w:szCs w:val="22"/>
        </w:rPr>
        <w:t>Recognizing</w:t>
      </w:r>
      <w:r w:rsidRPr="00EE0850">
        <w:rPr>
          <w:kern w:val="22"/>
          <w:szCs w:val="22"/>
        </w:rPr>
        <w:t xml:space="preserve"> the experience gained with implementation of the Nagoya Protocol since its entry into force while </w:t>
      </w:r>
      <w:r w:rsidRPr="00EE0850">
        <w:rPr>
          <w:i/>
          <w:kern w:val="22"/>
          <w:szCs w:val="22"/>
        </w:rPr>
        <w:t>acknowledging</w:t>
      </w:r>
      <w:r w:rsidRPr="00EE0850">
        <w:rPr>
          <w:kern w:val="22"/>
          <w:szCs w:val="22"/>
        </w:rPr>
        <w:t xml:space="preserve"> that many Parties are still in the process of establishing access and benefit</w:t>
      </w:r>
      <w:r w:rsidRPr="00EE0850">
        <w:rPr>
          <w:kern w:val="22"/>
          <w:szCs w:val="22"/>
        </w:rPr>
        <w:noBreakHyphen/>
        <w:t>sharing legislative, administrative and policy measures and institutional arrangements,</w:t>
      </w:r>
    </w:p>
    <w:p w14:paraId="1781C3C4" w14:textId="77777777" w:rsidR="00682B7B" w:rsidRPr="00EE0850" w:rsidRDefault="00682B7B" w:rsidP="000C6220">
      <w:pPr>
        <w:suppressLineNumbers/>
        <w:suppressAutoHyphens/>
        <w:kinsoku w:val="0"/>
        <w:overflowPunct w:val="0"/>
        <w:autoSpaceDE w:val="0"/>
        <w:autoSpaceDN w:val="0"/>
        <w:spacing w:before="120" w:line="223" w:lineRule="auto"/>
        <w:ind w:firstLine="720"/>
        <w:rPr>
          <w:kern w:val="22"/>
        </w:rPr>
      </w:pPr>
      <w:r w:rsidRPr="00EE0850">
        <w:rPr>
          <w:i/>
          <w:kern w:val="22"/>
        </w:rPr>
        <w:t>Recognizing also</w:t>
      </w:r>
      <w:r w:rsidRPr="00EE0850">
        <w:rPr>
          <w:kern w:val="22"/>
        </w:rPr>
        <w:t xml:space="preserve"> the ongoing need for capacity-building to support Parties and indigenous peoples and local communities in developing and implementing legislative, administrative and policy measures on access and benefit-sharing,</w:t>
      </w:r>
    </w:p>
    <w:p w14:paraId="683FEB1A" w14:textId="77777777" w:rsidR="00682B7B" w:rsidRPr="00EE0850" w:rsidRDefault="00682B7B" w:rsidP="000C6220">
      <w:pPr>
        <w:suppressLineNumbers/>
        <w:suppressAutoHyphens/>
        <w:kinsoku w:val="0"/>
        <w:overflowPunct w:val="0"/>
        <w:autoSpaceDE w:val="0"/>
        <w:autoSpaceDN w:val="0"/>
        <w:spacing w:before="120" w:line="223" w:lineRule="auto"/>
        <w:ind w:firstLine="720"/>
        <w:rPr>
          <w:kern w:val="22"/>
        </w:rPr>
      </w:pPr>
      <w:r w:rsidRPr="00EE0850">
        <w:rPr>
          <w:kern w:val="22"/>
        </w:rPr>
        <w:t>1.</w:t>
      </w:r>
      <w:r w:rsidRPr="00EE0850">
        <w:rPr>
          <w:kern w:val="22"/>
        </w:rPr>
        <w:tab/>
      </w:r>
      <w:r w:rsidRPr="00EE0850">
        <w:rPr>
          <w:i/>
          <w:kern w:val="22"/>
        </w:rPr>
        <w:t>Welcomes</w:t>
      </w:r>
      <w:r w:rsidRPr="00EE0850">
        <w:rPr>
          <w:kern w:val="22"/>
        </w:rPr>
        <w:t xml:space="preserve"> the information synthesized by the Executive Secretary through the interim national reports and the Access and Benefit-Sharing Clearing-House of relevance to Article 10;</w:t>
      </w:r>
    </w:p>
    <w:p w14:paraId="772B276C" w14:textId="77777777" w:rsidR="00682B7B" w:rsidRPr="00EE0850" w:rsidRDefault="00682B7B" w:rsidP="000C6220">
      <w:pPr>
        <w:suppressLineNumbers/>
        <w:suppressAutoHyphens/>
        <w:kinsoku w:val="0"/>
        <w:overflowPunct w:val="0"/>
        <w:autoSpaceDE w:val="0"/>
        <w:autoSpaceDN w:val="0"/>
        <w:spacing w:before="120" w:line="223" w:lineRule="auto"/>
        <w:ind w:firstLine="720"/>
        <w:rPr>
          <w:kern w:val="22"/>
        </w:rPr>
      </w:pPr>
      <w:r w:rsidRPr="00EE0850">
        <w:rPr>
          <w:kern w:val="22"/>
        </w:rPr>
        <w:t>2.</w:t>
      </w:r>
      <w:r w:rsidRPr="00EE0850">
        <w:rPr>
          <w:kern w:val="22"/>
        </w:rPr>
        <w:tab/>
      </w:r>
      <w:r w:rsidRPr="00EE0850">
        <w:rPr>
          <w:i/>
          <w:kern w:val="22"/>
        </w:rPr>
        <w:t>Takes note</w:t>
      </w:r>
      <w:r w:rsidRPr="00EE0850">
        <w:rPr>
          <w:kern w:val="22"/>
        </w:rPr>
        <w:t xml:space="preserve"> of the information on developments in relevant international processes and organizations;</w:t>
      </w:r>
      <w:r w:rsidRPr="00EE0850">
        <w:rPr>
          <w:rStyle w:val="FootnoteReference"/>
          <w:kern w:val="18"/>
          <w:sz w:val="22"/>
          <w:szCs w:val="22"/>
          <w:u w:val="none"/>
          <w:vertAlign w:val="superscript"/>
          <w:lang w:eastAsia="x-none"/>
        </w:rPr>
        <w:footnoteReference w:id="24"/>
      </w:r>
    </w:p>
    <w:p w14:paraId="4D94586A" w14:textId="77777777" w:rsidR="00682B7B" w:rsidRPr="00EE0850" w:rsidRDefault="00682B7B" w:rsidP="000C6220">
      <w:pPr>
        <w:suppressLineNumbers/>
        <w:suppressAutoHyphens/>
        <w:kinsoku w:val="0"/>
        <w:overflowPunct w:val="0"/>
        <w:autoSpaceDE w:val="0"/>
        <w:autoSpaceDN w:val="0"/>
        <w:spacing w:before="120" w:line="223" w:lineRule="auto"/>
        <w:ind w:firstLine="720"/>
        <w:rPr>
          <w:kern w:val="22"/>
        </w:rPr>
      </w:pPr>
      <w:r w:rsidRPr="00EE0850">
        <w:rPr>
          <w:kern w:val="22"/>
        </w:rPr>
        <w:t>3.</w:t>
      </w:r>
      <w:r w:rsidRPr="00EE0850">
        <w:rPr>
          <w:kern w:val="22"/>
        </w:rPr>
        <w:tab/>
      </w:r>
      <w:r w:rsidRPr="00EE0850">
        <w:rPr>
          <w:i/>
          <w:kern w:val="22"/>
        </w:rPr>
        <w:t>Considers</w:t>
      </w:r>
      <w:r w:rsidRPr="00EE0850">
        <w:rPr>
          <w:kern w:val="22"/>
        </w:rPr>
        <w:t xml:space="preserve"> that more information on specific cases of genetic resources and traditional knowledge associated with genetic resources that occur in transboundary situations or for which it is not possible to grant or obtain prior informed consent, accompanied by an explanation as to why such cases cannot be covered under the bilateral approach of the Nagoya Protocol as well as options for addressing those cases, including through a global multilateral benefit-sharing mechanism would assist in the consideration of Article 10;</w:t>
      </w:r>
    </w:p>
    <w:p w14:paraId="4F10AFDA" w14:textId="77777777" w:rsidR="00682B7B" w:rsidRPr="00EE0850" w:rsidRDefault="00682B7B" w:rsidP="000C6220">
      <w:pPr>
        <w:suppressLineNumbers/>
        <w:suppressAutoHyphens/>
        <w:kinsoku w:val="0"/>
        <w:overflowPunct w:val="0"/>
        <w:autoSpaceDE w:val="0"/>
        <w:autoSpaceDN w:val="0"/>
        <w:spacing w:before="120" w:line="223" w:lineRule="auto"/>
        <w:ind w:firstLine="720"/>
        <w:rPr>
          <w:kern w:val="22"/>
        </w:rPr>
      </w:pPr>
      <w:r w:rsidRPr="00EE0850">
        <w:rPr>
          <w:kern w:val="22"/>
        </w:rPr>
        <w:t>4.</w:t>
      </w:r>
      <w:r w:rsidRPr="00EE0850">
        <w:rPr>
          <w:kern w:val="22"/>
        </w:rPr>
        <w:tab/>
      </w:r>
      <w:r w:rsidRPr="00EE0850">
        <w:rPr>
          <w:i/>
          <w:kern w:val="22"/>
        </w:rPr>
        <w:t>Invites</w:t>
      </w:r>
      <w:r w:rsidRPr="00EE0850">
        <w:rPr>
          <w:kern w:val="22"/>
        </w:rPr>
        <w:t xml:space="preserve"> Parties, other Governments, indigenous peoples and local communities, relevant stakeholders and organizations to submit to the Executive Secretary:</w:t>
      </w:r>
    </w:p>
    <w:p w14:paraId="4E3713C3" w14:textId="77777777" w:rsidR="00682B7B" w:rsidRPr="00EE0850" w:rsidRDefault="00682B7B" w:rsidP="000C6220">
      <w:pPr>
        <w:pStyle w:val="ListParagraph"/>
        <w:numPr>
          <w:ilvl w:val="0"/>
          <w:numId w:val="66"/>
        </w:numPr>
        <w:suppressLineNumbers/>
        <w:suppressAutoHyphens/>
        <w:spacing w:before="120" w:line="223" w:lineRule="auto"/>
        <w:ind w:left="0" w:firstLine="720"/>
        <w:contextualSpacing w:val="0"/>
        <w:rPr>
          <w:rFonts w:eastAsiaTheme="minorHAnsi"/>
          <w:kern w:val="22"/>
          <w:szCs w:val="22"/>
        </w:rPr>
      </w:pPr>
      <w:r w:rsidRPr="00EE0850">
        <w:rPr>
          <w:rFonts w:eastAsiaTheme="minorHAnsi"/>
          <w:kern w:val="22"/>
          <w:szCs w:val="22"/>
        </w:rPr>
        <w:t>Information on specific cases which may support</w:t>
      </w:r>
      <w:r w:rsidRPr="00EE0850">
        <w:rPr>
          <w:rFonts w:eastAsiaTheme="minorHAnsi"/>
          <w:kern w:val="22"/>
        </w:rPr>
        <w:t xml:space="preserve"> the need for a global multilateral benefit-sharing mechanism </w:t>
      </w:r>
      <w:r w:rsidRPr="00EE0850">
        <w:rPr>
          <w:rFonts w:eastAsiaTheme="minorHAnsi"/>
          <w:kern w:val="22"/>
          <w:szCs w:val="22"/>
        </w:rPr>
        <w:t>that are not covered under the bilateral approach, accompanied by an explanation as to why such cases cannot be covered under the bilateral approach set out in the Nagoya Protocol;</w:t>
      </w:r>
    </w:p>
    <w:p w14:paraId="31FE0A50" w14:textId="77777777" w:rsidR="00682B7B" w:rsidRPr="00EE0850" w:rsidRDefault="00682B7B" w:rsidP="000C6220">
      <w:pPr>
        <w:pStyle w:val="ListParagraph"/>
        <w:numPr>
          <w:ilvl w:val="0"/>
          <w:numId w:val="66"/>
        </w:numPr>
        <w:suppressLineNumbers/>
        <w:suppressAutoHyphens/>
        <w:spacing w:before="120" w:line="223" w:lineRule="auto"/>
        <w:ind w:left="0" w:firstLine="720"/>
        <w:contextualSpacing w:val="0"/>
        <w:rPr>
          <w:kern w:val="22"/>
        </w:rPr>
      </w:pPr>
      <w:r w:rsidRPr="00EE0850">
        <w:rPr>
          <w:kern w:val="22"/>
        </w:rPr>
        <w:t>Options for possible modalities for addressing those cases, including through a global multilateral benefit-sharing mechanism;</w:t>
      </w:r>
    </w:p>
    <w:p w14:paraId="79DE7D2B" w14:textId="77777777" w:rsidR="00682B7B" w:rsidRPr="00EE0850" w:rsidRDefault="00682B7B" w:rsidP="000C6220">
      <w:pPr>
        <w:suppressLineNumbers/>
        <w:suppressAutoHyphens/>
        <w:spacing w:before="120" w:line="223" w:lineRule="auto"/>
        <w:ind w:firstLine="720"/>
        <w:rPr>
          <w:kern w:val="22"/>
        </w:rPr>
      </w:pPr>
      <w:r w:rsidRPr="00EE0850">
        <w:rPr>
          <w:kern w:val="22"/>
        </w:rPr>
        <w:t>5.</w:t>
      </w:r>
      <w:r w:rsidRPr="00EE0850">
        <w:rPr>
          <w:kern w:val="22"/>
        </w:rPr>
        <w:tab/>
      </w:r>
      <w:r w:rsidRPr="00EE0850">
        <w:rPr>
          <w:i/>
          <w:kern w:val="22"/>
        </w:rPr>
        <w:t>Requests</w:t>
      </w:r>
      <w:r w:rsidRPr="00EE0850">
        <w:rPr>
          <w:kern w:val="22"/>
        </w:rPr>
        <w:t xml:space="preserve"> the Executive Secretary:</w:t>
      </w:r>
    </w:p>
    <w:p w14:paraId="6774E037" w14:textId="77777777" w:rsidR="00682B7B" w:rsidRPr="00EE0850" w:rsidRDefault="00682B7B" w:rsidP="000C6220">
      <w:pPr>
        <w:pStyle w:val="ListParagraph"/>
        <w:numPr>
          <w:ilvl w:val="0"/>
          <w:numId w:val="67"/>
        </w:numPr>
        <w:suppressLineNumbers/>
        <w:suppressAutoHyphens/>
        <w:spacing w:before="120" w:line="223" w:lineRule="auto"/>
        <w:ind w:left="0" w:firstLine="720"/>
        <w:contextualSpacing w:val="0"/>
        <w:rPr>
          <w:rFonts w:eastAsiaTheme="minorHAnsi"/>
          <w:kern w:val="22"/>
        </w:rPr>
      </w:pPr>
      <w:r w:rsidRPr="00EE0850">
        <w:rPr>
          <w:rFonts w:eastAsiaTheme="minorHAnsi"/>
          <w:kern w:val="22"/>
          <w:szCs w:val="22"/>
        </w:rPr>
        <w:t>To commission</w:t>
      </w:r>
      <w:r w:rsidRPr="00EE0850">
        <w:rPr>
          <w:rFonts w:eastAsiaTheme="minorHAnsi"/>
          <w:kern w:val="22"/>
        </w:rPr>
        <w:t xml:space="preserve">, subject to </w:t>
      </w:r>
      <w:r w:rsidRPr="00EE0850">
        <w:rPr>
          <w:kern w:val="22"/>
        </w:rPr>
        <w:t>availability of resources</w:t>
      </w:r>
      <w:r w:rsidRPr="00EE0850">
        <w:rPr>
          <w:rFonts w:eastAsiaTheme="minorHAnsi"/>
          <w:kern w:val="22"/>
          <w:szCs w:val="22"/>
        </w:rPr>
        <w:t xml:space="preserve">, a peer-reviewed study to </w:t>
      </w:r>
      <w:r w:rsidRPr="00EE0850">
        <w:rPr>
          <w:rFonts w:eastAsiaTheme="minorHAnsi"/>
          <w:kern w:val="22"/>
        </w:rPr>
        <w:t xml:space="preserve">identify </w:t>
      </w:r>
      <w:r w:rsidRPr="00EE0850">
        <w:rPr>
          <w:kern w:val="22"/>
        </w:rPr>
        <w:t xml:space="preserve">specific cases </w:t>
      </w:r>
      <w:r w:rsidRPr="00EE0850">
        <w:rPr>
          <w:rFonts w:eastAsiaTheme="minorHAnsi"/>
          <w:kern w:val="22"/>
          <w:szCs w:val="22"/>
        </w:rPr>
        <w:t xml:space="preserve">of genetic resources and traditional knowledge associated with genetic resources that occur in transboundary situations or </w:t>
      </w:r>
      <w:r w:rsidRPr="00EE0850">
        <w:rPr>
          <w:kern w:val="22"/>
        </w:rPr>
        <w:t xml:space="preserve">for </w:t>
      </w:r>
      <w:r w:rsidRPr="00EE0850">
        <w:rPr>
          <w:rFonts w:eastAsiaTheme="minorHAnsi"/>
          <w:kern w:val="22"/>
          <w:szCs w:val="22"/>
        </w:rPr>
        <w:t>which it is not</w:t>
      </w:r>
      <w:r w:rsidRPr="00EE0850">
        <w:rPr>
          <w:kern w:val="22"/>
        </w:rPr>
        <w:t xml:space="preserve"> possible </w:t>
      </w:r>
      <w:r w:rsidRPr="00EE0850">
        <w:rPr>
          <w:rFonts w:eastAsiaTheme="minorHAnsi"/>
          <w:kern w:val="22"/>
          <w:szCs w:val="22"/>
        </w:rPr>
        <w:t>to grant or obtain prior informed consent;</w:t>
      </w:r>
    </w:p>
    <w:p w14:paraId="09CA9917" w14:textId="77777777" w:rsidR="00682B7B" w:rsidRPr="00EE0850" w:rsidRDefault="00682B7B" w:rsidP="000C6220">
      <w:pPr>
        <w:pStyle w:val="ListParagraph"/>
        <w:numPr>
          <w:ilvl w:val="0"/>
          <w:numId w:val="67"/>
        </w:numPr>
        <w:suppressLineNumbers/>
        <w:suppressAutoHyphens/>
        <w:spacing w:before="120" w:line="223" w:lineRule="auto"/>
        <w:ind w:left="0" w:firstLine="720"/>
        <w:contextualSpacing w:val="0"/>
        <w:rPr>
          <w:rFonts w:eastAsiaTheme="minorHAnsi"/>
          <w:kern w:val="22"/>
          <w:szCs w:val="22"/>
        </w:rPr>
      </w:pPr>
      <w:r w:rsidRPr="00EE0850">
        <w:rPr>
          <w:rFonts w:eastAsiaTheme="minorHAnsi"/>
          <w:kern w:val="22"/>
        </w:rPr>
        <w:t xml:space="preserve">To </w:t>
      </w:r>
      <w:r w:rsidRPr="00EE0850">
        <w:rPr>
          <w:rFonts w:eastAsiaTheme="minorHAnsi"/>
          <w:kern w:val="22"/>
          <w:szCs w:val="22"/>
        </w:rPr>
        <w:t>compile and synthesize</w:t>
      </w:r>
      <w:r w:rsidRPr="00EE0850">
        <w:rPr>
          <w:rFonts w:eastAsiaTheme="minorHAnsi"/>
          <w:kern w:val="22"/>
        </w:rPr>
        <w:t xml:space="preserve"> the information </w:t>
      </w:r>
      <w:r w:rsidRPr="00EE0850">
        <w:rPr>
          <w:rFonts w:eastAsiaTheme="minorHAnsi"/>
          <w:kern w:val="22"/>
          <w:szCs w:val="22"/>
        </w:rPr>
        <w:t>submitted pursuant to paragraph 4 (a) and (b);</w:t>
      </w:r>
    </w:p>
    <w:p w14:paraId="3C5FCB8A" w14:textId="77777777" w:rsidR="00682B7B" w:rsidRPr="00EE0850" w:rsidRDefault="00682B7B" w:rsidP="000C6220">
      <w:pPr>
        <w:pStyle w:val="ListParagraph"/>
        <w:numPr>
          <w:ilvl w:val="0"/>
          <w:numId w:val="67"/>
        </w:numPr>
        <w:suppressLineNumbers/>
        <w:suppressAutoHyphens/>
        <w:spacing w:before="120" w:line="223" w:lineRule="auto"/>
        <w:ind w:left="0" w:firstLine="720"/>
        <w:contextualSpacing w:val="0"/>
        <w:rPr>
          <w:kern w:val="22"/>
        </w:rPr>
      </w:pPr>
      <w:r w:rsidRPr="00EE0850">
        <w:rPr>
          <w:rFonts w:eastAsiaTheme="minorHAnsi"/>
          <w:kern w:val="22"/>
          <w:szCs w:val="22"/>
        </w:rPr>
        <w:t>To submit the study and the synthesis</w:t>
      </w:r>
      <w:r w:rsidRPr="00EE0850">
        <w:rPr>
          <w:rFonts w:eastAsiaTheme="minorHAnsi"/>
          <w:kern w:val="22"/>
        </w:rPr>
        <w:t xml:space="preserve"> for consideration by the Subsidiary Body on Implementation</w:t>
      </w:r>
      <w:r w:rsidRPr="00EE0850">
        <w:rPr>
          <w:kern w:val="22"/>
        </w:rPr>
        <w:t>;</w:t>
      </w:r>
    </w:p>
    <w:p w14:paraId="072EBCBC" w14:textId="619E2211" w:rsidR="00682B7B" w:rsidRPr="00EE0850" w:rsidRDefault="00682B7B" w:rsidP="000C6220">
      <w:pPr>
        <w:suppressLineNumbers/>
        <w:suppressAutoHyphens/>
        <w:spacing w:before="120" w:line="223" w:lineRule="auto"/>
        <w:ind w:firstLine="720"/>
        <w:rPr>
          <w:kern w:val="22"/>
        </w:rPr>
      </w:pPr>
      <w:r w:rsidRPr="00EE0850">
        <w:rPr>
          <w:kern w:val="22"/>
        </w:rPr>
        <w:t>6.</w:t>
      </w:r>
      <w:r w:rsidRPr="00EE0850">
        <w:rPr>
          <w:kern w:val="22"/>
        </w:rPr>
        <w:tab/>
      </w:r>
      <w:r w:rsidRPr="00EE0850">
        <w:rPr>
          <w:i/>
          <w:kern w:val="22"/>
        </w:rPr>
        <w:t>Requests</w:t>
      </w:r>
      <w:r w:rsidRPr="00EE0850">
        <w:rPr>
          <w:kern w:val="22"/>
        </w:rPr>
        <w:t xml:space="preserve"> the Subsidiary Body on Implementation to consider the study and synthesis with a view to identifying: (a) specific cases, if any, that cannot be addressed through the bilateral approach; and (b) if identified, options for addressing these cases, including a possible global multilateral benefit-sharing mechanism, and make a recommendation to the Conference of the Parties serving as the meeting of the Parties to the Nagoya Protocol at its fourth meeting.</w:t>
      </w:r>
    </w:p>
    <w:p w14:paraId="54DB77DF" w14:textId="77777777" w:rsidR="00682B7B" w:rsidRPr="00EE0850" w:rsidRDefault="00682B7B" w:rsidP="000C6220">
      <w:pPr>
        <w:spacing w:before="120" w:line="240" w:lineRule="auto"/>
        <w:jc w:val="left"/>
        <w:rPr>
          <w:rFonts w:ascii="Times New Roman Bold" w:hAnsi="Times New Roman Bold" w:cs="Times New Roman Bold"/>
          <w:b/>
          <w:bCs/>
          <w:caps/>
          <w:snapToGrid w:val="0"/>
          <w:kern w:val="22"/>
          <w:szCs w:val="22"/>
        </w:rPr>
      </w:pPr>
      <w:r w:rsidRPr="00EE0850">
        <w:rPr>
          <w:rFonts w:hint="eastAsia"/>
        </w:rPr>
        <w:br w:type="page"/>
      </w:r>
    </w:p>
    <w:p w14:paraId="15E91978" w14:textId="4DCE5475" w:rsidR="00682B7B" w:rsidRPr="00EE0850" w:rsidRDefault="00682B7B" w:rsidP="000C6220">
      <w:pPr>
        <w:pStyle w:val="recommendationheader"/>
        <w:spacing w:line="240" w:lineRule="auto"/>
        <w:ind w:left="1418" w:right="327" w:hanging="709"/>
        <w:jc w:val="left"/>
      </w:pPr>
      <w:bookmarkStart w:id="16" w:name="_Toc256214"/>
      <w:r w:rsidRPr="00EE0850">
        <w:t>3/14.</w:t>
      </w:r>
      <w:r w:rsidRPr="00EE0850">
        <w:tab/>
        <w:t>Specialized international access and benefit sharing instruments in the context of Article 4, paragraph 4, of the Nagoya Protocol</w:t>
      </w:r>
      <w:bookmarkEnd w:id="16"/>
    </w:p>
    <w:p w14:paraId="644BFACD" w14:textId="35804BCF"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i/>
          <w:kern w:val="22"/>
          <w:szCs w:val="22"/>
        </w:rPr>
      </w:pPr>
      <w:r w:rsidRPr="00EE0850">
        <w:rPr>
          <w:i/>
          <w:kern w:val="22"/>
          <w:szCs w:val="22"/>
        </w:rPr>
        <w:t xml:space="preserve">The Conference of the Parties serving as the meeting of the Parties to the Nagoya Protocol </w:t>
      </w:r>
      <w:r w:rsidRPr="00EE0850">
        <w:rPr>
          <w:rFonts w:eastAsia="Arial Unicode MS"/>
          <w:i/>
          <w:snapToGrid w:val="0"/>
          <w:kern w:val="22"/>
          <w:u w:color="000000"/>
          <w:bdr w:val="nil"/>
        </w:rPr>
        <w:t>on Access and Benefit-sharing</w:t>
      </w:r>
      <w:r w:rsidRPr="00EE0850">
        <w:rPr>
          <w:i/>
          <w:kern w:val="22"/>
          <w:szCs w:val="22"/>
        </w:rPr>
        <w:t>,</w:t>
      </w:r>
    </w:p>
    <w:p w14:paraId="51E17C83"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i/>
          <w:kern w:val="22"/>
          <w:szCs w:val="22"/>
        </w:rPr>
        <w:t xml:space="preserve">Recognizing </w:t>
      </w:r>
      <w:r w:rsidRPr="00EE0850">
        <w:rPr>
          <w:kern w:val="22"/>
          <w:szCs w:val="22"/>
        </w:rPr>
        <w:t>the need to strengthen coordination and mutual supportiveness among international instruments on access and benefit-sharing,</w:t>
      </w:r>
    </w:p>
    <w:p w14:paraId="527298F6"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i/>
          <w:kern w:val="22"/>
          <w:szCs w:val="22"/>
        </w:rPr>
        <w:t xml:space="preserve">Acknowledging </w:t>
      </w:r>
      <w:r w:rsidRPr="00EE0850">
        <w:rPr>
          <w:kern w:val="22"/>
          <w:szCs w:val="22"/>
        </w:rPr>
        <w:t>that any criteria to identify a specialized international access and benefit-sharing instrument and any process for recognition of such an instrument is not intended to create a hierarchy between the Nagoya Protocol and other international instruments,</w:t>
      </w:r>
    </w:p>
    <w:p w14:paraId="1162FA60"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1.</w:t>
      </w:r>
      <w:r w:rsidRPr="00EE0850">
        <w:rPr>
          <w:kern w:val="22"/>
          <w:szCs w:val="22"/>
        </w:rPr>
        <w:tab/>
      </w:r>
      <w:r w:rsidRPr="00EE0850">
        <w:rPr>
          <w:i/>
          <w:kern w:val="22"/>
          <w:szCs w:val="22"/>
        </w:rPr>
        <w:t>Takes note</w:t>
      </w:r>
      <w:r w:rsidRPr="00EE0850">
        <w:rPr>
          <w:kern w:val="22"/>
          <w:szCs w:val="22"/>
        </w:rPr>
        <w:t xml:space="preserve"> of the study</w:t>
      </w:r>
      <w:r w:rsidRPr="00EE0850">
        <w:rPr>
          <w:rStyle w:val="FootnoteReference"/>
          <w:kern w:val="18"/>
          <w:sz w:val="22"/>
          <w:szCs w:val="22"/>
          <w:u w:val="none"/>
          <w:vertAlign w:val="superscript"/>
          <w:lang w:eastAsia="x-none"/>
        </w:rPr>
        <w:footnoteReference w:id="25"/>
      </w:r>
      <w:r w:rsidRPr="00EE0850">
        <w:rPr>
          <w:kern w:val="22"/>
          <w:szCs w:val="22"/>
        </w:rPr>
        <w:t xml:space="preserve"> and potential criteria for specialized international access and benefit-sharing instruments in the context of Article 4, paragraph 4, of the Nagoya Protocol as summarized in the annex below, and </w:t>
      </w:r>
      <w:r w:rsidRPr="00EE0850">
        <w:rPr>
          <w:i/>
          <w:kern w:val="22"/>
          <w:szCs w:val="22"/>
        </w:rPr>
        <w:t>agrees</w:t>
      </w:r>
      <w:r w:rsidRPr="00EE0850">
        <w:rPr>
          <w:kern w:val="22"/>
          <w:szCs w:val="22"/>
        </w:rPr>
        <w:t xml:space="preserve"> to reconsider these potential criteria at its fourth meeting;</w:t>
      </w:r>
    </w:p>
    <w:p w14:paraId="1D2BE2A9"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2.</w:t>
      </w:r>
      <w:r w:rsidRPr="00EE0850">
        <w:rPr>
          <w:kern w:val="22"/>
          <w:szCs w:val="22"/>
        </w:rPr>
        <w:tab/>
      </w:r>
      <w:r w:rsidRPr="00EE0850">
        <w:rPr>
          <w:i/>
          <w:kern w:val="22"/>
          <w:szCs w:val="22"/>
        </w:rPr>
        <w:t xml:space="preserve">Invites </w:t>
      </w:r>
      <w:r w:rsidRPr="00EE0850">
        <w:rPr>
          <w:kern w:val="22"/>
          <w:szCs w:val="22"/>
        </w:rPr>
        <w:t>Parties and other Governments to submit:</w:t>
      </w:r>
    </w:p>
    <w:p w14:paraId="37A32032"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(a)</w:t>
      </w:r>
      <w:r w:rsidRPr="00EE0850">
        <w:rPr>
          <w:kern w:val="22"/>
          <w:szCs w:val="22"/>
        </w:rPr>
        <w:tab/>
        <w:t>Information on how specialized international access and benefit-sharing instruments are addressed in their domestic measures;</w:t>
      </w:r>
    </w:p>
    <w:p w14:paraId="0816FDDA"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(b)</w:t>
      </w:r>
      <w:r w:rsidRPr="00EE0850">
        <w:rPr>
          <w:kern w:val="22"/>
          <w:szCs w:val="22"/>
        </w:rPr>
        <w:tab/>
        <w:t>Views on the potential criteria contained in the study, taking into account Article 4, paragraphs 1 to 3, of the Protocol;</w:t>
      </w:r>
    </w:p>
    <w:p w14:paraId="751545F2"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3.</w:t>
      </w:r>
      <w:r w:rsidRPr="00EE0850">
        <w:rPr>
          <w:kern w:val="22"/>
          <w:szCs w:val="22"/>
        </w:rPr>
        <w:tab/>
      </w:r>
      <w:r w:rsidRPr="00EE0850">
        <w:rPr>
          <w:i/>
          <w:kern w:val="22"/>
          <w:szCs w:val="22"/>
        </w:rPr>
        <w:t>Requests</w:t>
      </w:r>
      <w:r w:rsidRPr="00EE0850">
        <w:rPr>
          <w:kern w:val="22"/>
          <w:szCs w:val="22"/>
        </w:rPr>
        <w:t xml:space="preserve"> the Executive Secretary to continue to follow developments in relevant international forums;</w:t>
      </w:r>
    </w:p>
    <w:p w14:paraId="4C294621"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4.</w:t>
      </w:r>
      <w:r w:rsidRPr="00EE0850">
        <w:rPr>
          <w:kern w:val="22"/>
          <w:szCs w:val="22"/>
        </w:rPr>
        <w:tab/>
      </w:r>
      <w:r w:rsidRPr="00EE0850">
        <w:rPr>
          <w:i/>
          <w:kern w:val="22"/>
          <w:szCs w:val="22"/>
        </w:rPr>
        <w:t>Also requests</w:t>
      </w:r>
      <w:r w:rsidRPr="00EE0850">
        <w:rPr>
          <w:kern w:val="22"/>
          <w:szCs w:val="22"/>
        </w:rPr>
        <w:t xml:space="preserve"> the Executive Secretary to synthesize the information and views submitted, including the information from developments in relevant international forums, and make it available for consideration by the Subsidiary Body on Implementation at its third meeting;</w:t>
      </w:r>
    </w:p>
    <w:p w14:paraId="66744B82"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5.</w:t>
      </w:r>
      <w:r w:rsidRPr="00EE0850">
        <w:rPr>
          <w:kern w:val="22"/>
          <w:szCs w:val="22"/>
        </w:rPr>
        <w:tab/>
      </w:r>
      <w:r w:rsidRPr="00EE0850">
        <w:rPr>
          <w:i/>
          <w:kern w:val="22"/>
          <w:szCs w:val="22"/>
        </w:rPr>
        <w:t>Requests</w:t>
      </w:r>
      <w:r w:rsidRPr="00EE0850">
        <w:rPr>
          <w:kern w:val="22"/>
          <w:szCs w:val="22"/>
        </w:rPr>
        <w:t xml:space="preserve"> the Subsidiary Body on Implementation at its third meeting to consider the synthesis referred to in paragraph 4 above and to make a recommendation to the Conference of the Parties serving as the meeting of the Parties to the Nagoya Protocol at its fourth meeting;</w:t>
      </w:r>
    </w:p>
    <w:p w14:paraId="1681AD2B"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6.</w:t>
      </w:r>
      <w:r w:rsidRPr="00EE0850">
        <w:rPr>
          <w:kern w:val="22"/>
          <w:szCs w:val="22"/>
        </w:rPr>
        <w:tab/>
      </w:r>
      <w:r w:rsidRPr="00EE0850">
        <w:rPr>
          <w:i/>
          <w:kern w:val="22"/>
          <w:szCs w:val="22"/>
        </w:rPr>
        <w:t>Decides</w:t>
      </w:r>
      <w:r w:rsidRPr="00EE0850">
        <w:rPr>
          <w:kern w:val="22"/>
          <w:szCs w:val="22"/>
        </w:rPr>
        <w:t xml:space="preserve"> to include a standing item on “cooperation with other international organizations” on the agenda of its future meetings to take stock of developments in relevant international forums, including any information on specialized international access and benefit-sharing instruments recognized by another intergovernmental body and/or by a Party or group of Parties, with a view to enhancing mutual supportiveness between the Protocol and specialized international access and benefit-sharing instruments;</w:t>
      </w:r>
    </w:p>
    <w:p w14:paraId="07DD1687"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7.</w:t>
      </w:r>
      <w:r w:rsidRPr="00EE0850">
        <w:rPr>
          <w:kern w:val="22"/>
          <w:szCs w:val="22"/>
        </w:rPr>
        <w:tab/>
      </w:r>
      <w:r w:rsidRPr="00EE0850">
        <w:rPr>
          <w:i/>
          <w:kern w:val="22"/>
          <w:szCs w:val="22"/>
        </w:rPr>
        <w:t>Invites</w:t>
      </w:r>
      <w:r w:rsidRPr="00EE0850">
        <w:rPr>
          <w:kern w:val="22"/>
          <w:szCs w:val="22"/>
        </w:rPr>
        <w:t xml:space="preserve"> Parties and other Governments to coordinate at the national level regarding access and benefit-sharing issues addressed in different international forums, as appropriate, in order to support a coherent international regime on access and benefit-sharing;</w:t>
      </w:r>
    </w:p>
    <w:p w14:paraId="47B5EC98"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bCs/>
          <w:kern w:val="22"/>
          <w:szCs w:val="22"/>
        </w:rPr>
      </w:pPr>
      <w:r w:rsidRPr="00EE0850">
        <w:rPr>
          <w:kern w:val="22"/>
          <w:szCs w:val="22"/>
        </w:rPr>
        <w:t>8.</w:t>
      </w:r>
      <w:r w:rsidRPr="00EE0850">
        <w:rPr>
          <w:kern w:val="22"/>
          <w:szCs w:val="22"/>
        </w:rPr>
        <w:tab/>
      </w:r>
      <w:r w:rsidRPr="00EE0850">
        <w:rPr>
          <w:i/>
          <w:kern w:val="22"/>
          <w:szCs w:val="22"/>
        </w:rPr>
        <w:t>Invites</w:t>
      </w:r>
      <w:r w:rsidRPr="00EE0850">
        <w:rPr>
          <w:kern w:val="22"/>
          <w:szCs w:val="22"/>
        </w:rPr>
        <w:t xml:space="preserve"> Parties and other Governments which are or may become Parties to the Nagoya Protocol and to a specialized international access and benefit-sharing instrument, as appropriate, to take steps to implement both instruments in a mutually supportive manner, including with the participation of indigenous peoples and local communities, where relevant or applicable, according to their national circumstances.</w:t>
      </w:r>
    </w:p>
    <w:p w14:paraId="29425BDC" w14:textId="77777777" w:rsidR="00682B7B" w:rsidRPr="00EE0850" w:rsidRDefault="00682B7B" w:rsidP="000C6220">
      <w:pPr>
        <w:keepNext/>
        <w:keepLines/>
        <w:suppressLineNumbers/>
        <w:suppressAutoHyphens/>
        <w:kinsoku w:val="0"/>
        <w:overflowPunct w:val="0"/>
        <w:autoSpaceDE w:val="0"/>
        <w:autoSpaceDN w:val="0"/>
        <w:adjustRightInd w:val="0"/>
        <w:snapToGrid w:val="0"/>
        <w:spacing w:before="120" w:line="240" w:lineRule="auto"/>
        <w:jc w:val="center"/>
        <w:outlineLvl w:val="2"/>
        <w:rPr>
          <w:i/>
          <w:kern w:val="22"/>
          <w:szCs w:val="22"/>
        </w:rPr>
      </w:pPr>
      <w:r w:rsidRPr="00EE0850">
        <w:rPr>
          <w:i/>
          <w:kern w:val="22"/>
          <w:szCs w:val="22"/>
        </w:rPr>
        <w:t>Annex</w:t>
      </w:r>
    </w:p>
    <w:p w14:paraId="0E6E1267" w14:textId="25FB9BA5" w:rsidR="00682B7B" w:rsidRPr="00EE0850" w:rsidRDefault="00682B7B" w:rsidP="000C6220">
      <w:pPr>
        <w:keepNext/>
        <w:keepLines/>
        <w:spacing w:before="120" w:line="240" w:lineRule="auto"/>
        <w:ind w:right="360"/>
        <w:jc w:val="center"/>
        <w:rPr>
          <w:rFonts w:eastAsia="Calibri"/>
          <w:b/>
          <w:color w:val="000000"/>
          <w:kern w:val="22"/>
          <w:szCs w:val="22"/>
          <w:u w:color="000000"/>
        </w:rPr>
      </w:pPr>
      <w:r w:rsidRPr="00EE0850">
        <w:rPr>
          <w:rFonts w:eastAsia="Calibri"/>
          <w:b/>
          <w:color w:val="000000"/>
          <w:kern w:val="22"/>
          <w:szCs w:val="22"/>
          <w:u w:color="000000"/>
        </w:rPr>
        <w:t>Potential criteria for specialized international access and benefit-sharing instruments in the context of Article 4, paragraph 4, of the Nagoya Protocol on Access to Genetic Resources and the Fair and Equitable Sharing of Benefits Arising from their Utilization</w:t>
      </w:r>
    </w:p>
    <w:p w14:paraId="2FC4C1BA" w14:textId="77777777" w:rsidR="00682B7B" w:rsidRPr="00EE0850" w:rsidRDefault="00682B7B" w:rsidP="000C6220">
      <w:pPr>
        <w:pStyle w:val="FootnoteText"/>
        <w:spacing w:before="120" w:after="120" w:line="240" w:lineRule="auto"/>
        <w:rPr>
          <w:sz w:val="22"/>
          <w:szCs w:val="22"/>
        </w:rPr>
      </w:pPr>
      <w:r w:rsidRPr="00EE0850">
        <w:rPr>
          <w:bCs/>
          <w:kern w:val="22"/>
          <w:sz w:val="22"/>
          <w:szCs w:val="22"/>
        </w:rPr>
        <w:t>The following is a summary of the potential</w:t>
      </w:r>
      <w:r w:rsidRPr="00EE0850">
        <w:rPr>
          <w:rFonts w:eastAsia="Calibri"/>
          <w:color w:val="000000"/>
          <w:kern w:val="22"/>
          <w:sz w:val="22"/>
          <w:szCs w:val="22"/>
          <w:u w:color="000000"/>
        </w:rPr>
        <w:t xml:space="preserve"> criteria for specialized international access and benefit-sharing instruments in the context of Article 4, paragraph 4, of the Nagoya Protocol on Access to Genetic Resources and the Fair and Equitable Sharing of Benefits Arising from their Utilization, as described in the study contained in document CBD/SBI/2/INF/17.</w:t>
      </w:r>
      <w:r w:rsidRPr="00EE0850">
        <w:rPr>
          <w:bCs/>
          <w:kern w:val="22"/>
          <w:sz w:val="22"/>
          <w:szCs w:val="22"/>
        </w:rPr>
        <w:t xml:space="preserve"> The potential criteria are under discussion and have not been agreed by Parties to the Protocol.</w:t>
      </w:r>
    </w:p>
    <w:p w14:paraId="2A48BAEA" w14:textId="77777777" w:rsidR="00682B7B" w:rsidRPr="00EE0850" w:rsidRDefault="00682B7B" w:rsidP="000C6220">
      <w:pPr>
        <w:pStyle w:val="ListParagraph"/>
        <w:suppressLineNumbers/>
        <w:suppressAutoHyphens/>
        <w:kinsoku w:val="0"/>
        <w:overflowPunct w:val="0"/>
        <w:autoSpaceDE w:val="0"/>
        <w:autoSpaceDN w:val="0"/>
        <w:adjustRightInd w:val="0"/>
        <w:snapToGrid w:val="0"/>
        <w:spacing w:before="120" w:line="240" w:lineRule="auto"/>
        <w:ind w:left="0" w:firstLine="720"/>
        <w:contextualSpacing w:val="0"/>
        <w:rPr>
          <w:kern w:val="22"/>
          <w:szCs w:val="22"/>
        </w:rPr>
      </w:pPr>
      <w:r w:rsidRPr="00EE0850">
        <w:rPr>
          <w:bCs/>
          <w:kern w:val="22"/>
          <w:szCs w:val="22"/>
        </w:rPr>
        <w:t>1.</w:t>
      </w:r>
      <w:r w:rsidRPr="00EE0850">
        <w:rPr>
          <w:bCs/>
          <w:kern w:val="22"/>
          <w:szCs w:val="22"/>
        </w:rPr>
        <w:tab/>
      </w:r>
      <w:proofErr w:type="spellStart"/>
      <w:r w:rsidRPr="00EE0850">
        <w:rPr>
          <w:bCs/>
          <w:i/>
          <w:iCs/>
          <w:kern w:val="22"/>
          <w:szCs w:val="22"/>
        </w:rPr>
        <w:t>Intergovernmentally</w:t>
      </w:r>
      <w:proofErr w:type="spellEnd"/>
      <w:r w:rsidRPr="00EE0850">
        <w:rPr>
          <w:bCs/>
          <w:i/>
          <w:iCs/>
          <w:kern w:val="22"/>
          <w:szCs w:val="22"/>
        </w:rPr>
        <w:t xml:space="preserve"> agreed</w:t>
      </w:r>
      <w:r w:rsidRPr="00EE0850">
        <w:rPr>
          <w:bCs/>
          <w:kern w:val="22"/>
          <w:szCs w:val="22"/>
        </w:rPr>
        <w:t xml:space="preserve"> — </w:t>
      </w:r>
      <w:r w:rsidRPr="00EE0850">
        <w:rPr>
          <w:kern w:val="22"/>
          <w:szCs w:val="22"/>
        </w:rPr>
        <w:t>The instrument would be developed and agreed through an intergovernmental process. The instrument may be binding or non-binding.</w:t>
      </w:r>
    </w:p>
    <w:p w14:paraId="43375B47" w14:textId="77777777" w:rsidR="00682B7B" w:rsidRPr="00EE0850" w:rsidRDefault="00682B7B" w:rsidP="000C6220">
      <w:pPr>
        <w:pStyle w:val="ListParagraph"/>
        <w:suppressLineNumbers/>
        <w:suppressAutoHyphens/>
        <w:kinsoku w:val="0"/>
        <w:overflowPunct w:val="0"/>
        <w:autoSpaceDE w:val="0"/>
        <w:autoSpaceDN w:val="0"/>
        <w:adjustRightInd w:val="0"/>
        <w:snapToGrid w:val="0"/>
        <w:spacing w:before="120" w:line="240" w:lineRule="auto"/>
        <w:ind w:left="0" w:firstLine="720"/>
        <w:contextualSpacing w:val="0"/>
        <w:rPr>
          <w:b/>
          <w:kern w:val="22"/>
          <w:szCs w:val="22"/>
        </w:rPr>
      </w:pPr>
      <w:r w:rsidRPr="00EE0850">
        <w:rPr>
          <w:bCs/>
          <w:kern w:val="22"/>
          <w:szCs w:val="22"/>
        </w:rPr>
        <w:t>2.</w:t>
      </w:r>
      <w:r w:rsidRPr="00EE0850">
        <w:rPr>
          <w:bCs/>
          <w:kern w:val="22"/>
          <w:szCs w:val="22"/>
        </w:rPr>
        <w:tab/>
      </w:r>
      <w:r w:rsidRPr="00EE0850">
        <w:rPr>
          <w:bCs/>
          <w:i/>
          <w:iCs/>
          <w:kern w:val="22"/>
          <w:szCs w:val="22"/>
        </w:rPr>
        <w:t>Specialized</w:t>
      </w:r>
      <w:r w:rsidRPr="00EE0850">
        <w:rPr>
          <w:bCs/>
          <w:kern w:val="22"/>
          <w:szCs w:val="22"/>
        </w:rPr>
        <w:t xml:space="preserve"> </w:t>
      </w:r>
      <w:r w:rsidRPr="00EE0850">
        <w:rPr>
          <w:kern w:val="22"/>
          <w:szCs w:val="22"/>
        </w:rPr>
        <w:t>— The instrument would:</w:t>
      </w:r>
    </w:p>
    <w:p w14:paraId="3DB59C71"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(a)</w:t>
      </w:r>
      <w:r w:rsidRPr="00EE0850">
        <w:rPr>
          <w:kern w:val="22"/>
          <w:szCs w:val="22"/>
        </w:rPr>
        <w:tab/>
        <w:t>Apply to a specific set of genetic resources and/or traditional knowledge associated with genetic resources which would otherwise fall under the scope of the Nagoya Protocol;</w:t>
      </w:r>
    </w:p>
    <w:p w14:paraId="7B3F793B"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(b)</w:t>
      </w:r>
      <w:r w:rsidRPr="00EE0850">
        <w:rPr>
          <w:kern w:val="22"/>
          <w:szCs w:val="22"/>
        </w:rPr>
        <w:tab/>
        <w:t>Apply to specific uses of genetic resources and/or traditional knowledge associated with genetic resources which require a differentiated and hence specialized approach.</w:t>
      </w:r>
    </w:p>
    <w:p w14:paraId="4D1AD900"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b/>
          <w:kern w:val="22"/>
          <w:szCs w:val="22"/>
        </w:rPr>
      </w:pPr>
      <w:r w:rsidRPr="00EE0850">
        <w:rPr>
          <w:bCs/>
          <w:kern w:val="22"/>
          <w:szCs w:val="22"/>
        </w:rPr>
        <w:t>3.</w:t>
      </w:r>
      <w:r w:rsidRPr="00EE0850">
        <w:rPr>
          <w:bCs/>
          <w:kern w:val="22"/>
          <w:szCs w:val="22"/>
        </w:rPr>
        <w:tab/>
      </w:r>
      <w:r w:rsidRPr="00EE0850">
        <w:rPr>
          <w:bCs/>
          <w:i/>
          <w:iCs/>
          <w:kern w:val="22"/>
          <w:szCs w:val="22"/>
        </w:rPr>
        <w:t>Mutually supportive</w:t>
      </w:r>
      <w:r w:rsidRPr="00EE0850">
        <w:rPr>
          <w:bCs/>
          <w:kern w:val="22"/>
          <w:szCs w:val="22"/>
        </w:rPr>
        <w:t xml:space="preserve"> — </w:t>
      </w:r>
      <w:r w:rsidRPr="00EE0850">
        <w:rPr>
          <w:kern w:val="22"/>
          <w:szCs w:val="22"/>
        </w:rPr>
        <w:t>The instrument would be consistent with and supportive of, and not run counter to the objectives of the Convention on Biological Diversity and the Nagoya Protocol, including with respect to:</w:t>
      </w:r>
    </w:p>
    <w:p w14:paraId="1A03A58D"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(a)</w:t>
      </w:r>
      <w:r w:rsidRPr="00EE0850">
        <w:rPr>
          <w:kern w:val="22"/>
          <w:szCs w:val="22"/>
        </w:rPr>
        <w:tab/>
        <w:t>Consistency with biodiversity conservation and sustainable use objectives;</w:t>
      </w:r>
    </w:p>
    <w:p w14:paraId="18F2CFD1"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(b)</w:t>
      </w:r>
      <w:r w:rsidRPr="00EE0850">
        <w:rPr>
          <w:kern w:val="22"/>
          <w:szCs w:val="22"/>
        </w:rPr>
        <w:tab/>
        <w:t>Fairness and equity in the sharing of benefits;</w:t>
      </w:r>
    </w:p>
    <w:p w14:paraId="361B443E"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(c)</w:t>
      </w:r>
      <w:r w:rsidRPr="00EE0850">
        <w:rPr>
          <w:kern w:val="22"/>
          <w:szCs w:val="22"/>
        </w:rPr>
        <w:tab/>
        <w:t>Legal certainty with respect to access to genetic resources or traditional knowledge associated with genetic resources and to benefit-sharing;</w:t>
      </w:r>
    </w:p>
    <w:p w14:paraId="4F15C4A8"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kern w:val="22"/>
          <w:szCs w:val="22"/>
        </w:rPr>
      </w:pPr>
      <w:r w:rsidRPr="00EE0850">
        <w:rPr>
          <w:kern w:val="22"/>
          <w:szCs w:val="22"/>
        </w:rPr>
        <w:t>(d)</w:t>
      </w:r>
      <w:r w:rsidRPr="00EE0850">
        <w:rPr>
          <w:kern w:val="22"/>
          <w:szCs w:val="22"/>
        </w:rPr>
        <w:tab/>
        <w:t>Contribution to sustainable development, as reflected in internationally agreed goals;</w:t>
      </w:r>
    </w:p>
    <w:p w14:paraId="02C44DA7" w14:textId="0A8DD4EC"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szCs w:val="22"/>
        </w:rPr>
      </w:pPr>
      <w:r w:rsidRPr="00EE0850">
        <w:rPr>
          <w:kern w:val="22"/>
          <w:szCs w:val="22"/>
        </w:rPr>
        <w:t>(e)</w:t>
      </w:r>
      <w:r w:rsidRPr="00EE0850">
        <w:rPr>
          <w:kern w:val="22"/>
          <w:szCs w:val="22"/>
        </w:rPr>
        <w:tab/>
        <w:t>Other general principles of law, including good faith, effectiveness and legitimate expectations.</w:t>
      </w:r>
    </w:p>
    <w:p w14:paraId="4B8D70A0" w14:textId="77777777" w:rsidR="00682B7B" w:rsidRPr="00EE0850" w:rsidRDefault="00682B7B" w:rsidP="000C6220">
      <w:pPr>
        <w:spacing w:before="120" w:line="240" w:lineRule="auto"/>
        <w:jc w:val="left"/>
        <w:rPr>
          <w:rFonts w:ascii="Times New Roman Bold" w:hAnsi="Times New Roman Bold" w:cs="Times New Roman Bold"/>
          <w:b/>
          <w:bCs/>
          <w:caps/>
          <w:snapToGrid w:val="0"/>
          <w:kern w:val="22"/>
          <w:szCs w:val="22"/>
        </w:rPr>
      </w:pPr>
      <w:r w:rsidRPr="00EE0850">
        <w:rPr>
          <w:rFonts w:hint="eastAsia"/>
        </w:rPr>
        <w:br w:type="page"/>
      </w:r>
    </w:p>
    <w:p w14:paraId="01C9E0B7" w14:textId="430CCBFA" w:rsidR="00682B7B" w:rsidRPr="00EE0850" w:rsidRDefault="00682B7B" w:rsidP="000C6220">
      <w:pPr>
        <w:pStyle w:val="recommendationheader"/>
        <w:spacing w:line="240" w:lineRule="auto"/>
        <w:rPr>
          <w:snapToGrid w:val="0"/>
        </w:rPr>
      </w:pPr>
      <w:bookmarkStart w:id="17" w:name="_Toc256215"/>
      <w:r w:rsidRPr="00EE0850">
        <w:rPr>
          <w:snapToGrid w:val="0"/>
        </w:rPr>
        <w:t>3/15.</w:t>
      </w:r>
      <w:r w:rsidRPr="00EE0850">
        <w:rPr>
          <w:snapToGrid w:val="0"/>
        </w:rPr>
        <w:tab/>
        <w:t>Preparation for the follow-up to the Strategic Plan for Biodiversity 2011-2020</w:t>
      </w:r>
      <w:bookmarkEnd w:id="17"/>
    </w:p>
    <w:p w14:paraId="037E9E96" w14:textId="60F71412"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i/>
          <w:snapToGrid w:val="0"/>
          <w:color w:val="000000" w:themeColor="text1"/>
          <w:kern w:val="22"/>
          <w:szCs w:val="22"/>
        </w:rPr>
      </w:pPr>
      <w:r w:rsidRPr="00EE0850">
        <w:rPr>
          <w:i/>
          <w:snapToGrid w:val="0"/>
          <w:color w:val="000000" w:themeColor="text1"/>
          <w:kern w:val="22"/>
          <w:szCs w:val="22"/>
        </w:rPr>
        <w:t xml:space="preserve">The Conference of the </w:t>
      </w:r>
      <w:r w:rsidRPr="00EE0850">
        <w:rPr>
          <w:rFonts w:eastAsia="Batang"/>
          <w:i/>
          <w:snapToGrid w:val="0"/>
          <w:color w:val="000000" w:themeColor="text1"/>
          <w:kern w:val="22"/>
        </w:rPr>
        <w:t xml:space="preserve">Parties serving as the meeting of the Parties to the Nagoya Protocol </w:t>
      </w:r>
      <w:r w:rsidRPr="00EE0850">
        <w:rPr>
          <w:rFonts w:eastAsia="Arial Unicode MS"/>
          <w:i/>
          <w:snapToGrid w:val="0"/>
          <w:kern w:val="22"/>
          <w:u w:color="000000"/>
          <w:bdr w:val="nil"/>
        </w:rPr>
        <w:t>on Access and Benefit-sharing</w:t>
      </w:r>
    </w:p>
    <w:p w14:paraId="2B969BE9"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snapToGrid w:val="0"/>
          <w:color w:val="000000" w:themeColor="text1"/>
          <w:kern w:val="22"/>
          <w:szCs w:val="22"/>
        </w:rPr>
      </w:pPr>
      <w:r w:rsidRPr="00EE0850">
        <w:rPr>
          <w:snapToGrid w:val="0"/>
          <w:color w:val="000000" w:themeColor="text1"/>
          <w:kern w:val="22"/>
          <w:szCs w:val="22"/>
        </w:rPr>
        <w:t>1.</w:t>
      </w:r>
      <w:r w:rsidRPr="00EE0850">
        <w:rPr>
          <w:snapToGrid w:val="0"/>
          <w:color w:val="000000" w:themeColor="text1"/>
          <w:kern w:val="22"/>
          <w:szCs w:val="22"/>
        </w:rPr>
        <w:tab/>
      </w:r>
      <w:r w:rsidRPr="00EE0850">
        <w:rPr>
          <w:i/>
          <w:iCs/>
          <w:snapToGrid w:val="0"/>
          <w:color w:val="000000" w:themeColor="text1"/>
          <w:kern w:val="22"/>
          <w:szCs w:val="22"/>
        </w:rPr>
        <w:t>Takes note</w:t>
      </w:r>
      <w:r w:rsidRPr="00EE0850">
        <w:rPr>
          <w:snapToGrid w:val="0"/>
          <w:color w:val="000000" w:themeColor="text1"/>
          <w:kern w:val="22"/>
          <w:szCs w:val="22"/>
        </w:rPr>
        <w:t xml:space="preserve"> of the proposed preparatory process for the post-2020 global biodiversity framework in follow-up to the Strategic Plan for Biodiversity 2011-2020, and </w:t>
      </w:r>
      <w:r w:rsidRPr="00EE0850">
        <w:rPr>
          <w:i/>
          <w:iCs/>
          <w:snapToGrid w:val="0"/>
          <w:color w:val="000000" w:themeColor="text1"/>
          <w:kern w:val="22"/>
          <w:szCs w:val="22"/>
        </w:rPr>
        <w:t>welcomes</w:t>
      </w:r>
      <w:r w:rsidRPr="00EE0850">
        <w:rPr>
          <w:snapToGrid w:val="0"/>
          <w:color w:val="000000" w:themeColor="text1"/>
          <w:kern w:val="22"/>
          <w:szCs w:val="22"/>
        </w:rPr>
        <w:t xml:space="preserve"> decision 14/34 of the Conference of the Parties;</w:t>
      </w:r>
    </w:p>
    <w:p w14:paraId="4BE8150F"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09"/>
        <w:rPr>
          <w:snapToGrid w:val="0"/>
          <w:color w:val="000000" w:themeColor="text1"/>
          <w:kern w:val="22"/>
          <w:sz w:val="24"/>
        </w:rPr>
      </w:pPr>
      <w:r w:rsidRPr="00EE0850">
        <w:rPr>
          <w:snapToGrid w:val="0"/>
          <w:color w:val="000000" w:themeColor="text1"/>
          <w:kern w:val="22"/>
          <w:szCs w:val="22"/>
        </w:rPr>
        <w:t>2.</w:t>
      </w:r>
      <w:r w:rsidRPr="00EE0850">
        <w:rPr>
          <w:snapToGrid w:val="0"/>
          <w:color w:val="000000" w:themeColor="text1"/>
          <w:kern w:val="22"/>
          <w:szCs w:val="22"/>
        </w:rPr>
        <w:tab/>
      </w:r>
      <w:r w:rsidRPr="00EE0850">
        <w:rPr>
          <w:i/>
          <w:szCs w:val="22"/>
          <w:lang w:val="en-US"/>
        </w:rPr>
        <w:t>Encourages</w:t>
      </w:r>
      <w:r w:rsidRPr="00EE0850">
        <w:rPr>
          <w:szCs w:val="22"/>
          <w:lang w:val="en-US"/>
        </w:rPr>
        <w:t xml:space="preserve"> Parties to undertake measures to enhance the implementation of the Nagoya Protocol on Access and Benefit-Sharing, in the context of the post-2020 global biodiversity framework;</w:t>
      </w:r>
    </w:p>
    <w:p w14:paraId="217CAB01" w14:textId="77777777"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snapToGrid w:val="0"/>
          <w:color w:val="000000" w:themeColor="text1"/>
          <w:kern w:val="22"/>
          <w:szCs w:val="22"/>
        </w:rPr>
      </w:pPr>
      <w:r w:rsidRPr="00EE0850">
        <w:rPr>
          <w:snapToGrid w:val="0"/>
          <w:color w:val="000000" w:themeColor="text1"/>
          <w:kern w:val="22"/>
          <w:szCs w:val="22"/>
        </w:rPr>
        <w:t>3.</w:t>
      </w:r>
      <w:r w:rsidRPr="00EE0850">
        <w:rPr>
          <w:snapToGrid w:val="0"/>
          <w:color w:val="000000" w:themeColor="text1"/>
          <w:kern w:val="22"/>
          <w:szCs w:val="22"/>
        </w:rPr>
        <w:tab/>
      </w:r>
      <w:r w:rsidRPr="00EE0850">
        <w:rPr>
          <w:i/>
          <w:iCs/>
          <w:snapToGrid w:val="0"/>
          <w:color w:val="000000" w:themeColor="text1"/>
          <w:kern w:val="22"/>
          <w:szCs w:val="22"/>
        </w:rPr>
        <w:t>Invites</w:t>
      </w:r>
      <w:r w:rsidRPr="00EE0850">
        <w:rPr>
          <w:snapToGrid w:val="0"/>
          <w:color w:val="000000" w:themeColor="text1"/>
          <w:kern w:val="22"/>
          <w:szCs w:val="22"/>
        </w:rPr>
        <w:t xml:space="preserve"> Parties to participate in the process for developing the post-2020 global biodiversity framework;</w:t>
      </w:r>
    </w:p>
    <w:p w14:paraId="46B914F0" w14:textId="77777777" w:rsidR="00682B7B" w:rsidRPr="00EE0850" w:rsidRDefault="00682B7B" w:rsidP="000C6220">
      <w:pPr>
        <w:suppressLineNumbers/>
        <w:shd w:val="clear" w:color="auto" w:fill="FFFFFF" w:themeFill="background1"/>
        <w:suppressAutoHyphens/>
        <w:kinsoku w:val="0"/>
        <w:overflowPunct w:val="0"/>
        <w:autoSpaceDE w:val="0"/>
        <w:autoSpaceDN w:val="0"/>
        <w:adjustRightInd w:val="0"/>
        <w:snapToGrid w:val="0"/>
        <w:spacing w:before="120" w:line="240" w:lineRule="auto"/>
        <w:ind w:firstLine="720"/>
        <w:rPr>
          <w:i/>
          <w:snapToGrid w:val="0"/>
          <w:color w:val="000000" w:themeColor="text1"/>
          <w:kern w:val="22"/>
          <w:szCs w:val="22"/>
        </w:rPr>
      </w:pPr>
      <w:r w:rsidRPr="00EE0850">
        <w:rPr>
          <w:snapToGrid w:val="0"/>
          <w:color w:val="000000" w:themeColor="text1"/>
          <w:kern w:val="22"/>
          <w:szCs w:val="22"/>
        </w:rPr>
        <w:t>4.</w:t>
      </w:r>
      <w:r w:rsidRPr="00EE0850">
        <w:rPr>
          <w:i/>
          <w:snapToGrid w:val="0"/>
          <w:color w:val="000000" w:themeColor="text1"/>
          <w:kern w:val="22"/>
          <w:szCs w:val="22"/>
        </w:rPr>
        <w:tab/>
        <w:t xml:space="preserve">Recommends </w:t>
      </w:r>
      <w:r w:rsidRPr="00EE0850">
        <w:rPr>
          <w:snapToGrid w:val="0"/>
          <w:color w:val="000000" w:themeColor="text1"/>
          <w:kern w:val="22"/>
          <w:szCs w:val="22"/>
        </w:rPr>
        <w:t>that the findings on general issues of compliance</w:t>
      </w:r>
      <w:r w:rsidRPr="00EE0850">
        <w:rPr>
          <w:rStyle w:val="FootnoteReference"/>
          <w:rFonts w:eastAsiaTheme="majorEastAsia"/>
          <w:snapToGrid w:val="0"/>
          <w:color w:val="000000" w:themeColor="text1"/>
          <w:kern w:val="22"/>
          <w:sz w:val="22"/>
          <w:szCs w:val="22"/>
          <w:u w:val="none"/>
          <w:vertAlign w:val="superscript"/>
        </w:rPr>
        <w:footnoteReference w:id="26"/>
      </w:r>
      <w:r w:rsidRPr="00EE0850">
        <w:rPr>
          <w:snapToGrid w:val="0"/>
          <w:color w:val="000000" w:themeColor="text1"/>
          <w:kern w:val="22"/>
          <w:szCs w:val="22"/>
        </w:rPr>
        <w:t xml:space="preserve"> </w:t>
      </w:r>
      <w:r w:rsidRPr="00EE0850">
        <w:rPr>
          <w:color w:val="000000" w:themeColor="text1"/>
          <w:kern w:val="22"/>
          <w:szCs w:val="22"/>
          <w:lang w:eastAsia="es-MX"/>
        </w:rPr>
        <w:t>as well as the outcomes of the first assessment and review of the effectiveness of the Protocol, as contained in decision NP-3</w:t>
      </w:r>
      <w:r w:rsidRPr="00EE0850">
        <w:rPr>
          <w:color w:val="000000" w:themeColor="text1"/>
          <w:kern w:val="22"/>
          <w:szCs w:val="22"/>
          <w:lang w:val="en-US" w:eastAsia="es-MX"/>
        </w:rPr>
        <w:t xml:space="preserve">/1, </w:t>
      </w:r>
      <w:r w:rsidRPr="00EE0850">
        <w:rPr>
          <w:snapToGrid w:val="0"/>
          <w:color w:val="000000" w:themeColor="text1"/>
          <w:kern w:val="22"/>
          <w:szCs w:val="22"/>
        </w:rPr>
        <w:t>be considered in the development of the post-2020 global biodiversity framework;</w:t>
      </w:r>
    </w:p>
    <w:p w14:paraId="3C308BD6" w14:textId="4B9CAB82" w:rsidR="00682B7B" w:rsidRPr="00EE0850" w:rsidRDefault="00682B7B" w:rsidP="000C6220">
      <w:pPr>
        <w:suppressLineNumbers/>
        <w:suppressAutoHyphens/>
        <w:kinsoku w:val="0"/>
        <w:overflowPunct w:val="0"/>
        <w:autoSpaceDE w:val="0"/>
        <w:autoSpaceDN w:val="0"/>
        <w:adjustRightInd w:val="0"/>
        <w:snapToGrid w:val="0"/>
        <w:spacing w:before="120" w:line="240" w:lineRule="auto"/>
        <w:ind w:firstLine="720"/>
        <w:rPr>
          <w:color w:val="000000" w:themeColor="text1"/>
          <w:kern w:val="22"/>
        </w:rPr>
      </w:pPr>
      <w:r w:rsidRPr="00EE0850">
        <w:rPr>
          <w:snapToGrid w:val="0"/>
          <w:color w:val="000000" w:themeColor="text1"/>
          <w:kern w:val="22"/>
          <w:szCs w:val="22"/>
        </w:rPr>
        <w:t>5.</w:t>
      </w:r>
      <w:r w:rsidRPr="00EE0850">
        <w:rPr>
          <w:i/>
          <w:snapToGrid w:val="0"/>
          <w:color w:val="000000" w:themeColor="text1"/>
          <w:kern w:val="22"/>
          <w:szCs w:val="22"/>
        </w:rPr>
        <w:tab/>
        <w:t>Requests</w:t>
      </w:r>
      <w:r w:rsidRPr="00EE0850">
        <w:rPr>
          <w:snapToGrid w:val="0"/>
          <w:color w:val="000000" w:themeColor="text1"/>
          <w:kern w:val="22"/>
          <w:szCs w:val="22"/>
        </w:rPr>
        <w:t xml:space="preserve"> that the Compliance Committee at its next meeting consider how to support and promote compliance with the Nagoya Protocol within the post-2020 global biodiversity framework.</w:t>
      </w:r>
    </w:p>
    <w:p w14:paraId="2790C1EB" w14:textId="77777777" w:rsidR="00682B7B" w:rsidRPr="00EE0850" w:rsidRDefault="00682B7B" w:rsidP="000C6220">
      <w:pPr>
        <w:spacing w:before="120" w:line="240" w:lineRule="auto"/>
        <w:jc w:val="left"/>
        <w:rPr>
          <w:rFonts w:ascii="Times New Roman Bold" w:hAnsi="Times New Roman Bold" w:cs="Times New Roman Bold"/>
          <w:b/>
          <w:bCs/>
          <w:caps/>
          <w:snapToGrid w:val="0"/>
          <w:kern w:val="22"/>
          <w:szCs w:val="22"/>
        </w:rPr>
      </w:pPr>
      <w:r w:rsidRPr="00EE0850">
        <w:rPr>
          <w:rFonts w:hint="eastAsia"/>
        </w:rPr>
        <w:br w:type="page"/>
      </w:r>
    </w:p>
    <w:p w14:paraId="1F9F53AB" w14:textId="546C8440" w:rsidR="00682B7B" w:rsidRPr="00EE0850" w:rsidRDefault="00682B7B" w:rsidP="000C6220">
      <w:pPr>
        <w:pStyle w:val="recommendationheader"/>
        <w:spacing w:line="240" w:lineRule="auto"/>
        <w:rPr>
          <w:szCs w:val="22"/>
        </w:rPr>
      </w:pPr>
      <w:bookmarkStart w:id="18" w:name="_Toc256216"/>
      <w:r w:rsidRPr="00EE0850">
        <w:rPr>
          <w:szCs w:val="22"/>
        </w:rPr>
        <w:t>3/16.</w:t>
      </w:r>
      <w:r w:rsidRPr="00EE0850">
        <w:rPr>
          <w:szCs w:val="22"/>
        </w:rPr>
        <w:tab/>
        <w:t>Budget for the integrated programme of work of the Secretariat</w:t>
      </w:r>
      <w:bookmarkEnd w:id="18"/>
    </w:p>
    <w:p w14:paraId="2EDC8A23" w14:textId="77777777" w:rsidR="00DE347C" w:rsidRPr="00EE0850" w:rsidRDefault="00DE347C" w:rsidP="000C6220">
      <w:pPr>
        <w:shd w:val="clear" w:color="auto" w:fill="FFFFFF" w:themeFill="background1"/>
        <w:spacing w:before="120" w:line="240" w:lineRule="auto"/>
        <w:ind w:firstLine="720"/>
        <w:rPr>
          <w:iCs/>
          <w:kern w:val="22"/>
          <w:szCs w:val="22"/>
        </w:rPr>
      </w:pPr>
      <w:r w:rsidRPr="00EE0850">
        <w:rPr>
          <w:i/>
          <w:kern w:val="22"/>
          <w:szCs w:val="22"/>
        </w:rPr>
        <w:t xml:space="preserve">The Conference of the Parties serving as the meeting of the Parties to the </w:t>
      </w:r>
      <w:r w:rsidRPr="00EE0850">
        <w:rPr>
          <w:i/>
          <w:iCs/>
          <w:kern w:val="22"/>
          <w:szCs w:val="22"/>
          <w:lang w:eastAsia="ko-KR"/>
        </w:rPr>
        <w:t>Nagoya Protocol on Access and Benefit-sharing</w:t>
      </w:r>
      <w:r w:rsidRPr="00EE0850">
        <w:rPr>
          <w:i/>
          <w:kern w:val="22"/>
          <w:szCs w:val="22"/>
        </w:rPr>
        <w:t>,</w:t>
      </w:r>
    </w:p>
    <w:p w14:paraId="5DAC2EB7" w14:textId="77777777" w:rsidR="00DE347C" w:rsidRPr="00EE0850" w:rsidRDefault="00DE347C" w:rsidP="000C6220">
      <w:pPr>
        <w:shd w:val="clear" w:color="auto" w:fill="FFFFFF" w:themeFill="background1"/>
        <w:spacing w:before="120" w:line="240" w:lineRule="auto"/>
        <w:ind w:firstLine="720"/>
        <w:rPr>
          <w:kern w:val="22"/>
          <w:szCs w:val="22"/>
          <w:lang w:eastAsia="x-none"/>
        </w:rPr>
      </w:pPr>
      <w:r w:rsidRPr="00EE0850">
        <w:rPr>
          <w:i/>
          <w:kern w:val="22"/>
          <w:szCs w:val="22"/>
          <w:lang w:eastAsia="x-none"/>
        </w:rPr>
        <w:t xml:space="preserve">Recalling </w:t>
      </w:r>
      <w:r w:rsidRPr="00EE0850">
        <w:rPr>
          <w:kern w:val="22"/>
          <w:szCs w:val="22"/>
          <w:lang w:eastAsia="x-none"/>
        </w:rPr>
        <w:t xml:space="preserve">its decision </w:t>
      </w:r>
      <w:hyperlink r:id="rId19" w:history="1">
        <w:r w:rsidRPr="00EE0850">
          <w:rPr>
            <w:rStyle w:val="Hyperlink"/>
            <w:kern w:val="22"/>
            <w:sz w:val="22"/>
            <w:szCs w:val="22"/>
            <w:lang w:eastAsia="x-none"/>
          </w:rPr>
          <w:t>2/13</w:t>
        </w:r>
      </w:hyperlink>
      <w:r w:rsidRPr="00EE0850">
        <w:rPr>
          <w:kern w:val="22"/>
          <w:szCs w:val="22"/>
          <w:lang w:eastAsia="x-none"/>
        </w:rPr>
        <w:t xml:space="preserve">, and decision </w:t>
      </w:r>
      <w:hyperlink r:id="rId20" w:history="1">
        <w:r w:rsidRPr="00EE0850">
          <w:rPr>
            <w:rStyle w:val="Hyperlink"/>
            <w:kern w:val="22"/>
            <w:sz w:val="22"/>
            <w:szCs w:val="22"/>
            <w:lang w:eastAsia="x-none"/>
          </w:rPr>
          <w:t>XIII/32</w:t>
        </w:r>
      </w:hyperlink>
      <w:r w:rsidRPr="00EE0850">
        <w:rPr>
          <w:kern w:val="22"/>
          <w:szCs w:val="22"/>
          <w:lang w:eastAsia="x-none"/>
        </w:rPr>
        <w:t xml:space="preserve"> of the Conference of the Parties to the Convention on Biological Diversity, as well as decision VIII/7 of the Conference of the Parties serving as the meeting of the Parties to the Cartagena Protocol on Biosafety,</w:t>
      </w:r>
    </w:p>
    <w:p w14:paraId="3188FFB1" w14:textId="77777777" w:rsidR="00DE347C" w:rsidRPr="00EE0850" w:rsidRDefault="00DE347C" w:rsidP="000C6220">
      <w:pPr>
        <w:spacing w:before="120" w:line="240" w:lineRule="auto"/>
        <w:ind w:firstLine="720"/>
        <w:rPr>
          <w:color w:val="000000"/>
          <w:kern w:val="22"/>
          <w:szCs w:val="22"/>
          <w:lang w:eastAsia="x-none"/>
        </w:rPr>
      </w:pPr>
      <w:r w:rsidRPr="00EE0850">
        <w:rPr>
          <w:i/>
          <w:color w:val="000000"/>
          <w:kern w:val="22"/>
          <w:szCs w:val="22"/>
          <w:lang w:eastAsia="fr-FR"/>
        </w:rPr>
        <w:t xml:space="preserve">Also recalling </w:t>
      </w:r>
      <w:r w:rsidRPr="00EE0850">
        <w:rPr>
          <w:color w:val="000000"/>
          <w:kern w:val="22"/>
          <w:szCs w:val="22"/>
          <w:lang w:eastAsia="fr-FR"/>
        </w:rPr>
        <w:t xml:space="preserve">decision </w:t>
      </w:r>
      <w:hyperlink r:id="rId21" w:history="1">
        <w:r w:rsidRPr="00EE0850">
          <w:rPr>
            <w:rStyle w:val="Hyperlink"/>
            <w:kern w:val="22"/>
            <w:sz w:val="22"/>
            <w:szCs w:val="22"/>
            <w:lang w:eastAsia="fr-FR"/>
          </w:rPr>
          <w:t>III/1</w:t>
        </w:r>
      </w:hyperlink>
      <w:r w:rsidRPr="00EE0850">
        <w:rPr>
          <w:color w:val="000000"/>
          <w:kern w:val="22"/>
          <w:szCs w:val="22"/>
          <w:lang w:eastAsia="fr-FR"/>
        </w:rPr>
        <w:t>, which specifies that budget proposals should be circulated 90 days before meetings of the Conference of the Parties,</w:t>
      </w:r>
    </w:p>
    <w:p w14:paraId="6FC601A3" w14:textId="77777777" w:rsidR="00DE347C" w:rsidRPr="00EE0850" w:rsidRDefault="00DE347C" w:rsidP="000C6220">
      <w:pPr>
        <w:spacing w:before="120" w:line="240" w:lineRule="auto"/>
        <w:ind w:firstLine="720"/>
        <w:rPr>
          <w:color w:val="000000"/>
          <w:kern w:val="22"/>
          <w:szCs w:val="22"/>
          <w:lang w:eastAsia="x-none"/>
        </w:rPr>
      </w:pPr>
      <w:r w:rsidRPr="00EE0850">
        <w:rPr>
          <w:i/>
          <w:color w:val="000000"/>
          <w:kern w:val="22"/>
          <w:szCs w:val="22"/>
          <w:lang w:eastAsia="x-none"/>
        </w:rPr>
        <w:t xml:space="preserve">Further recalling </w:t>
      </w:r>
      <w:r w:rsidRPr="00EE0850">
        <w:rPr>
          <w:color w:val="000000"/>
          <w:kern w:val="22"/>
          <w:szCs w:val="22"/>
          <w:lang w:eastAsia="x-none"/>
        </w:rPr>
        <w:t xml:space="preserve">resolution </w:t>
      </w:r>
      <w:hyperlink r:id="rId22" w:history="1">
        <w:r w:rsidRPr="00EE0850">
          <w:rPr>
            <w:rStyle w:val="Hyperlink"/>
            <w:kern w:val="22"/>
            <w:sz w:val="22"/>
            <w:szCs w:val="22"/>
            <w:lang w:eastAsia="x-none"/>
          </w:rPr>
          <w:t>2/18</w:t>
        </w:r>
      </w:hyperlink>
      <w:r w:rsidRPr="00EE0850">
        <w:rPr>
          <w:i/>
          <w:color w:val="000000"/>
          <w:kern w:val="22"/>
          <w:szCs w:val="22"/>
          <w:lang w:eastAsia="x-none"/>
        </w:rPr>
        <w:t xml:space="preserve"> </w:t>
      </w:r>
      <w:r w:rsidRPr="00EE0850">
        <w:rPr>
          <w:color w:val="000000"/>
          <w:kern w:val="22"/>
          <w:szCs w:val="22"/>
          <w:lang w:eastAsia="x-none"/>
        </w:rPr>
        <w:t>of</w:t>
      </w:r>
      <w:r w:rsidRPr="00EE0850">
        <w:rPr>
          <w:i/>
          <w:color w:val="000000"/>
          <w:kern w:val="22"/>
          <w:szCs w:val="22"/>
          <w:lang w:eastAsia="x-none"/>
        </w:rPr>
        <w:t xml:space="preserve"> </w:t>
      </w:r>
      <w:r w:rsidRPr="00EE0850">
        <w:rPr>
          <w:color w:val="000000"/>
          <w:kern w:val="22"/>
          <w:szCs w:val="22"/>
          <w:lang w:eastAsia="x-none"/>
        </w:rPr>
        <w:t>the United Nations Environment Assembly on the relationship between the United Nations Environment Programme and the multilateral environmental agreements for which it provides the secretariats,</w:t>
      </w:r>
    </w:p>
    <w:p w14:paraId="1A39D057" w14:textId="77777777" w:rsidR="00DE347C" w:rsidRPr="00EE0850" w:rsidRDefault="00DE347C" w:rsidP="000C6220">
      <w:pPr>
        <w:shd w:val="clear" w:color="auto" w:fill="FFFFFF" w:themeFill="background1"/>
        <w:spacing w:before="120" w:line="240" w:lineRule="auto"/>
        <w:ind w:firstLine="720"/>
        <w:rPr>
          <w:iCs/>
          <w:kern w:val="22"/>
          <w:szCs w:val="22"/>
          <w:lang w:eastAsia="ko-KR"/>
        </w:rPr>
      </w:pPr>
      <w:r w:rsidRPr="00EE0850">
        <w:rPr>
          <w:iCs/>
          <w:kern w:val="22"/>
          <w:szCs w:val="22"/>
        </w:rPr>
        <w:t>1.</w:t>
      </w:r>
      <w:r w:rsidRPr="00EE0850">
        <w:rPr>
          <w:iCs/>
          <w:kern w:val="22"/>
          <w:szCs w:val="22"/>
          <w:lang w:eastAsia="ko-KR"/>
        </w:rPr>
        <w:tab/>
      </w:r>
      <w:r w:rsidRPr="00EE0850">
        <w:rPr>
          <w:i/>
          <w:iCs/>
          <w:kern w:val="22"/>
          <w:szCs w:val="22"/>
          <w:lang w:eastAsia="ko-KR"/>
        </w:rPr>
        <w:t xml:space="preserve">Decides </w:t>
      </w:r>
      <w:r w:rsidRPr="00EE0850">
        <w:rPr>
          <w:iCs/>
          <w:kern w:val="22"/>
          <w:szCs w:val="22"/>
          <w:lang w:eastAsia="ko-KR"/>
        </w:rPr>
        <w:t xml:space="preserve">to adopt an </w:t>
      </w:r>
      <w:r w:rsidRPr="00EE0850">
        <w:rPr>
          <w:iCs/>
          <w:snapToGrid w:val="0"/>
          <w:kern w:val="22"/>
          <w:szCs w:val="22"/>
          <w:lang w:eastAsia="ko-KR"/>
        </w:rPr>
        <w:t>integrated programme</w:t>
      </w:r>
      <w:r w:rsidRPr="00EE0850">
        <w:rPr>
          <w:iCs/>
          <w:kern w:val="22"/>
          <w:szCs w:val="22"/>
          <w:lang w:eastAsia="ko-KR"/>
        </w:rPr>
        <w:t xml:space="preserve"> of </w:t>
      </w:r>
      <w:r w:rsidRPr="00EE0850">
        <w:rPr>
          <w:iCs/>
          <w:snapToGrid w:val="0"/>
          <w:kern w:val="22"/>
          <w:szCs w:val="22"/>
          <w:lang w:eastAsia="ko-KR"/>
        </w:rPr>
        <w:t>work</w:t>
      </w:r>
      <w:r w:rsidRPr="00EE0850">
        <w:rPr>
          <w:iCs/>
          <w:kern w:val="22"/>
          <w:szCs w:val="22"/>
          <w:lang w:eastAsia="ko-KR"/>
        </w:rPr>
        <w:t xml:space="preserve"> and </w:t>
      </w:r>
      <w:r w:rsidRPr="00EE0850">
        <w:rPr>
          <w:iCs/>
          <w:snapToGrid w:val="0"/>
          <w:kern w:val="22"/>
          <w:szCs w:val="22"/>
          <w:lang w:eastAsia="ko-KR"/>
        </w:rPr>
        <w:t>budget</w:t>
      </w:r>
      <w:r w:rsidRPr="00EE0850">
        <w:rPr>
          <w:iCs/>
          <w:kern w:val="22"/>
          <w:szCs w:val="22"/>
          <w:lang w:eastAsia="ko-KR"/>
        </w:rPr>
        <w:t xml:space="preserve"> for the Convention on Biological Diversity, the Cartagena Protocol on Biosafety and the Nagoya Protocol on Access and Benefit-sharing;</w:t>
      </w:r>
    </w:p>
    <w:p w14:paraId="36FA527A" w14:textId="77777777" w:rsidR="00DE347C" w:rsidRPr="00EE0850" w:rsidRDefault="00DE347C" w:rsidP="000C6220">
      <w:pPr>
        <w:shd w:val="clear" w:color="auto" w:fill="FFFFFF" w:themeFill="background1"/>
        <w:spacing w:before="120" w:line="240" w:lineRule="auto"/>
        <w:ind w:firstLine="720"/>
        <w:rPr>
          <w:kern w:val="22"/>
          <w:szCs w:val="22"/>
          <w:lang w:eastAsia="x-none"/>
        </w:rPr>
      </w:pPr>
      <w:r w:rsidRPr="00EE0850">
        <w:rPr>
          <w:iCs/>
          <w:kern w:val="22"/>
          <w:szCs w:val="22"/>
        </w:rPr>
        <w:t>2.</w:t>
      </w:r>
      <w:r w:rsidRPr="00EE0850">
        <w:rPr>
          <w:b/>
          <w:bCs/>
          <w:i/>
          <w:iCs/>
          <w:kern w:val="22"/>
          <w:szCs w:val="22"/>
          <w:lang w:eastAsia="ko-KR"/>
        </w:rPr>
        <w:tab/>
      </w:r>
      <w:r w:rsidRPr="00EE0850">
        <w:rPr>
          <w:i/>
          <w:iCs/>
          <w:kern w:val="22"/>
          <w:szCs w:val="22"/>
          <w:lang w:eastAsia="ko-KR"/>
        </w:rPr>
        <w:t>Also decides</w:t>
      </w:r>
      <w:r w:rsidRPr="00EE0850">
        <w:rPr>
          <w:iCs/>
          <w:kern w:val="22"/>
          <w:szCs w:val="22"/>
          <w:lang w:eastAsia="x-none"/>
        </w:rPr>
        <w:t xml:space="preserve"> to share all costs for Secretariat services among the Convention, the Cartagena Protocol and the Nagoya Protocol on a ratio of</w:t>
      </w:r>
      <w:r w:rsidRPr="00EE0850">
        <w:rPr>
          <w:iCs/>
          <w:snapToGrid w:val="0"/>
          <w:kern w:val="22"/>
          <w:szCs w:val="22"/>
          <w:lang w:eastAsia="x-none"/>
        </w:rPr>
        <w:t xml:space="preserve"> </w:t>
      </w:r>
      <w:r w:rsidRPr="00EE0850">
        <w:rPr>
          <w:iCs/>
          <w:kern w:val="22"/>
          <w:szCs w:val="22"/>
          <w:lang w:eastAsia="x-none"/>
        </w:rPr>
        <w:t>74/15/11 for the biennium 2019-2020;</w:t>
      </w:r>
    </w:p>
    <w:p w14:paraId="3C3AE6FD" w14:textId="77777777" w:rsidR="00DE347C" w:rsidRPr="00EE0850" w:rsidRDefault="00DE347C" w:rsidP="000C6220">
      <w:pPr>
        <w:shd w:val="clear" w:color="auto" w:fill="FFFFFF" w:themeFill="background1"/>
        <w:spacing w:before="120" w:line="240" w:lineRule="auto"/>
        <w:ind w:firstLine="720"/>
        <w:rPr>
          <w:iCs/>
          <w:kern w:val="22"/>
          <w:szCs w:val="22"/>
          <w:lang w:eastAsia="x-none"/>
        </w:rPr>
      </w:pPr>
      <w:r w:rsidRPr="00EE0850">
        <w:rPr>
          <w:iCs/>
          <w:kern w:val="22"/>
          <w:szCs w:val="22"/>
          <w:lang w:eastAsia="x-none"/>
        </w:rPr>
        <w:t>3.</w:t>
      </w:r>
      <w:r w:rsidRPr="00EE0850">
        <w:rPr>
          <w:iCs/>
          <w:kern w:val="22"/>
          <w:szCs w:val="22"/>
          <w:lang w:eastAsia="x-none"/>
        </w:rPr>
        <w:tab/>
      </w:r>
      <w:r w:rsidRPr="00EE0850">
        <w:rPr>
          <w:i/>
          <w:iCs/>
          <w:kern w:val="22"/>
          <w:szCs w:val="22"/>
          <w:lang w:eastAsia="x-none"/>
        </w:rPr>
        <w:t>Approves</w:t>
      </w:r>
      <w:r w:rsidRPr="00EE0850">
        <w:rPr>
          <w:iCs/>
          <w:kern w:val="22"/>
          <w:szCs w:val="22"/>
          <w:lang w:eastAsia="x-none"/>
        </w:rPr>
        <w:t xml:space="preserve"> a core (BB) programme budget for the Nagoya Protocol on Access and Benefit Sharing of 2,084,400 United States dollars for the year 2019 and of 2,188,500 United States dollars for the year 2020, representing 11</w:t>
      </w:r>
      <w:r w:rsidRPr="00EE0850">
        <w:rPr>
          <w:kern w:val="22"/>
          <w:szCs w:val="22"/>
        </w:rPr>
        <w:t> per cent</w:t>
      </w:r>
      <w:r w:rsidRPr="00EE0850">
        <w:rPr>
          <w:iCs/>
          <w:kern w:val="22"/>
          <w:szCs w:val="22"/>
          <w:lang w:eastAsia="x-none"/>
        </w:rPr>
        <w:t xml:space="preserve"> of the integrated budget of 18,948,900 United States dollars</w:t>
      </w:r>
      <w:r w:rsidRPr="00EE0850" w:rsidDel="00823269">
        <w:rPr>
          <w:iCs/>
          <w:kern w:val="22"/>
          <w:szCs w:val="22"/>
          <w:lang w:eastAsia="x-none"/>
        </w:rPr>
        <w:t xml:space="preserve"> </w:t>
      </w:r>
      <w:r w:rsidRPr="00EE0850">
        <w:rPr>
          <w:iCs/>
          <w:kern w:val="22"/>
          <w:szCs w:val="22"/>
          <w:lang w:eastAsia="x-none"/>
        </w:rPr>
        <w:t>for the year 2019 and 19,895,200 United States dollars</w:t>
      </w:r>
      <w:r w:rsidRPr="00EE0850" w:rsidDel="00823269">
        <w:rPr>
          <w:iCs/>
          <w:kern w:val="22"/>
          <w:szCs w:val="22"/>
          <w:lang w:eastAsia="x-none"/>
        </w:rPr>
        <w:t xml:space="preserve"> </w:t>
      </w:r>
      <w:r w:rsidRPr="00EE0850">
        <w:rPr>
          <w:iCs/>
          <w:kern w:val="22"/>
          <w:szCs w:val="22"/>
          <w:lang w:eastAsia="x-none"/>
        </w:rPr>
        <w:t>for the year 2020 for the Convention and the Protocols, for the purposes listed in tables 1a and 1b below;</w:t>
      </w:r>
    </w:p>
    <w:p w14:paraId="3ABC5B7E" w14:textId="77777777" w:rsidR="00DE347C" w:rsidRPr="00EE0850" w:rsidRDefault="00DE347C" w:rsidP="000C6220">
      <w:pPr>
        <w:shd w:val="clear" w:color="auto" w:fill="FFFFFF" w:themeFill="background1"/>
        <w:spacing w:before="120" w:line="240" w:lineRule="auto"/>
        <w:ind w:firstLine="720"/>
        <w:rPr>
          <w:iCs/>
          <w:kern w:val="22"/>
          <w:szCs w:val="22"/>
          <w:lang w:eastAsia="x-none"/>
        </w:rPr>
      </w:pPr>
      <w:r w:rsidRPr="00EE0850">
        <w:rPr>
          <w:iCs/>
          <w:kern w:val="22"/>
          <w:szCs w:val="22"/>
          <w:lang w:eastAsia="x-none"/>
        </w:rPr>
        <w:t>4.</w:t>
      </w:r>
      <w:r w:rsidRPr="00EE0850">
        <w:rPr>
          <w:iCs/>
          <w:kern w:val="22"/>
          <w:szCs w:val="22"/>
          <w:lang w:eastAsia="x-none"/>
        </w:rPr>
        <w:tab/>
      </w:r>
      <w:r w:rsidRPr="00EE0850">
        <w:rPr>
          <w:i/>
          <w:iCs/>
          <w:kern w:val="22"/>
          <w:szCs w:val="22"/>
          <w:lang w:eastAsia="x-none"/>
        </w:rPr>
        <w:t>Adopts</w:t>
      </w:r>
      <w:r w:rsidRPr="00EE0850">
        <w:rPr>
          <w:iCs/>
          <w:kern w:val="22"/>
          <w:szCs w:val="22"/>
          <w:lang w:eastAsia="x-none"/>
        </w:rPr>
        <w:t xml:space="preserve"> the scale of assessments for the apportionment of expenses for 2019 and 2020 as contained in table 2 below;</w:t>
      </w:r>
      <w:r w:rsidRPr="00EE0850">
        <w:rPr>
          <w:rStyle w:val="FootnoteReference"/>
          <w:iCs/>
          <w:kern w:val="22"/>
          <w:sz w:val="22"/>
          <w:szCs w:val="22"/>
          <w:u w:val="none"/>
          <w:vertAlign w:val="superscript"/>
          <w:lang w:eastAsia="x-none"/>
        </w:rPr>
        <w:footnoteReference w:id="27"/>
      </w:r>
    </w:p>
    <w:p w14:paraId="670EB39B" w14:textId="77777777" w:rsidR="00DE347C" w:rsidRPr="00EE0850" w:rsidRDefault="00DE347C" w:rsidP="000C6220">
      <w:pPr>
        <w:shd w:val="clear" w:color="auto" w:fill="FFFFFF" w:themeFill="background1"/>
        <w:spacing w:before="120" w:line="240" w:lineRule="auto"/>
        <w:ind w:firstLine="720"/>
        <w:rPr>
          <w:iCs/>
          <w:kern w:val="22"/>
          <w:szCs w:val="22"/>
          <w:lang w:eastAsia="x-none"/>
        </w:rPr>
      </w:pPr>
      <w:r w:rsidRPr="00EE0850">
        <w:rPr>
          <w:iCs/>
          <w:kern w:val="22"/>
          <w:szCs w:val="22"/>
          <w:lang w:eastAsia="x-none"/>
        </w:rPr>
        <w:t>5.</w:t>
      </w:r>
      <w:r w:rsidRPr="00EE0850">
        <w:rPr>
          <w:iCs/>
          <w:kern w:val="22"/>
          <w:szCs w:val="22"/>
          <w:lang w:eastAsia="x-none"/>
        </w:rPr>
        <w:tab/>
      </w:r>
      <w:r w:rsidRPr="00EE0850">
        <w:rPr>
          <w:i/>
          <w:iCs/>
          <w:kern w:val="22"/>
          <w:szCs w:val="22"/>
          <w:lang w:eastAsia="x-none"/>
        </w:rPr>
        <w:t>Authorizes</w:t>
      </w:r>
      <w:r w:rsidRPr="00EE0850">
        <w:rPr>
          <w:iCs/>
          <w:kern w:val="22"/>
          <w:szCs w:val="22"/>
          <w:lang w:eastAsia="x-none"/>
        </w:rPr>
        <w:t xml:space="preserve"> the Executive Secretary on an exceptional basis to amend the 2019 scale of assessments to include all Parties for which the Nagoya Protocol enters into force on or before 31 December 2018;</w:t>
      </w:r>
    </w:p>
    <w:p w14:paraId="3A0D4269" w14:textId="77777777" w:rsidR="00DE347C" w:rsidRPr="00EE0850" w:rsidRDefault="00DE347C" w:rsidP="000C6220">
      <w:pPr>
        <w:shd w:val="clear" w:color="auto" w:fill="FFFFFF" w:themeFill="background1"/>
        <w:spacing w:before="120" w:line="240" w:lineRule="auto"/>
        <w:ind w:firstLine="720"/>
        <w:rPr>
          <w:iCs/>
          <w:snapToGrid w:val="0"/>
          <w:kern w:val="22"/>
          <w:szCs w:val="22"/>
          <w:lang w:eastAsia="x-none"/>
        </w:rPr>
      </w:pPr>
      <w:r w:rsidRPr="00EE0850">
        <w:rPr>
          <w:iCs/>
          <w:snapToGrid w:val="0"/>
          <w:kern w:val="22"/>
          <w:szCs w:val="22"/>
          <w:lang w:eastAsia="x-none"/>
        </w:rPr>
        <w:t>6.</w:t>
      </w:r>
      <w:r w:rsidRPr="00EE0850">
        <w:rPr>
          <w:iCs/>
          <w:snapToGrid w:val="0"/>
          <w:kern w:val="22"/>
          <w:szCs w:val="22"/>
          <w:lang w:eastAsia="x-none"/>
        </w:rPr>
        <w:tab/>
      </w:r>
      <w:r w:rsidRPr="00EE0850">
        <w:rPr>
          <w:i/>
          <w:iCs/>
          <w:kern w:val="22"/>
          <w:szCs w:val="22"/>
          <w:lang w:eastAsia="x-none"/>
        </w:rPr>
        <w:t>Acknowledges</w:t>
      </w:r>
      <w:r w:rsidRPr="00EE0850">
        <w:rPr>
          <w:iCs/>
          <w:kern w:val="22"/>
          <w:szCs w:val="22"/>
          <w:lang w:eastAsia="x-none"/>
        </w:rPr>
        <w:t xml:space="preserve"> the funding estimates for </w:t>
      </w:r>
      <w:r w:rsidRPr="00EE0850">
        <w:rPr>
          <w:iCs/>
          <w:snapToGrid w:val="0"/>
          <w:kern w:val="22"/>
          <w:szCs w:val="22"/>
          <w:lang w:eastAsia="x-none"/>
        </w:rPr>
        <w:t xml:space="preserve">the </w:t>
      </w:r>
      <w:r w:rsidRPr="00EE0850">
        <w:rPr>
          <w:iCs/>
          <w:kern w:val="22"/>
          <w:szCs w:val="22"/>
          <w:lang w:eastAsia="x-none"/>
        </w:rPr>
        <w:t>Additional Voluntary Contributions in Support of Approved Activities of the Nagoya Protocol on Access and Benefit Sharing for the period 2019-2020 included in table 3 of decision 14/37 of the Conference of the Parties;</w:t>
      </w:r>
    </w:p>
    <w:p w14:paraId="4EA4AA6B" w14:textId="621A65E9" w:rsidR="00DE347C" w:rsidRPr="00EE0850" w:rsidRDefault="00DE347C" w:rsidP="000C6220">
      <w:pPr>
        <w:shd w:val="clear" w:color="auto" w:fill="FFFFFF" w:themeFill="background1"/>
        <w:spacing w:before="120" w:line="240" w:lineRule="auto"/>
        <w:ind w:firstLine="720"/>
        <w:rPr>
          <w:kern w:val="22"/>
        </w:rPr>
      </w:pPr>
      <w:r w:rsidRPr="00EE0850">
        <w:rPr>
          <w:iCs/>
          <w:kern w:val="22"/>
          <w:szCs w:val="22"/>
          <w:lang w:eastAsia="x-none"/>
        </w:rPr>
        <w:t>7.</w:t>
      </w:r>
      <w:r w:rsidRPr="00EE0850">
        <w:rPr>
          <w:iCs/>
          <w:kern w:val="22"/>
          <w:szCs w:val="22"/>
          <w:lang w:eastAsia="x-none"/>
        </w:rPr>
        <w:tab/>
      </w:r>
      <w:r w:rsidRPr="00EE0850">
        <w:rPr>
          <w:i/>
          <w:iCs/>
          <w:kern w:val="22"/>
          <w:szCs w:val="22"/>
          <w:lang w:eastAsia="x-none"/>
        </w:rPr>
        <w:t>Decides</w:t>
      </w:r>
      <w:r w:rsidRPr="00EE0850">
        <w:rPr>
          <w:iCs/>
          <w:kern w:val="22"/>
          <w:szCs w:val="22"/>
          <w:lang w:eastAsia="x-none"/>
        </w:rPr>
        <w:t xml:space="preserve"> to apply, </w:t>
      </w:r>
      <w:r w:rsidRPr="00EE0850">
        <w:rPr>
          <w:iCs/>
          <w:kern w:val="22"/>
          <w:szCs w:val="22"/>
        </w:rPr>
        <w:t>mutatis mutandis</w:t>
      </w:r>
      <w:r w:rsidRPr="00EE0850">
        <w:rPr>
          <w:iCs/>
          <w:kern w:val="22"/>
          <w:szCs w:val="22"/>
          <w:lang w:eastAsia="x-none"/>
        </w:rPr>
        <w:t>, paragraphs 3 to 5 and 7 to 50 of decision 14/37 of the Conference of the Parties</w:t>
      </w:r>
      <w:r w:rsidRPr="00EE0850">
        <w:rPr>
          <w:iCs/>
          <w:snapToGrid w:val="0"/>
          <w:kern w:val="22"/>
          <w:szCs w:val="22"/>
          <w:lang w:eastAsia="x-none"/>
        </w:rPr>
        <w:t>.</w:t>
      </w:r>
    </w:p>
    <w:p w14:paraId="1E2A9D98" w14:textId="77777777" w:rsidR="00DE347C" w:rsidRPr="00EE0850" w:rsidRDefault="00DE347C" w:rsidP="000C6220">
      <w:pPr>
        <w:spacing w:before="120" w:line="240" w:lineRule="auto"/>
        <w:jc w:val="left"/>
        <w:rPr>
          <w:kern w:val="22"/>
        </w:rPr>
      </w:pPr>
      <w:r w:rsidRPr="00EE0850">
        <w:rPr>
          <w:kern w:val="22"/>
        </w:rPr>
        <w:br w:type="page"/>
      </w:r>
    </w:p>
    <w:p w14:paraId="63EC9813" w14:textId="77777777" w:rsidR="00DE347C" w:rsidRPr="00EE0850" w:rsidRDefault="00DE347C" w:rsidP="000C6220">
      <w:pPr>
        <w:keepNext/>
        <w:spacing w:before="120" w:line="240" w:lineRule="auto"/>
        <w:ind w:left="990" w:hanging="990"/>
        <w:rPr>
          <w:b/>
          <w:bCs/>
          <w:snapToGrid w:val="0"/>
          <w:kern w:val="22"/>
        </w:rPr>
      </w:pPr>
      <w:r w:rsidRPr="00EE0850">
        <w:rPr>
          <w:b/>
          <w:bCs/>
          <w:snapToGrid w:val="0"/>
          <w:kern w:val="22"/>
        </w:rPr>
        <w:t>Table 1a.</w:t>
      </w:r>
      <w:r w:rsidRPr="00EE0850">
        <w:rPr>
          <w:b/>
          <w:bCs/>
          <w:snapToGrid w:val="0"/>
          <w:kern w:val="22"/>
        </w:rPr>
        <w:tab/>
        <w:t>Integrated biennium budget for the Trust Funds of the Convention on Biological Diversity and its Protocols 2019-2020</w:t>
      </w:r>
    </w:p>
    <w:p w14:paraId="0692F22A" w14:textId="77777777" w:rsidR="00DE347C" w:rsidRPr="00EE0850" w:rsidRDefault="00DE347C" w:rsidP="000C6220">
      <w:pPr>
        <w:spacing w:after="0" w:line="240" w:lineRule="auto"/>
        <w:jc w:val="left"/>
        <w:rPr>
          <w:kern w:val="22"/>
        </w:rPr>
      </w:pPr>
    </w:p>
    <w:tbl>
      <w:tblPr>
        <w:tblW w:w="9120" w:type="dxa"/>
        <w:tblInd w:w="93" w:type="dxa"/>
        <w:tblLook w:val="04A0" w:firstRow="1" w:lastRow="0" w:firstColumn="1" w:lastColumn="0" w:noHBand="0" w:noVBand="1"/>
      </w:tblPr>
      <w:tblGrid>
        <w:gridCol w:w="4520"/>
        <w:gridCol w:w="1360"/>
        <w:gridCol w:w="1600"/>
        <w:gridCol w:w="1640"/>
      </w:tblGrid>
      <w:tr w:rsidR="00AB0DE7" w:rsidRPr="00EE0850" w14:paraId="22758E83" w14:textId="77777777" w:rsidTr="00DE347C">
        <w:trPr>
          <w:trHeight w:val="411"/>
        </w:trPr>
        <w:tc>
          <w:tcPr>
            <w:tcW w:w="4520" w:type="dxa"/>
            <w:vMerge w:val="restart"/>
            <w:tcBorders>
              <w:top w:val="single" w:sz="8" w:space="0" w:color="auto"/>
              <w:left w:val="nil"/>
              <w:bottom w:val="single" w:sz="12" w:space="0" w:color="000000"/>
              <w:right w:val="nil"/>
            </w:tcBorders>
            <w:shd w:val="clear" w:color="auto" w:fill="auto"/>
            <w:vAlign w:val="center"/>
            <w:hideMark/>
          </w:tcPr>
          <w:p w14:paraId="4E60DFE4" w14:textId="77777777" w:rsidR="00DE347C" w:rsidRPr="00EE0850" w:rsidRDefault="00DE347C" w:rsidP="000C6220">
            <w:pPr>
              <w:spacing w:after="0" w:line="240" w:lineRule="auto"/>
              <w:jc w:val="left"/>
              <w:rPr>
                <w:i/>
                <w:iCs/>
                <w:color w:val="000000"/>
                <w:kern w:val="22"/>
                <w:sz w:val="15"/>
                <w:szCs w:val="15"/>
                <w:lang w:eastAsia="en-CA"/>
              </w:rPr>
            </w:pPr>
          </w:p>
        </w:tc>
        <w:tc>
          <w:tcPr>
            <w:tcW w:w="1360" w:type="dxa"/>
            <w:vMerge w:val="restart"/>
            <w:tcBorders>
              <w:top w:val="single" w:sz="8" w:space="0" w:color="auto"/>
              <w:left w:val="nil"/>
              <w:bottom w:val="single" w:sz="12" w:space="0" w:color="000000"/>
              <w:right w:val="nil"/>
            </w:tcBorders>
            <w:shd w:val="clear" w:color="auto" w:fill="auto"/>
            <w:vAlign w:val="center"/>
            <w:hideMark/>
          </w:tcPr>
          <w:p w14:paraId="757A153A" w14:textId="77777777" w:rsidR="00DE347C" w:rsidRPr="00EE0850" w:rsidRDefault="00DE347C" w:rsidP="000C6220">
            <w:pPr>
              <w:spacing w:after="0" w:line="240" w:lineRule="auto"/>
              <w:jc w:val="center"/>
              <w:rPr>
                <w:i/>
                <w:iCs/>
                <w:color w:val="000000"/>
                <w:kern w:val="22"/>
                <w:sz w:val="15"/>
                <w:szCs w:val="15"/>
                <w:lang w:eastAsia="en-CA"/>
              </w:rPr>
            </w:pPr>
            <w:r w:rsidRPr="00EE0850">
              <w:rPr>
                <w:i/>
                <w:iCs/>
                <w:color w:val="000000"/>
                <w:kern w:val="22"/>
                <w:sz w:val="15"/>
                <w:szCs w:val="15"/>
                <w:lang w:eastAsia="en-CA"/>
              </w:rPr>
              <w:t>2019</w:t>
            </w:r>
            <w:r w:rsidRPr="00EE0850">
              <w:rPr>
                <w:i/>
                <w:iCs/>
                <w:color w:val="000000"/>
                <w:kern w:val="22"/>
                <w:sz w:val="15"/>
                <w:szCs w:val="15"/>
                <w:lang w:eastAsia="en-CA"/>
              </w:rPr>
              <w:br/>
              <w:t>(Thousands of United States dollars)</w:t>
            </w:r>
          </w:p>
        </w:tc>
        <w:tc>
          <w:tcPr>
            <w:tcW w:w="1600" w:type="dxa"/>
            <w:vMerge w:val="restart"/>
            <w:tcBorders>
              <w:top w:val="single" w:sz="8" w:space="0" w:color="auto"/>
              <w:left w:val="nil"/>
              <w:bottom w:val="single" w:sz="12" w:space="0" w:color="000000"/>
              <w:right w:val="nil"/>
            </w:tcBorders>
            <w:shd w:val="clear" w:color="auto" w:fill="auto"/>
            <w:vAlign w:val="center"/>
            <w:hideMark/>
          </w:tcPr>
          <w:p w14:paraId="678D4562" w14:textId="77777777" w:rsidR="00DE347C" w:rsidRPr="00EE0850" w:rsidRDefault="00DE347C" w:rsidP="000C6220">
            <w:pPr>
              <w:spacing w:after="0" w:line="240" w:lineRule="auto"/>
              <w:jc w:val="center"/>
              <w:rPr>
                <w:i/>
                <w:iCs/>
                <w:color w:val="000000"/>
                <w:kern w:val="22"/>
                <w:sz w:val="15"/>
                <w:szCs w:val="15"/>
                <w:lang w:eastAsia="en-CA"/>
              </w:rPr>
            </w:pPr>
            <w:r w:rsidRPr="00EE0850">
              <w:rPr>
                <w:i/>
                <w:iCs/>
                <w:color w:val="000000"/>
                <w:kern w:val="22"/>
                <w:sz w:val="15"/>
                <w:szCs w:val="15"/>
                <w:lang w:eastAsia="en-CA"/>
              </w:rPr>
              <w:t>2020</w:t>
            </w:r>
            <w:r w:rsidRPr="00EE0850">
              <w:rPr>
                <w:i/>
                <w:iCs/>
                <w:color w:val="000000"/>
                <w:kern w:val="22"/>
                <w:sz w:val="15"/>
                <w:szCs w:val="15"/>
                <w:lang w:eastAsia="en-CA"/>
              </w:rPr>
              <w:br/>
              <w:t>(Thousands of United States dollars)</w:t>
            </w:r>
          </w:p>
        </w:tc>
        <w:tc>
          <w:tcPr>
            <w:tcW w:w="1640" w:type="dxa"/>
            <w:vMerge w:val="restart"/>
            <w:tcBorders>
              <w:top w:val="single" w:sz="8" w:space="0" w:color="auto"/>
              <w:left w:val="nil"/>
              <w:bottom w:val="single" w:sz="12" w:space="0" w:color="000000"/>
              <w:right w:val="nil"/>
            </w:tcBorders>
            <w:shd w:val="clear" w:color="auto" w:fill="auto"/>
            <w:vAlign w:val="center"/>
            <w:hideMark/>
          </w:tcPr>
          <w:p w14:paraId="31ABAF6C" w14:textId="77777777" w:rsidR="00DE347C" w:rsidRPr="00EE0850" w:rsidRDefault="00DE347C" w:rsidP="000C6220">
            <w:pPr>
              <w:spacing w:after="0" w:line="240" w:lineRule="auto"/>
              <w:jc w:val="center"/>
              <w:rPr>
                <w:i/>
                <w:iCs/>
                <w:color w:val="000000"/>
                <w:kern w:val="22"/>
                <w:sz w:val="15"/>
                <w:szCs w:val="15"/>
                <w:lang w:eastAsia="en-CA"/>
              </w:rPr>
            </w:pPr>
            <w:r w:rsidRPr="00EE0850">
              <w:rPr>
                <w:i/>
                <w:iCs/>
                <w:color w:val="000000"/>
                <w:kern w:val="22"/>
                <w:sz w:val="15"/>
                <w:szCs w:val="15"/>
                <w:lang w:eastAsia="en-CA"/>
              </w:rPr>
              <w:t>Total</w:t>
            </w:r>
            <w:r w:rsidRPr="00EE0850">
              <w:rPr>
                <w:i/>
                <w:iCs/>
                <w:color w:val="000000"/>
                <w:kern w:val="22"/>
                <w:sz w:val="15"/>
                <w:szCs w:val="15"/>
                <w:lang w:eastAsia="en-CA"/>
              </w:rPr>
              <w:br/>
              <w:t>(Thousands of United States dollars)</w:t>
            </w:r>
          </w:p>
        </w:tc>
      </w:tr>
      <w:tr w:rsidR="00AB0DE7" w:rsidRPr="00EE0850" w14:paraId="5A781887" w14:textId="77777777" w:rsidTr="00DE347C">
        <w:trPr>
          <w:trHeight w:val="411"/>
        </w:trPr>
        <w:tc>
          <w:tcPr>
            <w:tcW w:w="4520" w:type="dxa"/>
            <w:vMerge/>
            <w:tcBorders>
              <w:top w:val="single" w:sz="8" w:space="0" w:color="auto"/>
              <w:left w:val="nil"/>
              <w:bottom w:val="single" w:sz="12" w:space="0" w:color="000000"/>
              <w:right w:val="nil"/>
            </w:tcBorders>
            <w:vAlign w:val="center"/>
            <w:hideMark/>
          </w:tcPr>
          <w:p w14:paraId="12E90DFC" w14:textId="77777777" w:rsidR="00DE347C" w:rsidRPr="00EE0850" w:rsidRDefault="00DE347C" w:rsidP="000C6220">
            <w:pPr>
              <w:spacing w:after="0" w:line="240" w:lineRule="auto"/>
              <w:jc w:val="left"/>
              <w:rPr>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11CA4096" w14:textId="77777777" w:rsidR="00DE347C" w:rsidRPr="00EE0850" w:rsidRDefault="00DE347C" w:rsidP="000C6220">
            <w:pPr>
              <w:spacing w:after="0" w:line="240" w:lineRule="auto"/>
              <w:jc w:val="left"/>
              <w:rPr>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171C6B46" w14:textId="77777777" w:rsidR="00DE347C" w:rsidRPr="00EE0850" w:rsidRDefault="00DE347C" w:rsidP="000C6220">
            <w:pPr>
              <w:spacing w:after="0" w:line="240" w:lineRule="auto"/>
              <w:jc w:val="left"/>
              <w:rPr>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384C196C" w14:textId="77777777" w:rsidR="00DE347C" w:rsidRPr="00EE0850" w:rsidRDefault="00DE347C" w:rsidP="000C6220">
            <w:pPr>
              <w:spacing w:after="0" w:line="240" w:lineRule="auto"/>
              <w:jc w:val="left"/>
              <w:rPr>
                <w:i/>
                <w:iCs/>
                <w:color w:val="000000"/>
                <w:kern w:val="22"/>
                <w:sz w:val="15"/>
                <w:szCs w:val="15"/>
                <w:lang w:eastAsia="en-CA"/>
              </w:rPr>
            </w:pPr>
          </w:p>
        </w:tc>
      </w:tr>
      <w:tr w:rsidR="00AB0DE7" w:rsidRPr="00EE0850" w14:paraId="2B062943" w14:textId="77777777" w:rsidTr="00DE347C">
        <w:trPr>
          <w:trHeight w:val="411"/>
        </w:trPr>
        <w:tc>
          <w:tcPr>
            <w:tcW w:w="4520" w:type="dxa"/>
            <w:vMerge/>
            <w:tcBorders>
              <w:top w:val="single" w:sz="8" w:space="0" w:color="auto"/>
              <w:left w:val="nil"/>
              <w:bottom w:val="single" w:sz="12" w:space="0" w:color="000000"/>
              <w:right w:val="nil"/>
            </w:tcBorders>
            <w:vAlign w:val="center"/>
            <w:hideMark/>
          </w:tcPr>
          <w:p w14:paraId="4C51DA25" w14:textId="77777777" w:rsidR="00DE347C" w:rsidRPr="00EE0850" w:rsidRDefault="00DE347C" w:rsidP="000C6220">
            <w:pPr>
              <w:spacing w:after="0" w:line="240" w:lineRule="auto"/>
              <w:jc w:val="left"/>
              <w:rPr>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7B2A94E1" w14:textId="77777777" w:rsidR="00DE347C" w:rsidRPr="00EE0850" w:rsidRDefault="00DE347C" w:rsidP="000C6220">
            <w:pPr>
              <w:spacing w:after="0" w:line="240" w:lineRule="auto"/>
              <w:jc w:val="left"/>
              <w:rPr>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2B9E7AF8" w14:textId="77777777" w:rsidR="00DE347C" w:rsidRPr="00EE0850" w:rsidRDefault="00DE347C" w:rsidP="000C6220">
            <w:pPr>
              <w:spacing w:after="0" w:line="240" w:lineRule="auto"/>
              <w:jc w:val="left"/>
              <w:rPr>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79E0400D" w14:textId="77777777" w:rsidR="00DE347C" w:rsidRPr="00EE0850" w:rsidRDefault="00DE347C" w:rsidP="000C6220">
            <w:pPr>
              <w:spacing w:after="0" w:line="240" w:lineRule="auto"/>
              <w:jc w:val="left"/>
              <w:rPr>
                <w:i/>
                <w:iCs/>
                <w:color w:val="000000"/>
                <w:kern w:val="22"/>
                <w:sz w:val="15"/>
                <w:szCs w:val="15"/>
                <w:lang w:eastAsia="en-CA"/>
              </w:rPr>
            </w:pPr>
          </w:p>
        </w:tc>
      </w:tr>
      <w:tr w:rsidR="00DE347C" w:rsidRPr="00EE0850" w14:paraId="1B4F1E39" w14:textId="77777777" w:rsidTr="00DE347C">
        <w:trPr>
          <w:trHeight w:val="300"/>
        </w:trPr>
        <w:tc>
          <w:tcPr>
            <w:tcW w:w="4520" w:type="dxa"/>
            <w:tcBorders>
              <w:top w:val="nil"/>
              <w:left w:val="nil"/>
              <w:bottom w:val="nil"/>
              <w:right w:val="nil"/>
            </w:tcBorders>
            <w:shd w:val="clear" w:color="auto" w:fill="auto"/>
            <w:vAlign w:val="center"/>
            <w:hideMark/>
          </w:tcPr>
          <w:p w14:paraId="2669B09B" w14:textId="77777777" w:rsidR="00DE347C" w:rsidRPr="00EE0850" w:rsidRDefault="00DE347C" w:rsidP="000C6220">
            <w:pPr>
              <w:spacing w:after="0" w:line="240" w:lineRule="auto"/>
              <w:jc w:val="left"/>
              <w:rPr>
                <w:color w:val="000000"/>
                <w:kern w:val="22"/>
                <w:sz w:val="17"/>
                <w:szCs w:val="17"/>
                <w:lang w:eastAsia="en-CA"/>
              </w:rPr>
            </w:pPr>
          </w:p>
        </w:tc>
        <w:tc>
          <w:tcPr>
            <w:tcW w:w="1360" w:type="dxa"/>
            <w:tcBorders>
              <w:top w:val="nil"/>
              <w:left w:val="nil"/>
              <w:bottom w:val="nil"/>
              <w:right w:val="nil"/>
            </w:tcBorders>
            <w:shd w:val="clear" w:color="auto" w:fill="auto"/>
            <w:vAlign w:val="center"/>
            <w:hideMark/>
          </w:tcPr>
          <w:p w14:paraId="3FA8E5CD" w14:textId="77777777" w:rsidR="00DE347C" w:rsidRPr="00EE0850" w:rsidRDefault="00DE347C" w:rsidP="000C6220">
            <w:pPr>
              <w:spacing w:after="0" w:line="240" w:lineRule="auto"/>
              <w:jc w:val="left"/>
              <w:rPr>
                <w:color w:val="000000"/>
                <w:kern w:val="22"/>
                <w:sz w:val="17"/>
                <w:szCs w:val="17"/>
                <w:lang w:eastAsia="en-CA"/>
              </w:rPr>
            </w:pPr>
          </w:p>
        </w:tc>
        <w:tc>
          <w:tcPr>
            <w:tcW w:w="1600" w:type="dxa"/>
            <w:tcBorders>
              <w:top w:val="nil"/>
              <w:left w:val="nil"/>
              <w:bottom w:val="nil"/>
              <w:right w:val="nil"/>
            </w:tcBorders>
            <w:shd w:val="clear" w:color="auto" w:fill="auto"/>
            <w:vAlign w:val="center"/>
            <w:hideMark/>
          </w:tcPr>
          <w:p w14:paraId="4D84CBDA" w14:textId="77777777" w:rsidR="00DE347C" w:rsidRPr="00EE0850" w:rsidRDefault="00DE347C" w:rsidP="000C6220">
            <w:pPr>
              <w:spacing w:after="0" w:line="240" w:lineRule="auto"/>
              <w:jc w:val="right"/>
              <w:rPr>
                <w:color w:val="000000"/>
                <w:kern w:val="22"/>
                <w:sz w:val="17"/>
                <w:szCs w:val="17"/>
                <w:lang w:eastAsia="en-CA"/>
              </w:rPr>
            </w:pPr>
          </w:p>
        </w:tc>
        <w:tc>
          <w:tcPr>
            <w:tcW w:w="1640" w:type="dxa"/>
            <w:tcBorders>
              <w:top w:val="nil"/>
              <w:left w:val="nil"/>
              <w:bottom w:val="nil"/>
              <w:right w:val="nil"/>
            </w:tcBorders>
            <w:shd w:val="clear" w:color="auto" w:fill="auto"/>
            <w:vAlign w:val="center"/>
            <w:hideMark/>
          </w:tcPr>
          <w:p w14:paraId="7A8D56FD" w14:textId="77777777" w:rsidR="00DE347C" w:rsidRPr="00EE0850" w:rsidRDefault="00DE347C" w:rsidP="000C6220">
            <w:pPr>
              <w:spacing w:after="0" w:line="240" w:lineRule="auto"/>
              <w:jc w:val="right"/>
              <w:rPr>
                <w:color w:val="000000"/>
                <w:kern w:val="22"/>
                <w:sz w:val="17"/>
                <w:szCs w:val="17"/>
                <w:lang w:eastAsia="en-CA"/>
              </w:rPr>
            </w:pPr>
          </w:p>
        </w:tc>
      </w:tr>
      <w:tr w:rsidR="00DE347C" w:rsidRPr="00EE0850" w14:paraId="19B5BB93" w14:textId="77777777" w:rsidTr="00DE347C">
        <w:trPr>
          <w:trHeight w:val="288"/>
        </w:trPr>
        <w:tc>
          <w:tcPr>
            <w:tcW w:w="4520" w:type="dxa"/>
            <w:tcBorders>
              <w:top w:val="nil"/>
              <w:left w:val="nil"/>
              <w:bottom w:val="nil"/>
              <w:right w:val="nil"/>
            </w:tcBorders>
            <w:shd w:val="clear" w:color="auto" w:fill="auto"/>
            <w:hideMark/>
          </w:tcPr>
          <w:p w14:paraId="4547435A"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A. Governing and subsidiary bodies</w:t>
            </w:r>
          </w:p>
        </w:tc>
        <w:tc>
          <w:tcPr>
            <w:tcW w:w="1360" w:type="dxa"/>
            <w:tcBorders>
              <w:top w:val="nil"/>
              <w:left w:val="nil"/>
              <w:bottom w:val="nil"/>
              <w:right w:val="nil"/>
            </w:tcBorders>
            <w:shd w:val="clear" w:color="auto" w:fill="auto"/>
            <w:hideMark/>
          </w:tcPr>
          <w:p w14:paraId="59EFBAF2"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1 889.0</w:t>
            </w:r>
          </w:p>
        </w:tc>
        <w:tc>
          <w:tcPr>
            <w:tcW w:w="1600" w:type="dxa"/>
            <w:tcBorders>
              <w:top w:val="nil"/>
              <w:left w:val="nil"/>
              <w:bottom w:val="nil"/>
              <w:right w:val="nil"/>
            </w:tcBorders>
            <w:shd w:val="clear" w:color="auto" w:fill="auto"/>
            <w:hideMark/>
          </w:tcPr>
          <w:p w14:paraId="5CE3BB4A"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2 484.0</w:t>
            </w:r>
          </w:p>
        </w:tc>
        <w:tc>
          <w:tcPr>
            <w:tcW w:w="1640" w:type="dxa"/>
            <w:tcBorders>
              <w:top w:val="nil"/>
              <w:left w:val="nil"/>
              <w:bottom w:val="nil"/>
              <w:right w:val="nil"/>
            </w:tcBorders>
            <w:shd w:val="clear" w:color="auto" w:fill="auto"/>
            <w:hideMark/>
          </w:tcPr>
          <w:p w14:paraId="2794FCDF"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4 373.0</w:t>
            </w:r>
          </w:p>
        </w:tc>
      </w:tr>
      <w:tr w:rsidR="00DE347C" w:rsidRPr="00EE0850" w14:paraId="1B117729" w14:textId="77777777" w:rsidTr="00DE347C">
        <w:trPr>
          <w:trHeight w:val="288"/>
        </w:trPr>
        <w:tc>
          <w:tcPr>
            <w:tcW w:w="4520" w:type="dxa"/>
            <w:tcBorders>
              <w:top w:val="nil"/>
              <w:left w:val="nil"/>
              <w:bottom w:val="nil"/>
              <w:right w:val="nil"/>
            </w:tcBorders>
            <w:shd w:val="clear" w:color="auto" w:fill="auto"/>
            <w:hideMark/>
          </w:tcPr>
          <w:p w14:paraId="6BE9B198"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B. Executive direction and management</w:t>
            </w:r>
          </w:p>
        </w:tc>
        <w:tc>
          <w:tcPr>
            <w:tcW w:w="1360" w:type="dxa"/>
            <w:tcBorders>
              <w:top w:val="nil"/>
              <w:left w:val="nil"/>
              <w:bottom w:val="nil"/>
              <w:right w:val="nil"/>
            </w:tcBorders>
            <w:shd w:val="clear" w:color="auto" w:fill="auto"/>
            <w:hideMark/>
          </w:tcPr>
          <w:p w14:paraId="7F4F0116"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2 634.5</w:t>
            </w:r>
          </w:p>
        </w:tc>
        <w:tc>
          <w:tcPr>
            <w:tcW w:w="1600" w:type="dxa"/>
            <w:tcBorders>
              <w:top w:val="nil"/>
              <w:left w:val="nil"/>
              <w:bottom w:val="nil"/>
              <w:right w:val="nil"/>
            </w:tcBorders>
            <w:shd w:val="clear" w:color="auto" w:fill="auto"/>
            <w:hideMark/>
          </w:tcPr>
          <w:p w14:paraId="14E9A65A"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2 669.8</w:t>
            </w:r>
          </w:p>
        </w:tc>
        <w:tc>
          <w:tcPr>
            <w:tcW w:w="1640" w:type="dxa"/>
            <w:tcBorders>
              <w:top w:val="nil"/>
              <w:left w:val="nil"/>
              <w:bottom w:val="nil"/>
              <w:right w:val="nil"/>
            </w:tcBorders>
            <w:shd w:val="clear" w:color="auto" w:fill="auto"/>
            <w:hideMark/>
          </w:tcPr>
          <w:p w14:paraId="629F79D3"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5 304.3</w:t>
            </w:r>
          </w:p>
        </w:tc>
      </w:tr>
      <w:tr w:rsidR="00DE347C" w:rsidRPr="00EE0850" w14:paraId="1E129196" w14:textId="77777777" w:rsidTr="00DE347C">
        <w:trPr>
          <w:trHeight w:val="288"/>
        </w:trPr>
        <w:tc>
          <w:tcPr>
            <w:tcW w:w="4520" w:type="dxa"/>
            <w:tcBorders>
              <w:top w:val="nil"/>
              <w:left w:val="nil"/>
              <w:bottom w:val="nil"/>
              <w:right w:val="nil"/>
            </w:tcBorders>
            <w:shd w:val="clear" w:color="auto" w:fill="auto"/>
            <w:hideMark/>
          </w:tcPr>
          <w:p w14:paraId="08151BC4"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C. Programme of work</w:t>
            </w:r>
          </w:p>
        </w:tc>
        <w:tc>
          <w:tcPr>
            <w:tcW w:w="1360" w:type="dxa"/>
            <w:tcBorders>
              <w:top w:val="nil"/>
              <w:left w:val="nil"/>
              <w:bottom w:val="nil"/>
              <w:right w:val="nil"/>
            </w:tcBorders>
            <w:shd w:val="clear" w:color="auto" w:fill="auto"/>
            <w:hideMark/>
          </w:tcPr>
          <w:p w14:paraId="2CD6E6B3"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9 309.4</w:t>
            </w:r>
          </w:p>
        </w:tc>
        <w:tc>
          <w:tcPr>
            <w:tcW w:w="1600" w:type="dxa"/>
            <w:tcBorders>
              <w:top w:val="nil"/>
              <w:left w:val="nil"/>
              <w:bottom w:val="nil"/>
              <w:right w:val="nil"/>
            </w:tcBorders>
            <w:shd w:val="clear" w:color="auto" w:fill="auto"/>
            <w:hideMark/>
          </w:tcPr>
          <w:p w14:paraId="4B5D3938"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9 243.1</w:t>
            </w:r>
          </w:p>
        </w:tc>
        <w:tc>
          <w:tcPr>
            <w:tcW w:w="1640" w:type="dxa"/>
            <w:tcBorders>
              <w:top w:val="nil"/>
              <w:left w:val="nil"/>
              <w:bottom w:val="nil"/>
              <w:right w:val="nil"/>
            </w:tcBorders>
            <w:shd w:val="clear" w:color="auto" w:fill="auto"/>
            <w:hideMark/>
          </w:tcPr>
          <w:p w14:paraId="5268EB2A"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18 552.5</w:t>
            </w:r>
          </w:p>
        </w:tc>
      </w:tr>
      <w:tr w:rsidR="00DE347C" w:rsidRPr="00EE0850" w14:paraId="5767A74F" w14:textId="77777777" w:rsidTr="00DE347C">
        <w:trPr>
          <w:trHeight w:val="300"/>
        </w:trPr>
        <w:tc>
          <w:tcPr>
            <w:tcW w:w="4520" w:type="dxa"/>
            <w:tcBorders>
              <w:top w:val="nil"/>
              <w:left w:val="nil"/>
              <w:bottom w:val="single" w:sz="8" w:space="0" w:color="auto"/>
              <w:right w:val="nil"/>
            </w:tcBorders>
            <w:shd w:val="clear" w:color="auto" w:fill="auto"/>
            <w:hideMark/>
          </w:tcPr>
          <w:p w14:paraId="4967ED7A"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D. Administrative support</w:t>
            </w:r>
          </w:p>
        </w:tc>
        <w:tc>
          <w:tcPr>
            <w:tcW w:w="1360" w:type="dxa"/>
            <w:tcBorders>
              <w:top w:val="nil"/>
              <w:left w:val="nil"/>
              <w:bottom w:val="single" w:sz="8" w:space="0" w:color="auto"/>
              <w:right w:val="nil"/>
            </w:tcBorders>
            <w:shd w:val="clear" w:color="auto" w:fill="auto"/>
            <w:hideMark/>
          </w:tcPr>
          <w:p w14:paraId="330E2DD3"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2 886.0</w:t>
            </w:r>
          </w:p>
        </w:tc>
        <w:tc>
          <w:tcPr>
            <w:tcW w:w="1600" w:type="dxa"/>
            <w:tcBorders>
              <w:top w:val="nil"/>
              <w:left w:val="nil"/>
              <w:bottom w:val="single" w:sz="8" w:space="0" w:color="auto"/>
              <w:right w:val="nil"/>
            </w:tcBorders>
            <w:shd w:val="clear" w:color="auto" w:fill="auto"/>
            <w:hideMark/>
          </w:tcPr>
          <w:p w14:paraId="4200BC96"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3 093.7</w:t>
            </w:r>
          </w:p>
        </w:tc>
        <w:tc>
          <w:tcPr>
            <w:tcW w:w="1640" w:type="dxa"/>
            <w:tcBorders>
              <w:top w:val="nil"/>
              <w:left w:val="nil"/>
              <w:bottom w:val="single" w:sz="8" w:space="0" w:color="auto"/>
              <w:right w:val="nil"/>
            </w:tcBorders>
            <w:shd w:val="clear" w:color="auto" w:fill="auto"/>
            <w:hideMark/>
          </w:tcPr>
          <w:p w14:paraId="314FA487"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5 979.7</w:t>
            </w:r>
          </w:p>
        </w:tc>
      </w:tr>
      <w:tr w:rsidR="00DE347C" w:rsidRPr="00EE0850" w14:paraId="2391C933" w14:textId="77777777" w:rsidTr="00DE347C">
        <w:trPr>
          <w:trHeight w:val="300"/>
        </w:trPr>
        <w:tc>
          <w:tcPr>
            <w:tcW w:w="4520" w:type="dxa"/>
            <w:tcBorders>
              <w:top w:val="nil"/>
              <w:left w:val="nil"/>
              <w:bottom w:val="single" w:sz="12" w:space="0" w:color="auto"/>
              <w:right w:val="nil"/>
            </w:tcBorders>
            <w:shd w:val="clear" w:color="auto" w:fill="auto"/>
            <w:hideMark/>
          </w:tcPr>
          <w:p w14:paraId="3E8A5A7D" w14:textId="77777777" w:rsidR="00DE347C" w:rsidRPr="00EE0850" w:rsidRDefault="00DE347C" w:rsidP="000C6220">
            <w:pPr>
              <w:spacing w:after="0" w:line="240" w:lineRule="auto"/>
              <w:jc w:val="left"/>
              <w:rPr>
                <w:b/>
                <w:bCs/>
                <w:color w:val="000000"/>
                <w:kern w:val="22"/>
                <w:sz w:val="17"/>
                <w:szCs w:val="17"/>
                <w:lang w:eastAsia="en-CA"/>
              </w:rPr>
            </w:pPr>
            <w:r w:rsidRPr="00EE0850">
              <w:rPr>
                <w:b/>
                <w:bCs/>
                <w:color w:val="000000"/>
                <w:kern w:val="22"/>
                <w:sz w:val="17"/>
                <w:szCs w:val="17"/>
                <w:lang w:eastAsia="en-CA"/>
              </w:rPr>
              <w:t>Subtotal</w:t>
            </w:r>
          </w:p>
        </w:tc>
        <w:tc>
          <w:tcPr>
            <w:tcW w:w="1360" w:type="dxa"/>
            <w:tcBorders>
              <w:top w:val="nil"/>
              <w:left w:val="nil"/>
              <w:bottom w:val="single" w:sz="12" w:space="0" w:color="auto"/>
              <w:right w:val="nil"/>
            </w:tcBorders>
            <w:shd w:val="clear" w:color="auto" w:fill="auto"/>
            <w:hideMark/>
          </w:tcPr>
          <w:p w14:paraId="5CBE509D"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16 718.9</w:t>
            </w:r>
          </w:p>
        </w:tc>
        <w:tc>
          <w:tcPr>
            <w:tcW w:w="1600" w:type="dxa"/>
            <w:tcBorders>
              <w:top w:val="nil"/>
              <w:left w:val="nil"/>
              <w:bottom w:val="single" w:sz="12" w:space="0" w:color="auto"/>
              <w:right w:val="nil"/>
            </w:tcBorders>
            <w:shd w:val="clear" w:color="auto" w:fill="auto"/>
            <w:hideMark/>
          </w:tcPr>
          <w:p w14:paraId="0C2783C2"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17 490.6</w:t>
            </w:r>
          </w:p>
        </w:tc>
        <w:tc>
          <w:tcPr>
            <w:tcW w:w="1640" w:type="dxa"/>
            <w:tcBorders>
              <w:top w:val="nil"/>
              <w:left w:val="nil"/>
              <w:bottom w:val="single" w:sz="12" w:space="0" w:color="auto"/>
              <w:right w:val="nil"/>
            </w:tcBorders>
            <w:shd w:val="clear" w:color="auto" w:fill="auto"/>
            <w:hideMark/>
          </w:tcPr>
          <w:p w14:paraId="62F67274"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34 209.5</w:t>
            </w:r>
          </w:p>
        </w:tc>
      </w:tr>
      <w:tr w:rsidR="00DE347C" w:rsidRPr="00EE0850" w14:paraId="38758838" w14:textId="77777777" w:rsidTr="00DE347C">
        <w:trPr>
          <w:trHeight w:val="300"/>
        </w:trPr>
        <w:tc>
          <w:tcPr>
            <w:tcW w:w="4520" w:type="dxa"/>
            <w:tcBorders>
              <w:top w:val="nil"/>
              <w:left w:val="nil"/>
              <w:bottom w:val="nil"/>
              <w:right w:val="nil"/>
            </w:tcBorders>
            <w:shd w:val="clear" w:color="auto" w:fill="auto"/>
            <w:hideMark/>
          </w:tcPr>
          <w:p w14:paraId="2AE06313"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Programme support costs</w:t>
            </w:r>
          </w:p>
        </w:tc>
        <w:tc>
          <w:tcPr>
            <w:tcW w:w="1360" w:type="dxa"/>
            <w:tcBorders>
              <w:top w:val="nil"/>
              <w:left w:val="nil"/>
              <w:bottom w:val="nil"/>
              <w:right w:val="nil"/>
            </w:tcBorders>
            <w:shd w:val="clear" w:color="auto" w:fill="auto"/>
            <w:noWrap/>
            <w:hideMark/>
          </w:tcPr>
          <w:p w14:paraId="7D45968E"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2 173.5</w:t>
            </w:r>
          </w:p>
        </w:tc>
        <w:tc>
          <w:tcPr>
            <w:tcW w:w="1600" w:type="dxa"/>
            <w:tcBorders>
              <w:top w:val="nil"/>
              <w:left w:val="nil"/>
              <w:bottom w:val="nil"/>
              <w:right w:val="nil"/>
            </w:tcBorders>
            <w:shd w:val="clear" w:color="auto" w:fill="auto"/>
            <w:hideMark/>
          </w:tcPr>
          <w:p w14:paraId="71ADD0CD"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2 273.8</w:t>
            </w:r>
          </w:p>
        </w:tc>
        <w:tc>
          <w:tcPr>
            <w:tcW w:w="1640" w:type="dxa"/>
            <w:tcBorders>
              <w:top w:val="nil"/>
              <w:left w:val="nil"/>
              <w:bottom w:val="nil"/>
              <w:right w:val="nil"/>
            </w:tcBorders>
            <w:shd w:val="clear" w:color="auto" w:fill="auto"/>
            <w:hideMark/>
          </w:tcPr>
          <w:p w14:paraId="34303532"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4 447.2</w:t>
            </w:r>
          </w:p>
        </w:tc>
      </w:tr>
      <w:tr w:rsidR="00DE347C" w:rsidRPr="00EE0850" w14:paraId="64CACBE3" w14:textId="77777777" w:rsidTr="00DE347C">
        <w:trPr>
          <w:trHeight w:val="300"/>
        </w:trPr>
        <w:tc>
          <w:tcPr>
            <w:tcW w:w="4520" w:type="dxa"/>
            <w:tcBorders>
              <w:top w:val="nil"/>
              <w:left w:val="nil"/>
              <w:bottom w:val="single" w:sz="8" w:space="0" w:color="auto"/>
              <w:right w:val="nil"/>
            </w:tcBorders>
            <w:shd w:val="clear" w:color="auto" w:fill="auto"/>
            <w:hideMark/>
          </w:tcPr>
          <w:p w14:paraId="0FF7AA02"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Working Capital Reserve</w:t>
            </w:r>
          </w:p>
        </w:tc>
        <w:tc>
          <w:tcPr>
            <w:tcW w:w="1360" w:type="dxa"/>
            <w:tcBorders>
              <w:top w:val="nil"/>
              <w:left w:val="nil"/>
              <w:bottom w:val="single" w:sz="8" w:space="0" w:color="auto"/>
              <w:right w:val="nil"/>
            </w:tcBorders>
            <w:shd w:val="clear" w:color="auto" w:fill="auto"/>
            <w:noWrap/>
            <w:hideMark/>
          </w:tcPr>
          <w:p w14:paraId="2B41C427"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56.6</w:t>
            </w:r>
          </w:p>
        </w:tc>
        <w:tc>
          <w:tcPr>
            <w:tcW w:w="1600" w:type="dxa"/>
            <w:tcBorders>
              <w:top w:val="nil"/>
              <w:left w:val="nil"/>
              <w:bottom w:val="single" w:sz="8" w:space="0" w:color="auto"/>
              <w:right w:val="nil"/>
            </w:tcBorders>
            <w:shd w:val="clear" w:color="auto" w:fill="auto"/>
            <w:noWrap/>
            <w:hideMark/>
          </w:tcPr>
          <w:p w14:paraId="150ED334"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130.7</w:t>
            </w:r>
          </w:p>
        </w:tc>
        <w:tc>
          <w:tcPr>
            <w:tcW w:w="1640" w:type="dxa"/>
            <w:tcBorders>
              <w:top w:val="nil"/>
              <w:left w:val="nil"/>
              <w:bottom w:val="single" w:sz="8" w:space="0" w:color="auto"/>
              <w:right w:val="nil"/>
            </w:tcBorders>
            <w:shd w:val="clear" w:color="auto" w:fill="auto"/>
            <w:hideMark/>
          </w:tcPr>
          <w:p w14:paraId="74C92CDB"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187.4</w:t>
            </w:r>
          </w:p>
        </w:tc>
      </w:tr>
      <w:tr w:rsidR="00DE347C" w:rsidRPr="00EE0850" w14:paraId="7506CC9B" w14:textId="77777777" w:rsidTr="00DE347C">
        <w:trPr>
          <w:trHeight w:val="300"/>
        </w:trPr>
        <w:tc>
          <w:tcPr>
            <w:tcW w:w="4520" w:type="dxa"/>
            <w:tcBorders>
              <w:top w:val="nil"/>
              <w:left w:val="nil"/>
              <w:bottom w:val="single" w:sz="8" w:space="0" w:color="auto"/>
              <w:right w:val="nil"/>
            </w:tcBorders>
            <w:shd w:val="clear" w:color="auto" w:fill="auto"/>
            <w:hideMark/>
          </w:tcPr>
          <w:p w14:paraId="52FCA6E5" w14:textId="77777777" w:rsidR="00DE347C" w:rsidRPr="00EE0850" w:rsidRDefault="00DE347C" w:rsidP="000C6220">
            <w:pPr>
              <w:spacing w:after="0" w:line="240" w:lineRule="auto"/>
              <w:jc w:val="left"/>
              <w:rPr>
                <w:b/>
                <w:bCs/>
                <w:color w:val="000000"/>
                <w:kern w:val="22"/>
                <w:sz w:val="17"/>
                <w:szCs w:val="17"/>
                <w:lang w:eastAsia="en-CA"/>
              </w:rPr>
            </w:pPr>
            <w:r w:rsidRPr="00EE0850">
              <w:rPr>
                <w:b/>
                <w:bCs/>
                <w:color w:val="000000"/>
                <w:kern w:val="22"/>
                <w:sz w:val="17"/>
                <w:szCs w:val="17"/>
                <w:lang w:eastAsia="en-CA"/>
              </w:rPr>
              <w:t>Total</w:t>
            </w:r>
          </w:p>
        </w:tc>
        <w:tc>
          <w:tcPr>
            <w:tcW w:w="1360" w:type="dxa"/>
            <w:tcBorders>
              <w:top w:val="nil"/>
              <w:left w:val="nil"/>
              <w:bottom w:val="single" w:sz="8" w:space="0" w:color="auto"/>
              <w:right w:val="nil"/>
            </w:tcBorders>
            <w:shd w:val="clear" w:color="auto" w:fill="auto"/>
            <w:noWrap/>
            <w:hideMark/>
          </w:tcPr>
          <w:p w14:paraId="419B7A74"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18 949.0</w:t>
            </w:r>
          </w:p>
        </w:tc>
        <w:tc>
          <w:tcPr>
            <w:tcW w:w="1600" w:type="dxa"/>
            <w:tcBorders>
              <w:top w:val="nil"/>
              <w:left w:val="nil"/>
              <w:bottom w:val="single" w:sz="8" w:space="0" w:color="auto"/>
              <w:right w:val="nil"/>
            </w:tcBorders>
            <w:shd w:val="clear" w:color="auto" w:fill="auto"/>
            <w:noWrap/>
            <w:hideMark/>
          </w:tcPr>
          <w:p w14:paraId="04B59720"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19 895.1</w:t>
            </w:r>
          </w:p>
        </w:tc>
        <w:tc>
          <w:tcPr>
            <w:tcW w:w="1640" w:type="dxa"/>
            <w:tcBorders>
              <w:top w:val="nil"/>
              <w:left w:val="nil"/>
              <w:bottom w:val="single" w:sz="8" w:space="0" w:color="auto"/>
              <w:right w:val="nil"/>
            </w:tcBorders>
            <w:shd w:val="clear" w:color="auto" w:fill="auto"/>
            <w:noWrap/>
            <w:hideMark/>
          </w:tcPr>
          <w:p w14:paraId="45735814"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38 844.1</w:t>
            </w:r>
          </w:p>
        </w:tc>
      </w:tr>
      <w:tr w:rsidR="00DE347C" w:rsidRPr="00EE0850" w14:paraId="403C10C3" w14:textId="77777777" w:rsidTr="00DE347C">
        <w:trPr>
          <w:trHeight w:val="288"/>
        </w:trPr>
        <w:tc>
          <w:tcPr>
            <w:tcW w:w="4520" w:type="dxa"/>
            <w:tcBorders>
              <w:top w:val="nil"/>
              <w:left w:val="nil"/>
              <w:bottom w:val="single" w:sz="4" w:space="0" w:color="auto"/>
              <w:right w:val="nil"/>
            </w:tcBorders>
            <w:shd w:val="clear" w:color="auto" w:fill="auto"/>
            <w:vAlign w:val="center"/>
            <w:hideMark/>
          </w:tcPr>
          <w:p w14:paraId="20E4523E" w14:textId="77777777" w:rsidR="00DE347C" w:rsidRPr="00EE0850" w:rsidRDefault="00DE347C" w:rsidP="000C6220">
            <w:pPr>
              <w:spacing w:after="0" w:line="240" w:lineRule="auto"/>
              <w:jc w:val="left"/>
              <w:rPr>
                <w:kern w:val="22"/>
                <w:sz w:val="17"/>
                <w:szCs w:val="17"/>
                <w:lang w:eastAsia="en-CA"/>
              </w:rPr>
            </w:pPr>
            <w:r w:rsidRPr="00EE0850">
              <w:rPr>
                <w:kern w:val="22"/>
                <w:sz w:val="17"/>
                <w:szCs w:val="17"/>
                <w:lang w:eastAsia="en-CA"/>
              </w:rPr>
              <w:t>Nagoya Protocol share of the integrated budget (11%)</w:t>
            </w:r>
          </w:p>
        </w:tc>
        <w:tc>
          <w:tcPr>
            <w:tcW w:w="1360" w:type="dxa"/>
            <w:tcBorders>
              <w:top w:val="nil"/>
              <w:left w:val="nil"/>
              <w:bottom w:val="single" w:sz="4" w:space="0" w:color="auto"/>
              <w:right w:val="nil"/>
            </w:tcBorders>
            <w:shd w:val="clear" w:color="auto" w:fill="auto"/>
            <w:vAlign w:val="center"/>
            <w:hideMark/>
          </w:tcPr>
          <w:p w14:paraId="7233D8C8"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2 084.4</w:t>
            </w:r>
          </w:p>
        </w:tc>
        <w:tc>
          <w:tcPr>
            <w:tcW w:w="1600" w:type="dxa"/>
            <w:tcBorders>
              <w:top w:val="nil"/>
              <w:left w:val="nil"/>
              <w:bottom w:val="single" w:sz="4" w:space="0" w:color="auto"/>
              <w:right w:val="nil"/>
            </w:tcBorders>
            <w:shd w:val="clear" w:color="auto" w:fill="auto"/>
            <w:vAlign w:val="center"/>
            <w:hideMark/>
          </w:tcPr>
          <w:p w14:paraId="4A105CB4"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2 188.5</w:t>
            </w:r>
          </w:p>
        </w:tc>
        <w:tc>
          <w:tcPr>
            <w:tcW w:w="1640" w:type="dxa"/>
            <w:tcBorders>
              <w:top w:val="nil"/>
              <w:left w:val="nil"/>
              <w:bottom w:val="single" w:sz="4" w:space="0" w:color="auto"/>
              <w:right w:val="nil"/>
            </w:tcBorders>
            <w:shd w:val="clear" w:color="auto" w:fill="auto"/>
            <w:vAlign w:val="center"/>
            <w:hideMark/>
          </w:tcPr>
          <w:p w14:paraId="70C13C88"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4 272.9</w:t>
            </w:r>
          </w:p>
        </w:tc>
      </w:tr>
      <w:tr w:rsidR="00DE347C" w:rsidRPr="00EE0850" w14:paraId="4E12AE0E" w14:textId="77777777" w:rsidTr="00DE347C">
        <w:trPr>
          <w:trHeight w:val="288"/>
        </w:trPr>
        <w:tc>
          <w:tcPr>
            <w:tcW w:w="4520" w:type="dxa"/>
            <w:tcBorders>
              <w:top w:val="nil"/>
              <w:left w:val="nil"/>
              <w:bottom w:val="nil"/>
              <w:right w:val="nil"/>
            </w:tcBorders>
            <w:shd w:val="clear" w:color="auto" w:fill="auto"/>
            <w:hideMark/>
          </w:tcPr>
          <w:p w14:paraId="5B5BDD48"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u w:val="single"/>
                <w:lang w:eastAsia="en-CA"/>
              </w:rPr>
              <w:t>Less</w:t>
            </w:r>
            <w:r w:rsidRPr="00EE0850">
              <w:rPr>
                <w:color w:val="000000"/>
                <w:kern w:val="22"/>
                <w:sz w:val="17"/>
                <w:szCs w:val="17"/>
                <w:lang w:eastAsia="en-CA"/>
              </w:rPr>
              <w:t>:  Contribution from host country</w:t>
            </w:r>
          </w:p>
        </w:tc>
        <w:tc>
          <w:tcPr>
            <w:tcW w:w="1360" w:type="dxa"/>
            <w:tcBorders>
              <w:top w:val="nil"/>
              <w:left w:val="nil"/>
              <w:bottom w:val="nil"/>
              <w:right w:val="nil"/>
            </w:tcBorders>
            <w:shd w:val="clear" w:color="auto" w:fill="auto"/>
            <w:vAlign w:val="center"/>
            <w:hideMark/>
          </w:tcPr>
          <w:p w14:paraId="6E450831"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(135.2)</w:t>
            </w:r>
          </w:p>
        </w:tc>
        <w:tc>
          <w:tcPr>
            <w:tcW w:w="1600" w:type="dxa"/>
            <w:tcBorders>
              <w:top w:val="nil"/>
              <w:left w:val="nil"/>
              <w:bottom w:val="nil"/>
              <w:right w:val="nil"/>
            </w:tcBorders>
            <w:shd w:val="clear" w:color="auto" w:fill="auto"/>
            <w:vAlign w:val="center"/>
            <w:hideMark/>
          </w:tcPr>
          <w:p w14:paraId="6958355C"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(156.6)</w:t>
            </w:r>
          </w:p>
        </w:tc>
        <w:tc>
          <w:tcPr>
            <w:tcW w:w="1640" w:type="dxa"/>
            <w:tcBorders>
              <w:top w:val="nil"/>
              <w:left w:val="nil"/>
              <w:bottom w:val="nil"/>
              <w:right w:val="nil"/>
            </w:tcBorders>
            <w:shd w:val="clear" w:color="auto" w:fill="auto"/>
            <w:vAlign w:val="center"/>
            <w:hideMark/>
          </w:tcPr>
          <w:p w14:paraId="78040A79"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(291.8)</w:t>
            </w:r>
          </w:p>
        </w:tc>
      </w:tr>
      <w:tr w:rsidR="00DE347C" w:rsidRPr="00EE0850" w14:paraId="3BD09190" w14:textId="77777777" w:rsidTr="00DE347C">
        <w:trPr>
          <w:trHeight w:val="288"/>
        </w:trPr>
        <w:tc>
          <w:tcPr>
            <w:tcW w:w="4520" w:type="dxa"/>
            <w:tcBorders>
              <w:top w:val="nil"/>
              <w:left w:val="nil"/>
              <w:bottom w:val="nil"/>
              <w:right w:val="nil"/>
            </w:tcBorders>
            <w:shd w:val="clear" w:color="auto" w:fill="auto"/>
            <w:hideMark/>
          </w:tcPr>
          <w:p w14:paraId="3DAC30B8"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u w:val="single"/>
                <w:lang w:eastAsia="en-CA"/>
              </w:rPr>
              <w:t>Less</w:t>
            </w:r>
            <w:r w:rsidRPr="00EE0850">
              <w:rPr>
                <w:color w:val="000000"/>
                <w:kern w:val="22"/>
                <w:sz w:val="17"/>
                <w:szCs w:val="17"/>
                <w:lang w:eastAsia="en-CA"/>
              </w:rPr>
              <w:t>:  Use of reserves for extraordinary meetings</w:t>
            </w:r>
          </w:p>
        </w:tc>
        <w:tc>
          <w:tcPr>
            <w:tcW w:w="1360" w:type="dxa"/>
            <w:tcBorders>
              <w:top w:val="nil"/>
              <w:left w:val="nil"/>
              <w:bottom w:val="nil"/>
              <w:right w:val="nil"/>
            </w:tcBorders>
            <w:shd w:val="clear" w:color="auto" w:fill="auto"/>
            <w:vAlign w:val="center"/>
            <w:hideMark/>
          </w:tcPr>
          <w:p w14:paraId="11D5D053"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(93.2)</w:t>
            </w:r>
          </w:p>
        </w:tc>
        <w:tc>
          <w:tcPr>
            <w:tcW w:w="1600" w:type="dxa"/>
            <w:tcBorders>
              <w:top w:val="nil"/>
              <w:left w:val="nil"/>
              <w:bottom w:val="nil"/>
              <w:right w:val="nil"/>
            </w:tcBorders>
            <w:shd w:val="clear" w:color="auto" w:fill="auto"/>
            <w:vAlign w:val="center"/>
            <w:hideMark/>
          </w:tcPr>
          <w:p w14:paraId="52A5AC96"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(69.6)</w:t>
            </w:r>
          </w:p>
        </w:tc>
        <w:tc>
          <w:tcPr>
            <w:tcW w:w="1640" w:type="dxa"/>
            <w:tcBorders>
              <w:top w:val="nil"/>
              <w:left w:val="nil"/>
              <w:bottom w:val="nil"/>
              <w:right w:val="nil"/>
            </w:tcBorders>
            <w:shd w:val="clear" w:color="auto" w:fill="auto"/>
            <w:vAlign w:val="center"/>
            <w:hideMark/>
          </w:tcPr>
          <w:p w14:paraId="38DAC551"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(162.8)</w:t>
            </w:r>
          </w:p>
        </w:tc>
      </w:tr>
      <w:tr w:rsidR="00DE347C" w:rsidRPr="00EE0850" w14:paraId="4DB519EA" w14:textId="77777777" w:rsidTr="00DE347C">
        <w:trPr>
          <w:trHeight w:val="288"/>
        </w:trPr>
        <w:tc>
          <w:tcPr>
            <w:tcW w:w="4520" w:type="dxa"/>
            <w:tcBorders>
              <w:top w:val="nil"/>
              <w:left w:val="nil"/>
              <w:bottom w:val="nil"/>
              <w:right w:val="nil"/>
            </w:tcBorders>
            <w:shd w:val="clear" w:color="auto" w:fill="auto"/>
            <w:hideMark/>
          </w:tcPr>
          <w:p w14:paraId="4B6D12AF"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u w:val="single"/>
                <w:lang w:eastAsia="en-CA"/>
              </w:rPr>
              <w:t>Less</w:t>
            </w:r>
            <w:r w:rsidRPr="00EE0850">
              <w:rPr>
                <w:color w:val="000000"/>
                <w:kern w:val="22"/>
                <w:sz w:val="17"/>
                <w:szCs w:val="17"/>
                <w:lang w:eastAsia="en-CA"/>
              </w:rPr>
              <w:t>:  Use of reserves from previous years</w:t>
            </w:r>
          </w:p>
        </w:tc>
        <w:tc>
          <w:tcPr>
            <w:tcW w:w="1360" w:type="dxa"/>
            <w:tcBorders>
              <w:top w:val="nil"/>
              <w:left w:val="nil"/>
              <w:bottom w:val="nil"/>
              <w:right w:val="nil"/>
            </w:tcBorders>
            <w:shd w:val="clear" w:color="auto" w:fill="auto"/>
            <w:vAlign w:val="center"/>
            <w:hideMark/>
          </w:tcPr>
          <w:p w14:paraId="3272A774"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(94.9)</w:t>
            </w:r>
          </w:p>
        </w:tc>
        <w:tc>
          <w:tcPr>
            <w:tcW w:w="1600" w:type="dxa"/>
            <w:tcBorders>
              <w:top w:val="nil"/>
              <w:left w:val="nil"/>
              <w:bottom w:val="nil"/>
              <w:right w:val="nil"/>
            </w:tcBorders>
            <w:shd w:val="clear" w:color="auto" w:fill="auto"/>
            <w:vAlign w:val="center"/>
            <w:hideMark/>
          </w:tcPr>
          <w:p w14:paraId="738EEBD9"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(94.9)</w:t>
            </w:r>
          </w:p>
        </w:tc>
        <w:tc>
          <w:tcPr>
            <w:tcW w:w="1640" w:type="dxa"/>
            <w:tcBorders>
              <w:top w:val="nil"/>
              <w:left w:val="nil"/>
              <w:bottom w:val="nil"/>
              <w:right w:val="nil"/>
            </w:tcBorders>
            <w:shd w:val="clear" w:color="auto" w:fill="auto"/>
            <w:vAlign w:val="center"/>
            <w:hideMark/>
          </w:tcPr>
          <w:p w14:paraId="4CFAD473"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(189.8)</w:t>
            </w:r>
          </w:p>
        </w:tc>
      </w:tr>
      <w:tr w:rsidR="00DE347C" w:rsidRPr="00EE0850" w14:paraId="75D1BFE7" w14:textId="77777777" w:rsidTr="00DE347C">
        <w:trPr>
          <w:trHeight w:val="300"/>
        </w:trPr>
        <w:tc>
          <w:tcPr>
            <w:tcW w:w="4520" w:type="dxa"/>
            <w:tcBorders>
              <w:top w:val="single" w:sz="4" w:space="0" w:color="auto"/>
              <w:left w:val="nil"/>
              <w:bottom w:val="single" w:sz="8" w:space="0" w:color="auto"/>
              <w:right w:val="nil"/>
            </w:tcBorders>
            <w:shd w:val="clear" w:color="auto" w:fill="auto"/>
            <w:hideMark/>
          </w:tcPr>
          <w:p w14:paraId="37B0138E"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Net total (amount to be shared by Parties)</w:t>
            </w:r>
          </w:p>
        </w:tc>
        <w:tc>
          <w:tcPr>
            <w:tcW w:w="1360" w:type="dxa"/>
            <w:tcBorders>
              <w:top w:val="single" w:sz="4" w:space="0" w:color="auto"/>
              <w:left w:val="nil"/>
              <w:bottom w:val="single" w:sz="8" w:space="0" w:color="auto"/>
              <w:right w:val="nil"/>
            </w:tcBorders>
            <w:shd w:val="clear" w:color="auto" w:fill="auto"/>
            <w:hideMark/>
          </w:tcPr>
          <w:p w14:paraId="78EAF77D"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1 761.1</w:t>
            </w:r>
          </w:p>
        </w:tc>
        <w:tc>
          <w:tcPr>
            <w:tcW w:w="1600" w:type="dxa"/>
            <w:tcBorders>
              <w:top w:val="single" w:sz="4" w:space="0" w:color="auto"/>
              <w:left w:val="nil"/>
              <w:bottom w:val="single" w:sz="8" w:space="0" w:color="auto"/>
              <w:right w:val="nil"/>
            </w:tcBorders>
            <w:shd w:val="clear" w:color="auto" w:fill="auto"/>
            <w:hideMark/>
          </w:tcPr>
          <w:p w14:paraId="69256C7F"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1 867.4</w:t>
            </w:r>
          </w:p>
        </w:tc>
        <w:tc>
          <w:tcPr>
            <w:tcW w:w="1640" w:type="dxa"/>
            <w:tcBorders>
              <w:top w:val="single" w:sz="4" w:space="0" w:color="auto"/>
              <w:left w:val="nil"/>
              <w:bottom w:val="single" w:sz="8" w:space="0" w:color="auto"/>
              <w:right w:val="nil"/>
            </w:tcBorders>
            <w:shd w:val="clear" w:color="auto" w:fill="auto"/>
            <w:hideMark/>
          </w:tcPr>
          <w:p w14:paraId="5BC0282A"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3 628.5</w:t>
            </w:r>
          </w:p>
        </w:tc>
      </w:tr>
      <w:tr w:rsidR="00DE347C" w:rsidRPr="00EE0850" w14:paraId="6B257ADE" w14:textId="77777777" w:rsidTr="00DE347C">
        <w:tc>
          <w:tcPr>
            <w:tcW w:w="4520" w:type="dxa"/>
            <w:tcBorders>
              <w:top w:val="nil"/>
              <w:left w:val="nil"/>
              <w:bottom w:val="nil"/>
              <w:right w:val="nil"/>
            </w:tcBorders>
            <w:shd w:val="clear" w:color="auto" w:fill="auto"/>
            <w:noWrap/>
            <w:vAlign w:val="bottom"/>
            <w:hideMark/>
          </w:tcPr>
          <w:p w14:paraId="0ABBE94C" w14:textId="77777777" w:rsidR="00DE347C" w:rsidRPr="00EE0850" w:rsidRDefault="00DE347C" w:rsidP="000C6220">
            <w:pPr>
              <w:spacing w:after="0" w:line="240" w:lineRule="auto"/>
              <w:jc w:val="left"/>
              <w:rPr>
                <w:color w:val="000000"/>
                <w:kern w:val="22"/>
                <w:sz w:val="17"/>
                <w:szCs w:val="17"/>
                <w:lang w:eastAsia="en-CA"/>
              </w:rPr>
            </w:pPr>
          </w:p>
        </w:tc>
        <w:tc>
          <w:tcPr>
            <w:tcW w:w="1360" w:type="dxa"/>
            <w:tcBorders>
              <w:top w:val="nil"/>
              <w:left w:val="nil"/>
              <w:bottom w:val="nil"/>
              <w:right w:val="nil"/>
            </w:tcBorders>
            <w:shd w:val="clear" w:color="auto" w:fill="auto"/>
            <w:noWrap/>
            <w:vAlign w:val="bottom"/>
            <w:hideMark/>
          </w:tcPr>
          <w:p w14:paraId="65F1BD22" w14:textId="77777777" w:rsidR="00DE347C" w:rsidRPr="00EE0850" w:rsidRDefault="00DE347C" w:rsidP="000C6220">
            <w:pPr>
              <w:spacing w:after="0" w:line="240" w:lineRule="auto"/>
              <w:jc w:val="left"/>
              <w:rPr>
                <w:color w:val="000000"/>
                <w:kern w:val="22"/>
                <w:sz w:val="17"/>
                <w:szCs w:val="17"/>
                <w:lang w:eastAsia="en-CA"/>
              </w:rPr>
            </w:pPr>
          </w:p>
        </w:tc>
        <w:tc>
          <w:tcPr>
            <w:tcW w:w="1600" w:type="dxa"/>
            <w:tcBorders>
              <w:top w:val="nil"/>
              <w:left w:val="nil"/>
              <w:bottom w:val="nil"/>
              <w:right w:val="nil"/>
            </w:tcBorders>
            <w:shd w:val="clear" w:color="auto" w:fill="auto"/>
            <w:noWrap/>
            <w:vAlign w:val="bottom"/>
            <w:hideMark/>
          </w:tcPr>
          <w:p w14:paraId="05F1A7DB" w14:textId="77777777" w:rsidR="00DE347C" w:rsidRPr="00EE0850" w:rsidRDefault="00DE347C" w:rsidP="000C6220">
            <w:pPr>
              <w:spacing w:after="0" w:line="240" w:lineRule="auto"/>
              <w:jc w:val="left"/>
              <w:rPr>
                <w:color w:val="000000"/>
                <w:kern w:val="22"/>
                <w:sz w:val="17"/>
                <w:szCs w:val="17"/>
                <w:lang w:eastAsia="en-CA"/>
              </w:rPr>
            </w:pPr>
          </w:p>
        </w:tc>
        <w:tc>
          <w:tcPr>
            <w:tcW w:w="1640" w:type="dxa"/>
            <w:tcBorders>
              <w:top w:val="nil"/>
              <w:left w:val="nil"/>
              <w:bottom w:val="nil"/>
              <w:right w:val="nil"/>
            </w:tcBorders>
            <w:shd w:val="clear" w:color="auto" w:fill="auto"/>
            <w:noWrap/>
            <w:vAlign w:val="bottom"/>
            <w:hideMark/>
          </w:tcPr>
          <w:p w14:paraId="22C1429E" w14:textId="77777777" w:rsidR="00DE347C" w:rsidRPr="00EE0850" w:rsidRDefault="00DE347C" w:rsidP="000C6220">
            <w:pPr>
              <w:spacing w:after="0" w:line="240" w:lineRule="auto"/>
              <w:jc w:val="left"/>
              <w:rPr>
                <w:color w:val="000000"/>
                <w:kern w:val="22"/>
                <w:sz w:val="17"/>
                <w:szCs w:val="17"/>
                <w:lang w:eastAsia="en-CA"/>
              </w:rPr>
            </w:pPr>
          </w:p>
        </w:tc>
      </w:tr>
      <w:tr w:rsidR="00AB0DE7" w:rsidRPr="00EE0850" w14:paraId="769772D9" w14:textId="77777777" w:rsidTr="00DE347C">
        <w:trPr>
          <w:trHeight w:val="411"/>
        </w:trPr>
        <w:tc>
          <w:tcPr>
            <w:tcW w:w="4520" w:type="dxa"/>
            <w:vMerge w:val="restart"/>
            <w:tcBorders>
              <w:top w:val="single" w:sz="8" w:space="0" w:color="auto"/>
              <w:left w:val="nil"/>
              <w:bottom w:val="single" w:sz="12" w:space="0" w:color="000000"/>
              <w:right w:val="nil"/>
            </w:tcBorders>
            <w:shd w:val="clear" w:color="auto" w:fill="auto"/>
            <w:vAlign w:val="center"/>
            <w:hideMark/>
          </w:tcPr>
          <w:p w14:paraId="17E77DD4" w14:textId="29C4939B" w:rsidR="00DE347C" w:rsidRPr="00EE0850" w:rsidRDefault="00DE347C" w:rsidP="000C6220">
            <w:pPr>
              <w:spacing w:after="0" w:line="240" w:lineRule="auto"/>
              <w:jc w:val="left"/>
              <w:rPr>
                <w:i/>
                <w:iCs/>
                <w:color w:val="000000"/>
                <w:kern w:val="22"/>
                <w:sz w:val="15"/>
                <w:szCs w:val="15"/>
                <w:lang w:eastAsia="en-CA"/>
              </w:rPr>
            </w:pPr>
          </w:p>
        </w:tc>
        <w:tc>
          <w:tcPr>
            <w:tcW w:w="1360" w:type="dxa"/>
            <w:vMerge w:val="restart"/>
            <w:tcBorders>
              <w:top w:val="single" w:sz="8" w:space="0" w:color="auto"/>
              <w:left w:val="nil"/>
              <w:bottom w:val="single" w:sz="12" w:space="0" w:color="000000"/>
              <w:right w:val="nil"/>
            </w:tcBorders>
            <w:shd w:val="clear" w:color="auto" w:fill="auto"/>
            <w:vAlign w:val="center"/>
            <w:hideMark/>
          </w:tcPr>
          <w:p w14:paraId="26D2E624" w14:textId="77777777" w:rsidR="00DE347C" w:rsidRPr="00EE0850" w:rsidRDefault="00DE347C" w:rsidP="000C6220">
            <w:pPr>
              <w:spacing w:after="0" w:line="240" w:lineRule="auto"/>
              <w:jc w:val="center"/>
              <w:rPr>
                <w:i/>
                <w:iCs/>
                <w:color w:val="000000"/>
                <w:kern w:val="22"/>
                <w:sz w:val="15"/>
                <w:szCs w:val="15"/>
                <w:lang w:eastAsia="en-CA"/>
              </w:rPr>
            </w:pPr>
            <w:r w:rsidRPr="00EE0850">
              <w:rPr>
                <w:i/>
                <w:iCs/>
                <w:color w:val="000000"/>
                <w:kern w:val="22"/>
                <w:sz w:val="15"/>
                <w:szCs w:val="15"/>
                <w:lang w:eastAsia="en-CA"/>
              </w:rPr>
              <w:t>2019</w:t>
            </w:r>
            <w:r w:rsidRPr="00EE0850">
              <w:rPr>
                <w:i/>
                <w:iCs/>
                <w:color w:val="000000"/>
                <w:kern w:val="22"/>
                <w:sz w:val="15"/>
                <w:szCs w:val="15"/>
                <w:lang w:eastAsia="en-CA"/>
              </w:rPr>
              <w:br/>
              <w:t>(Thousands of United States dollars)</w:t>
            </w:r>
          </w:p>
        </w:tc>
        <w:tc>
          <w:tcPr>
            <w:tcW w:w="1600" w:type="dxa"/>
            <w:vMerge w:val="restart"/>
            <w:tcBorders>
              <w:top w:val="single" w:sz="8" w:space="0" w:color="auto"/>
              <w:left w:val="nil"/>
              <w:bottom w:val="single" w:sz="12" w:space="0" w:color="000000"/>
              <w:right w:val="nil"/>
            </w:tcBorders>
            <w:shd w:val="clear" w:color="auto" w:fill="auto"/>
            <w:vAlign w:val="center"/>
            <w:hideMark/>
          </w:tcPr>
          <w:p w14:paraId="03D3A86E" w14:textId="77777777" w:rsidR="00DE347C" w:rsidRPr="00EE0850" w:rsidRDefault="00DE347C" w:rsidP="000C6220">
            <w:pPr>
              <w:spacing w:after="0" w:line="240" w:lineRule="auto"/>
              <w:jc w:val="center"/>
              <w:rPr>
                <w:i/>
                <w:iCs/>
                <w:color w:val="000000"/>
                <w:kern w:val="22"/>
                <w:sz w:val="15"/>
                <w:szCs w:val="15"/>
                <w:lang w:eastAsia="en-CA"/>
              </w:rPr>
            </w:pPr>
            <w:r w:rsidRPr="00EE0850">
              <w:rPr>
                <w:i/>
                <w:iCs/>
                <w:color w:val="000000"/>
                <w:kern w:val="22"/>
                <w:sz w:val="15"/>
                <w:szCs w:val="15"/>
                <w:lang w:eastAsia="en-CA"/>
              </w:rPr>
              <w:t>2020</w:t>
            </w:r>
          </w:p>
          <w:p w14:paraId="69F14406" w14:textId="77777777" w:rsidR="00DE347C" w:rsidRPr="00EE0850" w:rsidRDefault="00DE347C" w:rsidP="000C6220">
            <w:pPr>
              <w:spacing w:after="0" w:line="240" w:lineRule="auto"/>
              <w:jc w:val="center"/>
              <w:rPr>
                <w:i/>
                <w:iCs/>
                <w:color w:val="000000"/>
                <w:kern w:val="22"/>
                <w:sz w:val="15"/>
                <w:szCs w:val="15"/>
                <w:lang w:eastAsia="en-CA"/>
              </w:rPr>
            </w:pPr>
            <w:r w:rsidRPr="00EE0850">
              <w:rPr>
                <w:i/>
                <w:iCs/>
                <w:color w:val="000000"/>
                <w:kern w:val="22"/>
                <w:sz w:val="15"/>
                <w:szCs w:val="15"/>
                <w:lang w:eastAsia="en-CA"/>
              </w:rPr>
              <w:t>(Thousands of United States dollars)</w:t>
            </w:r>
          </w:p>
        </w:tc>
        <w:tc>
          <w:tcPr>
            <w:tcW w:w="1640" w:type="dxa"/>
            <w:vMerge w:val="restart"/>
            <w:tcBorders>
              <w:top w:val="single" w:sz="8" w:space="0" w:color="auto"/>
              <w:left w:val="nil"/>
              <w:bottom w:val="single" w:sz="12" w:space="0" w:color="000000"/>
              <w:right w:val="nil"/>
            </w:tcBorders>
            <w:shd w:val="clear" w:color="auto" w:fill="auto"/>
            <w:vAlign w:val="center"/>
            <w:hideMark/>
          </w:tcPr>
          <w:p w14:paraId="67CB7FA1" w14:textId="77777777" w:rsidR="00DE347C" w:rsidRPr="00EE0850" w:rsidRDefault="00DE347C" w:rsidP="000C6220">
            <w:pPr>
              <w:spacing w:after="0" w:line="240" w:lineRule="auto"/>
              <w:jc w:val="center"/>
              <w:rPr>
                <w:i/>
                <w:iCs/>
                <w:color w:val="000000"/>
                <w:kern w:val="22"/>
                <w:sz w:val="15"/>
                <w:szCs w:val="15"/>
                <w:lang w:eastAsia="en-CA"/>
              </w:rPr>
            </w:pPr>
            <w:r w:rsidRPr="00EE0850">
              <w:rPr>
                <w:i/>
                <w:iCs/>
                <w:color w:val="000000"/>
                <w:kern w:val="22"/>
                <w:sz w:val="15"/>
                <w:szCs w:val="15"/>
                <w:lang w:eastAsia="en-CA"/>
              </w:rPr>
              <w:t>Total</w:t>
            </w:r>
          </w:p>
          <w:p w14:paraId="04EC4172" w14:textId="77777777" w:rsidR="00DE347C" w:rsidRPr="00EE0850" w:rsidRDefault="00DE347C" w:rsidP="000C6220">
            <w:pPr>
              <w:spacing w:after="0" w:line="240" w:lineRule="auto"/>
              <w:jc w:val="center"/>
              <w:rPr>
                <w:i/>
                <w:iCs/>
                <w:color w:val="000000"/>
                <w:kern w:val="22"/>
                <w:sz w:val="15"/>
                <w:szCs w:val="15"/>
                <w:lang w:eastAsia="en-CA"/>
              </w:rPr>
            </w:pPr>
            <w:r w:rsidRPr="00EE0850">
              <w:rPr>
                <w:i/>
                <w:iCs/>
                <w:color w:val="000000"/>
                <w:kern w:val="22"/>
                <w:sz w:val="15"/>
                <w:szCs w:val="15"/>
                <w:lang w:eastAsia="en-CA"/>
              </w:rPr>
              <w:t>(Thousands of United States dollars)</w:t>
            </w:r>
          </w:p>
        </w:tc>
      </w:tr>
      <w:tr w:rsidR="00AB0DE7" w:rsidRPr="00EE0850" w14:paraId="6BB84019" w14:textId="77777777" w:rsidTr="00DE347C">
        <w:trPr>
          <w:trHeight w:val="411"/>
        </w:trPr>
        <w:tc>
          <w:tcPr>
            <w:tcW w:w="4520" w:type="dxa"/>
            <w:vMerge/>
            <w:tcBorders>
              <w:top w:val="single" w:sz="8" w:space="0" w:color="auto"/>
              <w:left w:val="nil"/>
              <w:bottom w:val="single" w:sz="12" w:space="0" w:color="000000"/>
              <w:right w:val="nil"/>
            </w:tcBorders>
            <w:vAlign w:val="center"/>
            <w:hideMark/>
          </w:tcPr>
          <w:p w14:paraId="2B1DF721" w14:textId="77777777" w:rsidR="00DE347C" w:rsidRPr="00EE0850" w:rsidRDefault="00DE347C" w:rsidP="000C6220">
            <w:pPr>
              <w:spacing w:after="0" w:line="240" w:lineRule="auto"/>
              <w:jc w:val="left"/>
              <w:rPr>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379E700D" w14:textId="77777777" w:rsidR="00DE347C" w:rsidRPr="00EE0850" w:rsidRDefault="00DE347C" w:rsidP="000C6220">
            <w:pPr>
              <w:spacing w:after="0" w:line="240" w:lineRule="auto"/>
              <w:jc w:val="left"/>
              <w:rPr>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543D6C00" w14:textId="77777777" w:rsidR="00DE347C" w:rsidRPr="00EE0850" w:rsidRDefault="00DE347C" w:rsidP="000C6220">
            <w:pPr>
              <w:spacing w:after="0" w:line="240" w:lineRule="auto"/>
              <w:jc w:val="left"/>
              <w:rPr>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53652E91" w14:textId="77777777" w:rsidR="00DE347C" w:rsidRPr="00EE0850" w:rsidRDefault="00DE347C" w:rsidP="000C6220">
            <w:pPr>
              <w:spacing w:after="0" w:line="240" w:lineRule="auto"/>
              <w:jc w:val="left"/>
              <w:rPr>
                <w:i/>
                <w:iCs/>
                <w:color w:val="000000"/>
                <w:kern w:val="22"/>
                <w:sz w:val="15"/>
                <w:szCs w:val="15"/>
                <w:lang w:eastAsia="en-CA"/>
              </w:rPr>
            </w:pPr>
          </w:p>
        </w:tc>
      </w:tr>
      <w:tr w:rsidR="00AB0DE7" w:rsidRPr="00EE0850" w14:paraId="4B2FDD6A" w14:textId="77777777" w:rsidTr="00DE347C">
        <w:trPr>
          <w:trHeight w:val="411"/>
        </w:trPr>
        <w:tc>
          <w:tcPr>
            <w:tcW w:w="4520" w:type="dxa"/>
            <w:vMerge/>
            <w:tcBorders>
              <w:top w:val="single" w:sz="8" w:space="0" w:color="auto"/>
              <w:left w:val="nil"/>
              <w:bottom w:val="single" w:sz="12" w:space="0" w:color="000000"/>
              <w:right w:val="nil"/>
            </w:tcBorders>
            <w:vAlign w:val="center"/>
            <w:hideMark/>
          </w:tcPr>
          <w:p w14:paraId="167FED9B" w14:textId="77777777" w:rsidR="00DE347C" w:rsidRPr="00EE0850" w:rsidRDefault="00DE347C" w:rsidP="000C6220">
            <w:pPr>
              <w:spacing w:after="0" w:line="240" w:lineRule="auto"/>
              <w:jc w:val="left"/>
              <w:rPr>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44CB03CA" w14:textId="77777777" w:rsidR="00DE347C" w:rsidRPr="00EE0850" w:rsidRDefault="00DE347C" w:rsidP="000C6220">
            <w:pPr>
              <w:spacing w:after="0" w:line="240" w:lineRule="auto"/>
              <w:jc w:val="left"/>
              <w:rPr>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3B5D23DD" w14:textId="77777777" w:rsidR="00DE347C" w:rsidRPr="00EE0850" w:rsidRDefault="00DE347C" w:rsidP="000C6220">
            <w:pPr>
              <w:spacing w:after="0" w:line="240" w:lineRule="auto"/>
              <w:jc w:val="left"/>
              <w:rPr>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7F35BA0F" w14:textId="77777777" w:rsidR="00DE347C" w:rsidRPr="00EE0850" w:rsidRDefault="00DE347C" w:rsidP="000C6220">
            <w:pPr>
              <w:spacing w:after="0" w:line="240" w:lineRule="auto"/>
              <w:jc w:val="left"/>
              <w:rPr>
                <w:i/>
                <w:iCs/>
                <w:color w:val="000000"/>
                <w:kern w:val="22"/>
                <w:sz w:val="15"/>
                <w:szCs w:val="15"/>
                <w:lang w:eastAsia="en-CA"/>
              </w:rPr>
            </w:pPr>
          </w:p>
        </w:tc>
      </w:tr>
      <w:tr w:rsidR="00DE347C" w:rsidRPr="00EE0850" w14:paraId="63D398CA" w14:textId="77777777" w:rsidTr="00DE347C">
        <w:tc>
          <w:tcPr>
            <w:tcW w:w="4520" w:type="dxa"/>
            <w:tcBorders>
              <w:top w:val="nil"/>
              <w:left w:val="nil"/>
              <w:bottom w:val="nil"/>
              <w:right w:val="nil"/>
            </w:tcBorders>
            <w:shd w:val="clear" w:color="auto" w:fill="auto"/>
            <w:hideMark/>
          </w:tcPr>
          <w:p w14:paraId="064E110A" w14:textId="77777777" w:rsidR="00DE347C" w:rsidRPr="00EE0850" w:rsidRDefault="00DE347C" w:rsidP="000C6220">
            <w:pPr>
              <w:spacing w:after="0" w:line="240" w:lineRule="auto"/>
              <w:jc w:val="left"/>
              <w:rPr>
                <w:b/>
                <w:bCs/>
                <w:color w:val="000000"/>
                <w:kern w:val="22"/>
                <w:sz w:val="17"/>
                <w:szCs w:val="17"/>
                <w:lang w:eastAsia="en-CA"/>
              </w:rPr>
            </w:pPr>
            <w:r w:rsidRPr="00EE0850">
              <w:rPr>
                <w:b/>
                <w:bCs/>
                <w:color w:val="000000"/>
                <w:kern w:val="22"/>
                <w:sz w:val="17"/>
                <w:szCs w:val="17"/>
                <w:lang w:eastAsia="en-CA"/>
              </w:rPr>
              <w:t>I. Programmes:</w:t>
            </w:r>
          </w:p>
        </w:tc>
        <w:tc>
          <w:tcPr>
            <w:tcW w:w="1360" w:type="dxa"/>
            <w:tcBorders>
              <w:top w:val="nil"/>
              <w:left w:val="nil"/>
              <w:bottom w:val="nil"/>
              <w:right w:val="nil"/>
            </w:tcBorders>
            <w:shd w:val="clear" w:color="auto" w:fill="auto"/>
            <w:vAlign w:val="center"/>
            <w:hideMark/>
          </w:tcPr>
          <w:p w14:paraId="7BF064D3" w14:textId="77777777" w:rsidR="00DE347C" w:rsidRPr="00EE0850" w:rsidRDefault="00DE347C" w:rsidP="000C6220">
            <w:pPr>
              <w:spacing w:after="0" w:line="240" w:lineRule="auto"/>
              <w:jc w:val="left"/>
              <w:rPr>
                <w:color w:val="000000"/>
                <w:kern w:val="22"/>
                <w:sz w:val="17"/>
                <w:szCs w:val="17"/>
                <w:lang w:eastAsia="en-CA"/>
              </w:rPr>
            </w:pPr>
          </w:p>
        </w:tc>
        <w:tc>
          <w:tcPr>
            <w:tcW w:w="1600" w:type="dxa"/>
            <w:tcBorders>
              <w:top w:val="nil"/>
              <w:left w:val="nil"/>
              <w:bottom w:val="nil"/>
              <w:right w:val="nil"/>
            </w:tcBorders>
            <w:shd w:val="clear" w:color="auto" w:fill="auto"/>
            <w:vAlign w:val="center"/>
            <w:hideMark/>
          </w:tcPr>
          <w:p w14:paraId="5058FBB2" w14:textId="77777777" w:rsidR="00DE347C" w:rsidRPr="00EE0850" w:rsidRDefault="00DE347C" w:rsidP="000C6220">
            <w:pPr>
              <w:spacing w:after="0" w:line="240" w:lineRule="auto"/>
              <w:jc w:val="right"/>
              <w:rPr>
                <w:color w:val="000000"/>
                <w:kern w:val="22"/>
                <w:sz w:val="17"/>
                <w:szCs w:val="17"/>
                <w:lang w:eastAsia="en-CA"/>
              </w:rPr>
            </w:pPr>
          </w:p>
        </w:tc>
        <w:tc>
          <w:tcPr>
            <w:tcW w:w="1640" w:type="dxa"/>
            <w:tcBorders>
              <w:top w:val="nil"/>
              <w:left w:val="nil"/>
              <w:bottom w:val="nil"/>
              <w:right w:val="nil"/>
            </w:tcBorders>
            <w:shd w:val="clear" w:color="auto" w:fill="auto"/>
            <w:vAlign w:val="center"/>
            <w:hideMark/>
          </w:tcPr>
          <w:p w14:paraId="00BCBE0D" w14:textId="77777777" w:rsidR="00DE347C" w:rsidRPr="00EE0850" w:rsidRDefault="00DE347C" w:rsidP="000C6220">
            <w:pPr>
              <w:spacing w:after="0" w:line="240" w:lineRule="auto"/>
              <w:jc w:val="right"/>
              <w:rPr>
                <w:color w:val="000000"/>
                <w:kern w:val="22"/>
                <w:sz w:val="17"/>
                <w:szCs w:val="17"/>
                <w:lang w:eastAsia="en-CA"/>
              </w:rPr>
            </w:pPr>
          </w:p>
        </w:tc>
      </w:tr>
      <w:tr w:rsidR="00DE347C" w:rsidRPr="00EE0850" w14:paraId="71981279" w14:textId="77777777" w:rsidTr="00DE347C">
        <w:trPr>
          <w:trHeight w:val="288"/>
        </w:trPr>
        <w:tc>
          <w:tcPr>
            <w:tcW w:w="4520" w:type="dxa"/>
            <w:tcBorders>
              <w:top w:val="nil"/>
              <w:left w:val="nil"/>
              <w:bottom w:val="nil"/>
              <w:right w:val="nil"/>
            </w:tcBorders>
            <w:shd w:val="clear" w:color="auto" w:fill="auto"/>
            <w:hideMark/>
          </w:tcPr>
          <w:p w14:paraId="479973B2"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 xml:space="preserve">  Office of the Executive Secretary</w:t>
            </w:r>
          </w:p>
        </w:tc>
        <w:tc>
          <w:tcPr>
            <w:tcW w:w="1360" w:type="dxa"/>
            <w:tcBorders>
              <w:top w:val="nil"/>
              <w:left w:val="nil"/>
              <w:bottom w:val="nil"/>
              <w:right w:val="nil"/>
            </w:tcBorders>
            <w:shd w:val="clear" w:color="auto" w:fill="auto"/>
            <w:hideMark/>
          </w:tcPr>
          <w:p w14:paraId="64F851B2"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3 534.0</w:t>
            </w:r>
          </w:p>
        </w:tc>
        <w:tc>
          <w:tcPr>
            <w:tcW w:w="1600" w:type="dxa"/>
            <w:tcBorders>
              <w:top w:val="nil"/>
              <w:left w:val="nil"/>
              <w:bottom w:val="nil"/>
              <w:right w:val="nil"/>
            </w:tcBorders>
            <w:shd w:val="clear" w:color="auto" w:fill="auto"/>
            <w:hideMark/>
          </w:tcPr>
          <w:p w14:paraId="2563184B"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3 444.8</w:t>
            </w:r>
          </w:p>
        </w:tc>
        <w:tc>
          <w:tcPr>
            <w:tcW w:w="1640" w:type="dxa"/>
            <w:tcBorders>
              <w:top w:val="nil"/>
              <w:left w:val="nil"/>
              <w:bottom w:val="nil"/>
              <w:right w:val="nil"/>
            </w:tcBorders>
            <w:shd w:val="clear" w:color="auto" w:fill="auto"/>
            <w:hideMark/>
          </w:tcPr>
          <w:p w14:paraId="65A7CE09"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6 978.8</w:t>
            </w:r>
          </w:p>
        </w:tc>
      </w:tr>
      <w:tr w:rsidR="00DE347C" w:rsidRPr="00EE0850" w14:paraId="46593932" w14:textId="77777777" w:rsidTr="00DE347C">
        <w:trPr>
          <w:trHeight w:val="288"/>
        </w:trPr>
        <w:tc>
          <w:tcPr>
            <w:tcW w:w="4520" w:type="dxa"/>
            <w:tcBorders>
              <w:top w:val="nil"/>
              <w:left w:val="nil"/>
              <w:bottom w:val="nil"/>
              <w:right w:val="nil"/>
            </w:tcBorders>
            <w:shd w:val="clear" w:color="auto" w:fill="auto"/>
            <w:hideMark/>
          </w:tcPr>
          <w:p w14:paraId="720998AD"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 xml:space="preserve">  ABS and BS Protocols</w:t>
            </w:r>
          </w:p>
        </w:tc>
        <w:tc>
          <w:tcPr>
            <w:tcW w:w="1360" w:type="dxa"/>
            <w:tcBorders>
              <w:top w:val="nil"/>
              <w:left w:val="nil"/>
              <w:bottom w:val="nil"/>
              <w:right w:val="nil"/>
            </w:tcBorders>
            <w:shd w:val="clear" w:color="auto" w:fill="auto"/>
            <w:hideMark/>
          </w:tcPr>
          <w:p w14:paraId="75331443"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2 322.6</w:t>
            </w:r>
          </w:p>
        </w:tc>
        <w:tc>
          <w:tcPr>
            <w:tcW w:w="1600" w:type="dxa"/>
            <w:tcBorders>
              <w:top w:val="nil"/>
              <w:left w:val="nil"/>
              <w:bottom w:val="nil"/>
              <w:right w:val="nil"/>
            </w:tcBorders>
            <w:shd w:val="clear" w:color="auto" w:fill="auto"/>
            <w:hideMark/>
          </w:tcPr>
          <w:p w14:paraId="439D5270"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2 375.9</w:t>
            </w:r>
          </w:p>
        </w:tc>
        <w:tc>
          <w:tcPr>
            <w:tcW w:w="1640" w:type="dxa"/>
            <w:tcBorders>
              <w:top w:val="nil"/>
              <w:left w:val="nil"/>
              <w:bottom w:val="nil"/>
              <w:right w:val="nil"/>
            </w:tcBorders>
            <w:shd w:val="clear" w:color="auto" w:fill="auto"/>
            <w:hideMark/>
          </w:tcPr>
          <w:p w14:paraId="05707586"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4 698.5</w:t>
            </w:r>
          </w:p>
        </w:tc>
      </w:tr>
      <w:tr w:rsidR="00DE347C" w:rsidRPr="00EE0850" w14:paraId="33D863F7" w14:textId="77777777" w:rsidTr="00DE347C">
        <w:trPr>
          <w:trHeight w:val="288"/>
        </w:trPr>
        <w:tc>
          <w:tcPr>
            <w:tcW w:w="4520" w:type="dxa"/>
            <w:tcBorders>
              <w:top w:val="nil"/>
              <w:left w:val="nil"/>
              <w:bottom w:val="nil"/>
              <w:right w:val="nil"/>
            </w:tcBorders>
            <w:shd w:val="clear" w:color="auto" w:fill="auto"/>
            <w:hideMark/>
          </w:tcPr>
          <w:p w14:paraId="67F410BF"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 xml:space="preserve">  Science, Society and Sustainable Futures Division</w:t>
            </w:r>
          </w:p>
        </w:tc>
        <w:tc>
          <w:tcPr>
            <w:tcW w:w="1360" w:type="dxa"/>
            <w:tcBorders>
              <w:top w:val="nil"/>
              <w:left w:val="nil"/>
              <w:bottom w:val="nil"/>
              <w:right w:val="nil"/>
            </w:tcBorders>
            <w:shd w:val="clear" w:color="auto" w:fill="auto"/>
            <w:hideMark/>
          </w:tcPr>
          <w:p w14:paraId="19336A92"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3 912.3</w:t>
            </w:r>
          </w:p>
        </w:tc>
        <w:tc>
          <w:tcPr>
            <w:tcW w:w="1600" w:type="dxa"/>
            <w:tcBorders>
              <w:top w:val="nil"/>
              <w:left w:val="nil"/>
              <w:bottom w:val="nil"/>
              <w:right w:val="nil"/>
            </w:tcBorders>
            <w:shd w:val="clear" w:color="auto" w:fill="auto"/>
            <w:hideMark/>
          </w:tcPr>
          <w:p w14:paraId="648C2E31"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3 909.0</w:t>
            </w:r>
          </w:p>
        </w:tc>
        <w:tc>
          <w:tcPr>
            <w:tcW w:w="1640" w:type="dxa"/>
            <w:tcBorders>
              <w:top w:val="nil"/>
              <w:left w:val="nil"/>
              <w:bottom w:val="nil"/>
              <w:right w:val="nil"/>
            </w:tcBorders>
            <w:shd w:val="clear" w:color="auto" w:fill="auto"/>
            <w:hideMark/>
          </w:tcPr>
          <w:p w14:paraId="70D4EEC1"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7 821.3</w:t>
            </w:r>
          </w:p>
        </w:tc>
      </w:tr>
      <w:tr w:rsidR="00DE347C" w:rsidRPr="00EE0850" w14:paraId="685B0D74" w14:textId="77777777" w:rsidTr="00DE347C">
        <w:trPr>
          <w:trHeight w:val="300"/>
        </w:trPr>
        <w:tc>
          <w:tcPr>
            <w:tcW w:w="4520" w:type="dxa"/>
            <w:tcBorders>
              <w:top w:val="nil"/>
              <w:left w:val="nil"/>
              <w:bottom w:val="single" w:sz="8" w:space="0" w:color="auto"/>
              <w:right w:val="nil"/>
            </w:tcBorders>
            <w:shd w:val="clear" w:color="auto" w:fill="auto"/>
            <w:hideMark/>
          </w:tcPr>
          <w:p w14:paraId="0F7FCC55"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 xml:space="preserve">  Implementation Support Division</w:t>
            </w:r>
          </w:p>
        </w:tc>
        <w:tc>
          <w:tcPr>
            <w:tcW w:w="1360" w:type="dxa"/>
            <w:tcBorders>
              <w:top w:val="nil"/>
              <w:left w:val="nil"/>
              <w:bottom w:val="single" w:sz="8" w:space="0" w:color="auto"/>
              <w:right w:val="nil"/>
            </w:tcBorders>
            <w:shd w:val="clear" w:color="auto" w:fill="auto"/>
            <w:hideMark/>
          </w:tcPr>
          <w:p w14:paraId="34CE84F0"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3 105.0</w:t>
            </w:r>
          </w:p>
        </w:tc>
        <w:tc>
          <w:tcPr>
            <w:tcW w:w="1600" w:type="dxa"/>
            <w:tcBorders>
              <w:top w:val="nil"/>
              <w:left w:val="nil"/>
              <w:bottom w:val="single" w:sz="8" w:space="0" w:color="auto"/>
              <w:right w:val="nil"/>
            </w:tcBorders>
            <w:shd w:val="clear" w:color="auto" w:fill="auto"/>
            <w:hideMark/>
          </w:tcPr>
          <w:p w14:paraId="71CEBD88"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3 708.2</w:t>
            </w:r>
          </w:p>
        </w:tc>
        <w:tc>
          <w:tcPr>
            <w:tcW w:w="1640" w:type="dxa"/>
            <w:tcBorders>
              <w:top w:val="nil"/>
              <w:left w:val="nil"/>
              <w:bottom w:val="single" w:sz="8" w:space="0" w:color="auto"/>
              <w:right w:val="nil"/>
            </w:tcBorders>
            <w:shd w:val="clear" w:color="auto" w:fill="auto"/>
            <w:hideMark/>
          </w:tcPr>
          <w:p w14:paraId="2349FC26"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6 813.2</w:t>
            </w:r>
          </w:p>
        </w:tc>
      </w:tr>
      <w:tr w:rsidR="00DE347C" w:rsidRPr="00EE0850" w14:paraId="5FE0797C" w14:textId="77777777" w:rsidTr="00DE347C">
        <w:trPr>
          <w:trHeight w:val="300"/>
        </w:trPr>
        <w:tc>
          <w:tcPr>
            <w:tcW w:w="4520" w:type="dxa"/>
            <w:tcBorders>
              <w:top w:val="nil"/>
              <w:left w:val="nil"/>
              <w:bottom w:val="single" w:sz="8" w:space="0" w:color="auto"/>
              <w:right w:val="nil"/>
            </w:tcBorders>
            <w:shd w:val="clear" w:color="auto" w:fill="auto"/>
            <w:hideMark/>
          </w:tcPr>
          <w:p w14:paraId="081FF835" w14:textId="77777777" w:rsidR="00DE347C" w:rsidRPr="00EE0850" w:rsidRDefault="00DE347C" w:rsidP="000C6220">
            <w:pPr>
              <w:spacing w:after="0" w:line="240" w:lineRule="auto"/>
              <w:jc w:val="left"/>
              <w:rPr>
                <w:b/>
                <w:bCs/>
                <w:color w:val="000000"/>
                <w:kern w:val="22"/>
                <w:sz w:val="17"/>
                <w:szCs w:val="17"/>
                <w:lang w:eastAsia="en-CA"/>
              </w:rPr>
            </w:pPr>
            <w:r w:rsidRPr="00EE0850">
              <w:rPr>
                <w:b/>
                <w:bCs/>
                <w:color w:val="000000"/>
                <w:kern w:val="22"/>
                <w:sz w:val="17"/>
                <w:szCs w:val="17"/>
                <w:lang w:eastAsia="en-CA"/>
              </w:rPr>
              <w:t>II. Administration, Finance and Conference Services</w:t>
            </w:r>
          </w:p>
        </w:tc>
        <w:tc>
          <w:tcPr>
            <w:tcW w:w="1360" w:type="dxa"/>
            <w:tcBorders>
              <w:top w:val="nil"/>
              <w:left w:val="nil"/>
              <w:bottom w:val="single" w:sz="8" w:space="0" w:color="auto"/>
              <w:right w:val="nil"/>
            </w:tcBorders>
            <w:shd w:val="clear" w:color="auto" w:fill="auto"/>
            <w:hideMark/>
          </w:tcPr>
          <w:p w14:paraId="4D81AD4B"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3 845.0</w:t>
            </w:r>
          </w:p>
        </w:tc>
        <w:tc>
          <w:tcPr>
            <w:tcW w:w="1600" w:type="dxa"/>
            <w:tcBorders>
              <w:top w:val="nil"/>
              <w:left w:val="nil"/>
              <w:bottom w:val="single" w:sz="8" w:space="0" w:color="auto"/>
              <w:right w:val="nil"/>
            </w:tcBorders>
            <w:shd w:val="clear" w:color="auto" w:fill="auto"/>
            <w:hideMark/>
          </w:tcPr>
          <w:p w14:paraId="02E1FE40"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4 052.6</w:t>
            </w:r>
          </w:p>
        </w:tc>
        <w:tc>
          <w:tcPr>
            <w:tcW w:w="1640" w:type="dxa"/>
            <w:tcBorders>
              <w:top w:val="nil"/>
              <w:left w:val="nil"/>
              <w:bottom w:val="single" w:sz="8" w:space="0" w:color="auto"/>
              <w:right w:val="nil"/>
            </w:tcBorders>
            <w:shd w:val="clear" w:color="auto" w:fill="auto"/>
            <w:hideMark/>
          </w:tcPr>
          <w:p w14:paraId="32E39539"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7 897.6</w:t>
            </w:r>
          </w:p>
        </w:tc>
      </w:tr>
      <w:tr w:rsidR="00DE347C" w:rsidRPr="00EE0850" w14:paraId="3E049A09" w14:textId="77777777" w:rsidTr="00DE347C">
        <w:trPr>
          <w:trHeight w:val="300"/>
        </w:trPr>
        <w:tc>
          <w:tcPr>
            <w:tcW w:w="4520" w:type="dxa"/>
            <w:tcBorders>
              <w:top w:val="nil"/>
              <w:left w:val="nil"/>
              <w:bottom w:val="single" w:sz="12" w:space="0" w:color="auto"/>
              <w:right w:val="nil"/>
            </w:tcBorders>
            <w:shd w:val="clear" w:color="auto" w:fill="auto"/>
            <w:hideMark/>
          </w:tcPr>
          <w:p w14:paraId="41A1695B" w14:textId="77777777" w:rsidR="00DE347C" w:rsidRPr="00EE0850" w:rsidRDefault="00DE347C" w:rsidP="000C6220">
            <w:pPr>
              <w:spacing w:after="0" w:line="240" w:lineRule="auto"/>
              <w:jc w:val="left"/>
              <w:rPr>
                <w:b/>
                <w:bCs/>
                <w:color w:val="000000"/>
                <w:kern w:val="22"/>
                <w:sz w:val="17"/>
                <w:szCs w:val="17"/>
                <w:lang w:eastAsia="en-CA"/>
              </w:rPr>
            </w:pPr>
            <w:r w:rsidRPr="00EE0850">
              <w:rPr>
                <w:b/>
                <w:bCs/>
                <w:color w:val="000000"/>
                <w:kern w:val="22"/>
                <w:sz w:val="17"/>
                <w:szCs w:val="17"/>
                <w:lang w:eastAsia="en-CA"/>
              </w:rPr>
              <w:t>Subtotal</w:t>
            </w:r>
          </w:p>
        </w:tc>
        <w:tc>
          <w:tcPr>
            <w:tcW w:w="1360" w:type="dxa"/>
            <w:tcBorders>
              <w:top w:val="nil"/>
              <w:left w:val="nil"/>
              <w:bottom w:val="single" w:sz="12" w:space="0" w:color="auto"/>
              <w:right w:val="nil"/>
            </w:tcBorders>
            <w:shd w:val="clear" w:color="auto" w:fill="auto"/>
            <w:hideMark/>
          </w:tcPr>
          <w:p w14:paraId="6853A3B2"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16 718.9</w:t>
            </w:r>
          </w:p>
        </w:tc>
        <w:tc>
          <w:tcPr>
            <w:tcW w:w="1600" w:type="dxa"/>
            <w:tcBorders>
              <w:top w:val="nil"/>
              <w:left w:val="nil"/>
              <w:bottom w:val="single" w:sz="12" w:space="0" w:color="auto"/>
              <w:right w:val="nil"/>
            </w:tcBorders>
            <w:shd w:val="clear" w:color="auto" w:fill="auto"/>
            <w:hideMark/>
          </w:tcPr>
          <w:p w14:paraId="6BBBC31F"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17 490.5</w:t>
            </w:r>
          </w:p>
        </w:tc>
        <w:tc>
          <w:tcPr>
            <w:tcW w:w="1640" w:type="dxa"/>
            <w:tcBorders>
              <w:top w:val="nil"/>
              <w:left w:val="nil"/>
              <w:bottom w:val="single" w:sz="12" w:space="0" w:color="auto"/>
              <w:right w:val="nil"/>
            </w:tcBorders>
            <w:shd w:val="clear" w:color="auto" w:fill="auto"/>
            <w:hideMark/>
          </w:tcPr>
          <w:p w14:paraId="1D3965D7"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34 209.4</w:t>
            </w:r>
          </w:p>
        </w:tc>
      </w:tr>
      <w:tr w:rsidR="00DE347C" w:rsidRPr="00EE0850" w14:paraId="4F4F7420" w14:textId="77777777" w:rsidTr="00DE347C">
        <w:trPr>
          <w:trHeight w:val="300"/>
        </w:trPr>
        <w:tc>
          <w:tcPr>
            <w:tcW w:w="4520" w:type="dxa"/>
            <w:tcBorders>
              <w:top w:val="nil"/>
              <w:left w:val="nil"/>
              <w:bottom w:val="nil"/>
              <w:right w:val="nil"/>
            </w:tcBorders>
            <w:shd w:val="clear" w:color="auto" w:fill="auto"/>
            <w:hideMark/>
          </w:tcPr>
          <w:p w14:paraId="51961632"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Programme support costs</w:t>
            </w:r>
          </w:p>
        </w:tc>
        <w:tc>
          <w:tcPr>
            <w:tcW w:w="1360" w:type="dxa"/>
            <w:tcBorders>
              <w:top w:val="nil"/>
              <w:left w:val="nil"/>
              <w:bottom w:val="nil"/>
              <w:right w:val="nil"/>
            </w:tcBorders>
            <w:shd w:val="clear" w:color="auto" w:fill="auto"/>
            <w:noWrap/>
            <w:hideMark/>
          </w:tcPr>
          <w:p w14:paraId="05DE6E95"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2 173.4</w:t>
            </w:r>
          </w:p>
        </w:tc>
        <w:tc>
          <w:tcPr>
            <w:tcW w:w="1600" w:type="dxa"/>
            <w:tcBorders>
              <w:top w:val="nil"/>
              <w:left w:val="nil"/>
              <w:bottom w:val="nil"/>
              <w:right w:val="nil"/>
            </w:tcBorders>
            <w:shd w:val="clear" w:color="auto" w:fill="auto"/>
            <w:noWrap/>
            <w:hideMark/>
          </w:tcPr>
          <w:p w14:paraId="41450B9E"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2 273.9</w:t>
            </w:r>
          </w:p>
        </w:tc>
        <w:tc>
          <w:tcPr>
            <w:tcW w:w="1640" w:type="dxa"/>
            <w:tcBorders>
              <w:top w:val="nil"/>
              <w:left w:val="nil"/>
              <w:bottom w:val="nil"/>
              <w:right w:val="nil"/>
            </w:tcBorders>
            <w:shd w:val="clear" w:color="auto" w:fill="auto"/>
            <w:hideMark/>
          </w:tcPr>
          <w:p w14:paraId="10DB7CCD"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4 447.2</w:t>
            </w:r>
          </w:p>
        </w:tc>
      </w:tr>
      <w:tr w:rsidR="00DE347C" w:rsidRPr="00EE0850" w14:paraId="73CF20BD" w14:textId="77777777" w:rsidTr="00DE347C">
        <w:trPr>
          <w:trHeight w:val="300"/>
        </w:trPr>
        <w:tc>
          <w:tcPr>
            <w:tcW w:w="4520" w:type="dxa"/>
            <w:tcBorders>
              <w:top w:val="nil"/>
              <w:left w:val="nil"/>
              <w:bottom w:val="single" w:sz="8" w:space="0" w:color="auto"/>
              <w:right w:val="nil"/>
            </w:tcBorders>
            <w:shd w:val="clear" w:color="auto" w:fill="auto"/>
            <w:hideMark/>
          </w:tcPr>
          <w:p w14:paraId="3626DD8C" w14:textId="77777777" w:rsidR="00DE347C" w:rsidRPr="00EE0850" w:rsidRDefault="00DE347C" w:rsidP="000C6220">
            <w:pPr>
              <w:spacing w:after="0" w:line="240" w:lineRule="auto"/>
              <w:jc w:val="left"/>
              <w:rPr>
                <w:b/>
                <w:bCs/>
                <w:color w:val="000000"/>
                <w:kern w:val="22"/>
                <w:sz w:val="17"/>
                <w:szCs w:val="17"/>
                <w:lang w:eastAsia="en-CA"/>
              </w:rPr>
            </w:pPr>
            <w:r w:rsidRPr="00EE0850">
              <w:rPr>
                <w:b/>
                <w:bCs/>
                <w:color w:val="000000"/>
                <w:kern w:val="22"/>
                <w:sz w:val="17"/>
                <w:szCs w:val="17"/>
                <w:lang w:eastAsia="en-CA"/>
              </w:rPr>
              <w:t>III. Working Capital Reserve</w:t>
            </w:r>
          </w:p>
        </w:tc>
        <w:tc>
          <w:tcPr>
            <w:tcW w:w="1360" w:type="dxa"/>
            <w:tcBorders>
              <w:top w:val="nil"/>
              <w:left w:val="nil"/>
              <w:bottom w:val="single" w:sz="8" w:space="0" w:color="auto"/>
              <w:right w:val="nil"/>
            </w:tcBorders>
            <w:shd w:val="clear" w:color="auto" w:fill="auto"/>
            <w:noWrap/>
            <w:hideMark/>
          </w:tcPr>
          <w:p w14:paraId="0C0E093F"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56.6</w:t>
            </w:r>
          </w:p>
        </w:tc>
        <w:tc>
          <w:tcPr>
            <w:tcW w:w="1600" w:type="dxa"/>
            <w:tcBorders>
              <w:top w:val="nil"/>
              <w:left w:val="nil"/>
              <w:bottom w:val="single" w:sz="8" w:space="0" w:color="auto"/>
              <w:right w:val="nil"/>
            </w:tcBorders>
            <w:shd w:val="clear" w:color="auto" w:fill="auto"/>
            <w:noWrap/>
            <w:hideMark/>
          </w:tcPr>
          <w:p w14:paraId="11857102"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130.8</w:t>
            </w:r>
          </w:p>
        </w:tc>
        <w:tc>
          <w:tcPr>
            <w:tcW w:w="1640" w:type="dxa"/>
            <w:tcBorders>
              <w:top w:val="nil"/>
              <w:left w:val="nil"/>
              <w:bottom w:val="single" w:sz="8" w:space="0" w:color="auto"/>
              <w:right w:val="nil"/>
            </w:tcBorders>
            <w:shd w:val="clear" w:color="auto" w:fill="auto"/>
            <w:hideMark/>
          </w:tcPr>
          <w:p w14:paraId="474D1944"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187.5</w:t>
            </w:r>
          </w:p>
        </w:tc>
      </w:tr>
      <w:tr w:rsidR="00DE347C" w:rsidRPr="00EE0850" w14:paraId="6603757C" w14:textId="77777777" w:rsidTr="00DE347C">
        <w:trPr>
          <w:trHeight w:val="300"/>
        </w:trPr>
        <w:tc>
          <w:tcPr>
            <w:tcW w:w="4520" w:type="dxa"/>
            <w:tcBorders>
              <w:top w:val="nil"/>
              <w:left w:val="nil"/>
              <w:bottom w:val="single" w:sz="8" w:space="0" w:color="auto"/>
              <w:right w:val="nil"/>
            </w:tcBorders>
            <w:shd w:val="clear" w:color="auto" w:fill="auto"/>
            <w:hideMark/>
          </w:tcPr>
          <w:p w14:paraId="6C27E719" w14:textId="77777777" w:rsidR="00DE347C" w:rsidRPr="00EE0850" w:rsidRDefault="00DE347C" w:rsidP="000C6220">
            <w:pPr>
              <w:spacing w:after="0" w:line="240" w:lineRule="auto"/>
              <w:jc w:val="left"/>
              <w:rPr>
                <w:b/>
                <w:bCs/>
                <w:color w:val="000000"/>
                <w:kern w:val="22"/>
                <w:sz w:val="17"/>
                <w:szCs w:val="17"/>
                <w:lang w:eastAsia="en-CA"/>
              </w:rPr>
            </w:pPr>
            <w:r w:rsidRPr="00EE0850">
              <w:rPr>
                <w:b/>
                <w:bCs/>
                <w:color w:val="000000"/>
                <w:kern w:val="22"/>
                <w:sz w:val="17"/>
                <w:szCs w:val="17"/>
                <w:lang w:eastAsia="en-CA"/>
              </w:rPr>
              <w:t>Total</w:t>
            </w:r>
          </w:p>
        </w:tc>
        <w:tc>
          <w:tcPr>
            <w:tcW w:w="1360" w:type="dxa"/>
            <w:tcBorders>
              <w:top w:val="nil"/>
              <w:left w:val="nil"/>
              <w:bottom w:val="single" w:sz="8" w:space="0" w:color="auto"/>
              <w:right w:val="nil"/>
            </w:tcBorders>
            <w:shd w:val="clear" w:color="auto" w:fill="auto"/>
            <w:noWrap/>
            <w:hideMark/>
          </w:tcPr>
          <w:p w14:paraId="51D98E69"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18 948.9</w:t>
            </w:r>
          </w:p>
        </w:tc>
        <w:tc>
          <w:tcPr>
            <w:tcW w:w="1600" w:type="dxa"/>
            <w:tcBorders>
              <w:top w:val="nil"/>
              <w:left w:val="nil"/>
              <w:bottom w:val="single" w:sz="8" w:space="0" w:color="auto"/>
              <w:right w:val="nil"/>
            </w:tcBorders>
            <w:shd w:val="clear" w:color="auto" w:fill="auto"/>
            <w:noWrap/>
            <w:hideMark/>
          </w:tcPr>
          <w:p w14:paraId="22393461"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19 895.2</w:t>
            </w:r>
          </w:p>
        </w:tc>
        <w:tc>
          <w:tcPr>
            <w:tcW w:w="1640" w:type="dxa"/>
            <w:tcBorders>
              <w:top w:val="nil"/>
              <w:left w:val="nil"/>
              <w:bottom w:val="single" w:sz="8" w:space="0" w:color="auto"/>
              <w:right w:val="nil"/>
            </w:tcBorders>
            <w:shd w:val="clear" w:color="auto" w:fill="auto"/>
            <w:hideMark/>
          </w:tcPr>
          <w:p w14:paraId="079B25BD"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38 844.1</w:t>
            </w:r>
          </w:p>
        </w:tc>
      </w:tr>
      <w:tr w:rsidR="00DE347C" w:rsidRPr="00EE0850" w14:paraId="7E0F3476" w14:textId="77777777" w:rsidTr="00DE347C">
        <w:trPr>
          <w:trHeight w:val="288"/>
        </w:trPr>
        <w:tc>
          <w:tcPr>
            <w:tcW w:w="4520" w:type="dxa"/>
            <w:tcBorders>
              <w:top w:val="nil"/>
              <w:left w:val="nil"/>
              <w:bottom w:val="single" w:sz="4" w:space="0" w:color="auto"/>
              <w:right w:val="nil"/>
            </w:tcBorders>
            <w:shd w:val="clear" w:color="auto" w:fill="auto"/>
            <w:vAlign w:val="center"/>
            <w:hideMark/>
          </w:tcPr>
          <w:p w14:paraId="2DBF0E3C" w14:textId="77777777" w:rsidR="00DE347C" w:rsidRPr="00EE0850" w:rsidRDefault="00DE347C" w:rsidP="000C6220">
            <w:pPr>
              <w:spacing w:after="0" w:line="240" w:lineRule="auto"/>
              <w:jc w:val="left"/>
              <w:rPr>
                <w:kern w:val="22"/>
                <w:sz w:val="17"/>
                <w:szCs w:val="17"/>
                <w:lang w:eastAsia="en-CA"/>
              </w:rPr>
            </w:pPr>
            <w:r w:rsidRPr="00EE0850">
              <w:rPr>
                <w:kern w:val="22"/>
                <w:sz w:val="17"/>
                <w:szCs w:val="17"/>
                <w:lang w:eastAsia="en-CA"/>
              </w:rPr>
              <w:t>Nagoya Protocol share of the integrated budget (11%)</w:t>
            </w:r>
          </w:p>
        </w:tc>
        <w:tc>
          <w:tcPr>
            <w:tcW w:w="1360" w:type="dxa"/>
            <w:tcBorders>
              <w:top w:val="nil"/>
              <w:left w:val="nil"/>
              <w:bottom w:val="single" w:sz="4" w:space="0" w:color="auto"/>
              <w:right w:val="nil"/>
            </w:tcBorders>
            <w:shd w:val="clear" w:color="auto" w:fill="auto"/>
            <w:vAlign w:val="center"/>
            <w:hideMark/>
          </w:tcPr>
          <w:p w14:paraId="1591D4C3"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2 084.4</w:t>
            </w:r>
          </w:p>
        </w:tc>
        <w:tc>
          <w:tcPr>
            <w:tcW w:w="1600" w:type="dxa"/>
            <w:tcBorders>
              <w:top w:val="nil"/>
              <w:left w:val="nil"/>
              <w:bottom w:val="single" w:sz="4" w:space="0" w:color="auto"/>
              <w:right w:val="nil"/>
            </w:tcBorders>
            <w:shd w:val="clear" w:color="auto" w:fill="auto"/>
            <w:vAlign w:val="center"/>
            <w:hideMark/>
          </w:tcPr>
          <w:p w14:paraId="169C02D3"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2 188.5</w:t>
            </w:r>
          </w:p>
        </w:tc>
        <w:tc>
          <w:tcPr>
            <w:tcW w:w="1640" w:type="dxa"/>
            <w:tcBorders>
              <w:top w:val="nil"/>
              <w:left w:val="nil"/>
              <w:bottom w:val="single" w:sz="4" w:space="0" w:color="auto"/>
              <w:right w:val="nil"/>
            </w:tcBorders>
            <w:shd w:val="clear" w:color="auto" w:fill="auto"/>
            <w:vAlign w:val="center"/>
            <w:hideMark/>
          </w:tcPr>
          <w:p w14:paraId="7A252527"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4 272.9</w:t>
            </w:r>
          </w:p>
        </w:tc>
      </w:tr>
      <w:tr w:rsidR="00DE347C" w:rsidRPr="00EE0850" w14:paraId="64D02243" w14:textId="77777777" w:rsidTr="00DE347C">
        <w:trPr>
          <w:trHeight w:val="288"/>
        </w:trPr>
        <w:tc>
          <w:tcPr>
            <w:tcW w:w="4520" w:type="dxa"/>
            <w:tcBorders>
              <w:top w:val="nil"/>
              <w:left w:val="nil"/>
              <w:bottom w:val="nil"/>
              <w:right w:val="nil"/>
            </w:tcBorders>
            <w:shd w:val="clear" w:color="auto" w:fill="auto"/>
            <w:hideMark/>
          </w:tcPr>
          <w:p w14:paraId="285C9744"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u w:val="single"/>
                <w:lang w:eastAsia="en-CA"/>
              </w:rPr>
              <w:t>Less</w:t>
            </w:r>
            <w:r w:rsidRPr="00EE0850">
              <w:rPr>
                <w:color w:val="000000"/>
                <w:kern w:val="22"/>
                <w:sz w:val="17"/>
                <w:szCs w:val="17"/>
                <w:lang w:eastAsia="en-CA"/>
              </w:rPr>
              <w:t>:  Contribution from host country</w:t>
            </w:r>
          </w:p>
        </w:tc>
        <w:tc>
          <w:tcPr>
            <w:tcW w:w="1360" w:type="dxa"/>
            <w:tcBorders>
              <w:top w:val="nil"/>
              <w:left w:val="nil"/>
              <w:bottom w:val="nil"/>
              <w:right w:val="nil"/>
            </w:tcBorders>
            <w:shd w:val="clear" w:color="auto" w:fill="auto"/>
            <w:vAlign w:val="center"/>
            <w:hideMark/>
          </w:tcPr>
          <w:p w14:paraId="0323E40C"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(135.2)</w:t>
            </w:r>
          </w:p>
        </w:tc>
        <w:tc>
          <w:tcPr>
            <w:tcW w:w="1600" w:type="dxa"/>
            <w:tcBorders>
              <w:top w:val="nil"/>
              <w:left w:val="nil"/>
              <w:bottom w:val="nil"/>
              <w:right w:val="nil"/>
            </w:tcBorders>
            <w:shd w:val="clear" w:color="auto" w:fill="auto"/>
            <w:vAlign w:val="center"/>
            <w:hideMark/>
          </w:tcPr>
          <w:p w14:paraId="12F059C2"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(156.6)</w:t>
            </w:r>
          </w:p>
        </w:tc>
        <w:tc>
          <w:tcPr>
            <w:tcW w:w="1640" w:type="dxa"/>
            <w:tcBorders>
              <w:top w:val="nil"/>
              <w:left w:val="nil"/>
              <w:bottom w:val="nil"/>
              <w:right w:val="nil"/>
            </w:tcBorders>
            <w:shd w:val="clear" w:color="auto" w:fill="auto"/>
            <w:vAlign w:val="center"/>
            <w:hideMark/>
          </w:tcPr>
          <w:p w14:paraId="29B02034"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(291.8)</w:t>
            </w:r>
          </w:p>
        </w:tc>
      </w:tr>
      <w:tr w:rsidR="00DE347C" w:rsidRPr="00EE0850" w14:paraId="3EFEB12A" w14:textId="77777777" w:rsidTr="00DE347C">
        <w:trPr>
          <w:trHeight w:val="288"/>
        </w:trPr>
        <w:tc>
          <w:tcPr>
            <w:tcW w:w="4520" w:type="dxa"/>
            <w:tcBorders>
              <w:top w:val="nil"/>
              <w:left w:val="nil"/>
              <w:bottom w:val="nil"/>
              <w:right w:val="nil"/>
            </w:tcBorders>
            <w:shd w:val="clear" w:color="auto" w:fill="auto"/>
            <w:hideMark/>
          </w:tcPr>
          <w:p w14:paraId="1FBF4719"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u w:val="single"/>
                <w:lang w:eastAsia="en-CA"/>
              </w:rPr>
              <w:t>Less</w:t>
            </w:r>
            <w:r w:rsidRPr="00EE0850">
              <w:rPr>
                <w:color w:val="000000"/>
                <w:kern w:val="22"/>
                <w:sz w:val="17"/>
                <w:szCs w:val="17"/>
                <w:lang w:eastAsia="en-CA"/>
              </w:rPr>
              <w:t>:  Use of reserves for extraordinary meetings</w:t>
            </w:r>
          </w:p>
        </w:tc>
        <w:tc>
          <w:tcPr>
            <w:tcW w:w="1360" w:type="dxa"/>
            <w:tcBorders>
              <w:top w:val="nil"/>
              <w:left w:val="nil"/>
              <w:bottom w:val="nil"/>
              <w:right w:val="nil"/>
            </w:tcBorders>
            <w:shd w:val="clear" w:color="auto" w:fill="auto"/>
            <w:vAlign w:val="center"/>
            <w:hideMark/>
          </w:tcPr>
          <w:p w14:paraId="08174CFF"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(93.2)</w:t>
            </w:r>
          </w:p>
        </w:tc>
        <w:tc>
          <w:tcPr>
            <w:tcW w:w="1600" w:type="dxa"/>
            <w:tcBorders>
              <w:top w:val="nil"/>
              <w:left w:val="nil"/>
              <w:bottom w:val="nil"/>
              <w:right w:val="nil"/>
            </w:tcBorders>
            <w:shd w:val="clear" w:color="auto" w:fill="auto"/>
            <w:vAlign w:val="center"/>
            <w:hideMark/>
          </w:tcPr>
          <w:p w14:paraId="00F18DFC"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(69.6)</w:t>
            </w:r>
          </w:p>
        </w:tc>
        <w:tc>
          <w:tcPr>
            <w:tcW w:w="1640" w:type="dxa"/>
            <w:tcBorders>
              <w:top w:val="nil"/>
              <w:left w:val="nil"/>
              <w:bottom w:val="nil"/>
              <w:right w:val="nil"/>
            </w:tcBorders>
            <w:shd w:val="clear" w:color="auto" w:fill="auto"/>
            <w:vAlign w:val="center"/>
            <w:hideMark/>
          </w:tcPr>
          <w:p w14:paraId="4DE0AAA1"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(162.8)</w:t>
            </w:r>
          </w:p>
        </w:tc>
      </w:tr>
      <w:tr w:rsidR="00DE347C" w:rsidRPr="00EE0850" w14:paraId="6931C52A" w14:textId="77777777" w:rsidTr="00DE347C">
        <w:trPr>
          <w:trHeight w:val="288"/>
        </w:trPr>
        <w:tc>
          <w:tcPr>
            <w:tcW w:w="4520" w:type="dxa"/>
            <w:tcBorders>
              <w:top w:val="nil"/>
              <w:left w:val="nil"/>
              <w:bottom w:val="nil"/>
              <w:right w:val="nil"/>
            </w:tcBorders>
            <w:shd w:val="clear" w:color="auto" w:fill="auto"/>
            <w:hideMark/>
          </w:tcPr>
          <w:p w14:paraId="4BDF72EC"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u w:val="single"/>
                <w:lang w:eastAsia="en-CA"/>
              </w:rPr>
              <w:t>Less</w:t>
            </w:r>
            <w:r w:rsidRPr="00EE0850">
              <w:rPr>
                <w:color w:val="000000"/>
                <w:kern w:val="22"/>
                <w:sz w:val="17"/>
                <w:szCs w:val="17"/>
                <w:lang w:eastAsia="en-CA"/>
              </w:rPr>
              <w:t>:  Use of reserves from previous years</w:t>
            </w:r>
          </w:p>
        </w:tc>
        <w:tc>
          <w:tcPr>
            <w:tcW w:w="1360" w:type="dxa"/>
            <w:tcBorders>
              <w:top w:val="nil"/>
              <w:left w:val="nil"/>
              <w:bottom w:val="nil"/>
              <w:right w:val="nil"/>
            </w:tcBorders>
            <w:shd w:val="clear" w:color="auto" w:fill="auto"/>
            <w:vAlign w:val="center"/>
            <w:hideMark/>
          </w:tcPr>
          <w:p w14:paraId="56489955"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(94.9)</w:t>
            </w:r>
          </w:p>
        </w:tc>
        <w:tc>
          <w:tcPr>
            <w:tcW w:w="1600" w:type="dxa"/>
            <w:tcBorders>
              <w:top w:val="nil"/>
              <w:left w:val="nil"/>
              <w:bottom w:val="nil"/>
              <w:right w:val="nil"/>
            </w:tcBorders>
            <w:shd w:val="clear" w:color="auto" w:fill="auto"/>
            <w:vAlign w:val="center"/>
            <w:hideMark/>
          </w:tcPr>
          <w:p w14:paraId="3A2F244D"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(94.9)</w:t>
            </w:r>
          </w:p>
        </w:tc>
        <w:tc>
          <w:tcPr>
            <w:tcW w:w="1640" w:type="dxa"/>
            <w:tcBorders>
              <w:top w:val="nil"/>
              <w:left w:val="nil"/>
              <w:bottom w:val="nil"/>
              <w:right w:val="nil"/>
            </w:tcBorders>
            <w:shd w:val="clear" w:color="auto" w:fill="auto"/>
            <w:vAlign w:val="center"/>
            <w:hideMark/>
          </w:tcPr>
          <w:p w14:paraId="3D907052"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(189.8)</w:t>
            </w:r>
          </w:p>
        </w:tc>
      </w:tr>
      <w:tr w:rsidR="00DE347C" w:rsidRPr="00EE0850" w14:paraId="7B3CAC1C" w14:textId="77777777" w:rsidTr="00DE347C">
        <w:trPr>
          <w:trHeight w:val="300"/>
        </w:trPr>
        <w:tc>
          <w:tcPr>
            <w:tcW w:w="4520" w:type="dxa"/>
            <w:tcBorders>
              <w:top w:val="single" w:sz="4" w:space="0" w:color="auto"/>
              <w:left w:val="nil"/>
              <w:bottom w:val="single" w:sz="8" w:space="0" w:color="auto"/>
              <w:right w:val="nil"/>
            </w:tcBorders>
            <w:shd w:val="clear" w:color="auto" w:fill="auto"/>
            <w:hideMark/>
          </w:tcPr>
          <w:p w14:paraId="3565D21F" w14:textId="77777777" w:rsidR="00DE347C" w:rsidRPr="00EE0850" w:rsidRDefault="00DE347C" w:rsidP="000C6220">
            <w:pPr>
              <w:spacing w:after="0" w:line="240" w:lineRule="auto"/>
              <w:jc w:val="left"/>
              <w:rPr>
                <w:color w:val="000000"/>
                <w:kern w:val="22"/>
                <w:sz w:val="17"/>
                <w:szCs w:val="17"/>
                <w:lang w:eastAsia="en-CA"/>
              </w:rPr>
            </w:pPr>
            <w:r w:rsidRPr="00EE0850">
              <w:rPr>
                <w:color w:val="000000"/>
                <w:kern w:val="22"/>
                <w:sz w:val="17"/>
                <w:szCs w:val="17"/>
                <w:lang w:eastAsia="en-CA"/>
              </w:rPr>
              <w:t>Net total (amount to be shared by Parties)</w:t>
            </w:r>
          </w:p>
        </w:tc>
        <w:tc>
          <w:tcPr>
            <w:tcW w:w="1360" w:type="dxa"/>
            <w:tcBorders>
              <w:top w:val="single" w:sz="4" w:space="0" w:color="auto"/>
              <w:left w:val="nil"/>
              <w:bottom w:val="single" w:sz="8" w:space="0" w:color="auto"/>
              <w:right w:val="nil"/>
            </w:tcBorders>
            <w:shd w:val="clear" w:color="auto" w:fill="auto"/>
            <w:hideMark/>
          </w:tcPr>
          <w:p w14:paraId="1E3ABE63"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1 761.1</w:t>
            </w:r>
          </w:p>
        </w:tc>
        <w:tc>
          <w:tcPr>
            <w:tcW w:w="1600" w:type="dxa"/>
            <w:tcBorders>
              <w:top w:val="single" w:sz="4" w:space="0" w:color="auto"/>
              <w:left w:val="nil"/>
              <w:bottom w:val="single" w:sz="8" w:space="0" w:color="auto"/>
              <w:right w:val="nil"/>
            </w:tcBorders>
            <w:shd w:val="clear" w:color="auto" w:fill="auto"/>
            <w:hideMark/>
          </w:tcPr>
          <w:p w14:paraId="4EA6AE9C"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1 867.4</w:t>
            </w:r>
          </w:p>
        </w:tc>
        <w:tc>
          <w:tcPr>
            <w:tcW w:w="1640" w:type="dxa"/>
            <w:tcBorders>
              <w:top w:val="single" w:sz="4" w:space="0" w:color="auto"/>
              <w:left w:val="nil"/>
              <w:bottom w:val="single" w:sz="8" w:space="0" w:color="auto"/>
              <w:right w:val="nil"/>
            </w:tcBorders>
            <w:shd w:val="clear" w:color="auto" w:fill="auto"/>
            <w:hideMark/>
          </w:tcPr>
          <w:p w14:paraId="6B857DEC"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3 628.5</w:t>
            </w:r>
          </w:p>
        </w:tc>
      </w:tr>
    </w:tbl>
    <w:p w14:paraId="61A3A53B" w14:textId="77777777" w:rsidR="00DE347C" w:rsidRPr="00EE0850" w:rsidRDefault="00DE347C" w:rsidP="000C6220">
      <w:pPr>
        <w:spacing w:before="120" w:line="240" w:lineRule="auto"/>
        <w:jc w:val="left"/>
        <w:rPr>
          <w:kern w:val="22"/>
        </w:rPr>
      </w:pPr>
    </w:p>
    <w:p w14:paraId="5E06BA66" w14:textId="77777777" w:rsidR="00DE347C" w:rsidRPr="00EE0850" w:rsidRDefault="00DE347C" w:rsidP="000C6220">
      <w:pPr>
        <w:spacing w:before="120" w:line="240" w:lineRule="auto"/>
        <w:jc w:val="left"/>
        <w:rPr>
          <w:kern w:val="22"/>
        </w:rPr>
      </w:pPr>
      <w:r w:rsidRPr="00EE0850">
        <w:rPr>
          <w:kern w:val="22"/>
        </w:rPr>
        <w:br w:type="page"/>
      </w:r>
    </w:p>
    <w:p w14:paraId="4329BF75" w14:textId="77777777" w:rsidR="00DE347C" w:rsidRPr="00EE0850" w:rsidRDefault="00DE347C" w:rsidP="000C6220">
      <w:pPr>
        <w:keepNext/>
        <w:spacing w:before="120" w:line="240" w:lineRule="auto"/>
        <w:ind w:left="992" w:hanging="992"/>
        <w:rPr>
          <w:b/>
          <w:bCs/>
          <w:snapToGrid w:val="0"/>
          <w:kern w:val="22"/>
        </w:rPr>
      </w:pPr>
      <w:r w:rsidRPr="00EE0850">
        <w:rPr>
          <w:b/>
          <w:bCs/>
          <w:snapToGrid w:val="0"/>
          <w:kern w:val="22"/>
        </w:rPr>
        <w:t>Table 1b.</w:t>
      </w:r>
      <w:r w:rsidRPr="00EE0850">
        <w:rPr>
          <w:b/>
          <w:bCs/>
          <w:snapToGrid w:val="0"/>
          <w:kern w:val="22"/>
        </w:rPr>
        <w:tab/>
        <w:t>Integrated biennium budget for the Trust Funds of the Convention on Biological Diversity and its Protocols 2019-2020 (by object of expenditure)</w:t>
      </w:r>
    </w:p>
    <w:tbl>
      <w:tblPr>
        <w:tblW w:w="0" w:type="auto"/>
        <w:jc w:val="center"/>
        <w:tblLook w:val="04A0" w:firstRow="1" w:lastRow="0" w:firstColumn="1" w:lastColumn="0" w:noHBand="0" w:noVBand="1"/>
      </w:tblPr>
      <w:tblGrid>
        <w:gridCol w:w="358"/>
        <w:gridCol w:w="2955"/>
        <w:gridCol w:w="2617"/>
        <w:gridCol w:w="1346"/>
        <w:gridCol w:w="1345"/>
        <w:gridCol w:w="1345"/>
      </w:tblGrid>
      <w:tr w:rsidR="00DE347C" w:rsidRPr="00EE0850" w14:paraId="5F469876"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33A2D4A1"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vMerge w:val="restart"/>
            <w:tcBorders>
              <w:top w:val="single" w:sz="8" w:space="0" w:color="auto"/>
              <w:left w:val="nil"/>
              <w:bottom w:val="single" w:sz="8" w:space="0" w:color="000000"/>
              <w:right w:val="nil"/>
            </w:tcBorders>
            <w:shd w:val="clear" w:color="auto" w:fill="auto"/>
            <w:vAlign w:val="center"/>
            <w:hideMark/>
          </w:tcPr>
          <w:p w14:paraId="08C3F843" w14:textId="77777777" w:rsidR="00DE347C" w:rsidRPr="00EE0850" w:rsidRDefault="00DE347C" w:rsidP="000C6220">
            <w:pPr>
              <w:spacing w:after="0" w:line="240" w:lineRule="auto"/>
              <w:jc w:val="center"/>
              <w:rPr>
                <w:bCs/>
                <w:i/>
                <w:color w:val="000000"/>
                <w:kern w:val="22"/>
                <w:sz w:val="16"/>
                <w:szCs w:val="16"/>
                <w:lang w:eastAsia="en-CA"/>
              </w:rPr>
            </w:pPr>
            <w:r w:rsidRPr="00EE0850">
              <w:rPr>
                <w:bCs/>
                <w:i/>
                <w:color w:val="000000"/>
                <w:kern w:val="22"/>
                <w:sz w:val="16"/>
                <w:szCs w:val="16"/>
                <w:lang w:eastAsia="en-CA"/>
              </w:rPr>
              <w:t>Object of expenditure</w:t>
            </w:r>
          </w:p>
        </w:tc>
        <w:tc>
          <w:tcPr>
            <w:tcW w:w="0" w:type="auto"/>
            <w:tcBorders>
              <w:top w:val="single" w:sz="8" w:space="0" w:color="auto"/>
              <w:left w:val="nil"/>
              <w:bottom w:val="nil"/>
              <w:right w:val="nil"/>
            </w:tcBorders>
            <w:shd w:val="clear" w:color="auto" w:fill="auto"/>
            <w:vAlign w:val="center"/>
            <w:hideMark/>
          </w:tcPr>
          <w:p w14:paraId="6117D8A9" w14:textId="77777777" w:rsidR="00DE347C" w:rsidRPr="00EE0850" w:rsidRDefault="00DE347C" w:rsidP="000C6220">
            <w:pPr>
              <w:spacing w:after="0" w:line="240" w:lineRule="auto"/>
              <w:jc w:val="center"/>
              <w:rPr>
                <w:bCs/>
                <w:i/>
                <w:color w:val="000000"/>
                <w:kern w:val="22"/>
                <w:sz w:val="16"/>
                <w:szCs w:val="16"/>
                <w:lang w:eastAsia="en-CA"/>
              </w:rPr>
            </w:pPr>
            <w:r w:rsidRPr="00EE0850">
              <w:rPr>
                <w:bCs/>
                <w:i/>
                <w:color w:val="000000"/>
                <w:kern w:val="22"/>
                <w:sz w:val="16"/>
                <w:szCs w:val="16"/>
                <w:lang w:eastAsia="en-CA"/>
              </w:rPr>
              <w:t>2019</w:t>
            </w:r>
          </w:p>
        </w:tc>
        <w:tc>
          <w:tcPr>
            <w:tcW w:w="0" w:type="auto"/>
            <w:tcBorders>
              <w:top w:val="single" w:sz="8" w:space="0" w:color="auto"/>
              <w:left w:val="nil"/>
              <w:bottom w:val="nil"/>
              <w:right w:val="nil"/>
            </w:tcBorders>
            <w:shd w:val="clear" w:color="auto" w:fill="auto"/>
            <w:vAlign w:val="center"/>
            <w:hideMark/>
          </w:tcPr>
          <w:p w14:paraId="6ADFBFAE" w14:textId="77777777" w:rsidR="00DE347C" w:rsidRPr="00EE0850" w:rsidRDefault="00DE347C" w:rsidP="000C6220">
            <w:pPr>
              <w:spacing w:after="0" w:line="240" w:lineRule="auto"/>
              <w:jc w:val="center"/>
              <w:rPr>
                <w:bCs/>
                <w:i/>
                <w:color w:val="000000"/>
                <w:kern w:val="22"/>
                <w:sz w:val="16"/>
                <w:szCs w:val="16"/>
                <w:lang w:eastAsia="en-CA"/>
              </w:rPr>
            </w:pPr>
            <w:r w:rsidRPr="00EE0850">
              <w:rPr>
                <w:bCs/>
                <w:i/>
                <w:color w:val="000000"/>
                <w:kern w:val="22"/>
                <w:sz w:val="16"/>
                <w:szCs w:val="16"/>
                <w:lang w:eastAsia="en-CA"/>
              </w:rPr>
              <w:t>2020</w:t>
            </w:r>
          </w:p>
        </w:tc>
        <w:tc>
          <w:tcPr>
            <w:tcW w:w="0" w:type="auto"/>
            <w:tcBorders>
              <w:top w:val="single" w:sz="8" w:space="0" w:color="auto"/>
              <w:left w:val="nil"/>
              <w:bottom w:val="nil"/>
              <w:right w:val="nil"/>
            </w:tcBorders>
            <w:shd w:val="clear" w:color="auto" w:fill="auto"/>
            <w:vAlign w:val="center"/>
            <w:hideMark/>
          </w:tcPr>
          <w:p w14:paraId="24C972D2" w14:textId="77777777" w:rsidR="00DE347C" w:rsidRPr="00EE0850" w:rsidRDefault="00DE347C" w:rsidP="000C6220">
            <w:pPr>
              <w:spacing w:after="0" w:line="240" w:lineRule="auto"/>
              <w:jc w:val="center"/>
              <w:rPr>
                <w:bCs/>
                <w:i/>
                <w:color w:val="000000"/>
                <w:kern w:val="22"/>
                <w:sz w:val="16"/>
                <w:szCs w:val="16"/>
                <w:lang w:eastAsia="en-CA"/>
              </w:rPr>
            </w:pPr>
            <w:r w:rsidRPr="00EE0850">
              <w:rPr>
                <w:bCs/>
                <w:i/>
                <w:color w:val="000000"/>
                <w:kern w:val="22"/>
                <w:sz w:val="16"/>
                <w:szCs w:val="16"/>
                <w:lang w:eastAsia="en-CA"/>
              </w:rPr>
              <w:t>Total</w:t>
            </w:r>
          </w:p>
        </w:tc>
      </w:tr>
      <w:tr w:rsidR="00DE347C" w:rsidRPr="00EE0850" w14:paraId="3854B900"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3253CD38"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vMerge/>
            <w:tcBorders>
              <w:top w:val="nil"/>
              <w:left w:val="nil"/>
              <w:bottom w:val="nil"/>
              <w:right w:val="nil"/>
            </w:tcBorders>
            <w:vAlign w:val="center"/>
            <w:hideMark/>
          </w:tcPr>
          <w:p w14:paraId="53F4BBD4" w14:textId="77777777" w:rsidR="00DE347C" w:rsidRPr="00EE0850" w:rsidRDefault="00DE347C" w:rsidP="000C6220">
            <w:pPr>
              <w:spacing w:after="0" w:line="240" w:lineRule="auto"/>
              <w:rPr>
                <w:bCs/>
                <w:i/>
                <w:color w:val="000000"/>
                <w:kern w:val="22"/>
                <w:sz w:val="16"/>
                <w:szCs w:val="16"/>
                <w:lang w:eastAsia="en-CA"/>
              </w:rPr>
            </w:pPr>
          </w:p>
        </w:tc>
        <w:tc>
          <w:tcPr>
            <w:tcW w:w="0" w:type="auto"/>
            <w:gridSpan w:val="3"/>
            <w:tcBorders>
              <w:top w:val="nil"/>
              <w:left w:val="nil"/>
              <w:bottom w:val="nil"/>
              <w:right w:val="nil"/>
            </w:tcBorders>
            <w:shd w:val="clear" w:color="auto" w:fill="auto"/>
            <w:vAlign w:val="center"/>
            <w:hideMark/>
          </w:tcPr>
          <w:p w14:paraId="6ED68FBA" w14:textId="77777777" w:rsidR="00DE347C" w:rsidRPr="00EE0850" w:rsidRDefault="00DE347C" w:rsidP="000C6220">
            <w:pPr>
              <w:spacing w:after="0" w:line="240" w:lineRule="auto"/>
              <w:jc w:val="center"/>
              <w:rPr>
                <w:i/>
                <w:iCs/>
                <w:color w:val="000000"/>
                <w:kern w:val="22"/>
                <w:sz w:val="16"/>
                <w:szCs w:val="16"/>
                <w:lang w:eastAsia="en-CA"/>
              </w:rPr>
            </w:pPr>
            <w:r w:rsidRPr="00EE0850">
              <w:rPr>
                <w:i/>
                <w:iCs/>
                <w:color w:val="000000"/>
                <w:kern w:val="22"/>
                <w:sz w:val="16"/>
                <w:szCs w:val="16"/>
                <w:lang w:eastAsia="en-CA"/>
              </w:rPr>
              <w:t>(Thousands of United States dollars)</w:t>
            </w:r>
          </w:p>
        </w:tc>
      </w:tr>
      <w:tr w:rsidR="00DE347C" w:rsidRPr="00EE0850" w14:paraId="44BE8B5B" w14:textId="77777777" w:rsidTr="00DE347C">
        <w:trPr>
          <w:trHeight w:val="48"/>
          <w:jc w:val="center"/>
        </w:trPr>
        <w:tc>
          <w:tcPr>
            <w:tcW w:w="0" w:type="auto"/>
            <w:tcBorders>
              <w:top w:val="nil"/>
              <w:left w:val="nil"/>
              <w:bottom w:val="nil"/>
              <w:right w:val="nil"/>
            </w:tcBorders>
            <w:shd w:val="clear" w:color="auto" w:fill="auto"/>
            <w:noWrap/>
            <w:vAlign w:val="center"/>
            <w:hideMark/>
          </w:tcPr>
          <w:p w14:paraId="2549F42B"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vMerge/>
            <w:tcBorders>
              <w:top w:val="nil"/>
              <w:left w:val="nil"/>
              <w:bottom w:val="nil"/>
              <w:right w:val="nil"/>
            </w:tcBorders>
            <w:vAlign w:val="center"/>
            <w:hideMark/>
          </w:tcPr>
          <w:p w14:paraId="2128CDD2" w14:textId="77777777" w:rsidR="00DE347C" w:rsidRPr="00EE0850" w:rsidRDefault="00DE347C" w:rsidP="000C6220">
            <w:pPr>
              <w:spacing w:after="0" w:line="240" w:lineRule="auto"/>
              <w:rPr>
                <w:b/>
                <w:bCs/>
                <w:color w:val="000000"/>
                <w:kern w:val="22"/>
                <w:sz w:val="16"/>
                <w:szCs w:val="16"/>
                <w:lang w:eastAsia="en-CA"/>
              </w:rPr>
            </w:pPr>
          </w:p>
        </w:tc>
        <w:tc>
          <w:tcPr>
            <w:tcW w:w="0" w:type="auto"/>
            <w:tcBorders>
              <w:top w:val="nil"/>
              <w:left w:val="nil"/>
              <w:bottom w:val="single" w:sz="8" w:space="0" w:color="auto"/>
              <w:right w:val="nil"/>
            </w:tcBorders>
            <w:shd w:val="clear" w:color="auto" w:fill="auto"/>
            <w:vAlign w:val="center"/>
            <w:hideMark/>
          </w:tcPr>
          <w:p w14:paraId="356CAD9B" w14:textId="77777777" w:rsidR="00DE347C" w:rsidRPr="00EE0850" w:rsidRDefault="00DE347C" w:rsidP="000C6220">
            <w:pPr>
              <w:spacing w:after="0" w:line="240" w:lineRule="auto"/>
              <w:jc w:val="center"/>
              <w:rPr>
                <w:b/>
                <w:bCs/>
                <w:color w:val="000000"/>
                <w:kern w:val="22"/>
                <w:sz w:val="16"/>
                <w:szCs w:val="16"/>
                <w:lang w:eastAsia="en-CA"/>
              </w:rPr>
            </w:pPr>
          </w:p>
        </w:tc>
        <w:tc>
          <w:tcPr>
            <w:tcW w:w="0" w:type="auto"/>
            <w:tcBorders>
              <w:top w:val="nil"/>
              <w:left w:val="nil"/>
              <w:bottom w:val="single" w:sz="8" w:space="0" w:color="auto"/>
              <w:right w:val="nil"/>
            </w:tcBorders>
            <w:shd w:val="clear" w:color="auto" w:fill="auto"/>
            <w:vAlign w:val="center"/>
            <w:hideMark/>
          </w:tcPr>
          <w:p w14:paraId="254CF59E" w14:textId="77777777" w:rsidR="00DE347C" w:rsidRPr="00EE0850" w:rsidRDefault="00DE347C" w:rsidP="000C6220">
            <w:pPr>
              <w:spacing w:after="0" w:line="240" w:lineRule="auto"/>
              <w:jc w:val="center"/>
              <w:rPr>
                <w:b/>
                <w:bCs/>
                <w:color w:val="000000"/>
                <w:kern w:val="22"/>
                <w:sz w:val="16"/>
                <w:szCs w:val="16"/>
                <w:lang w:eastAsia="en-CA"/>
              </w:rPr>
            </w:pPr>
          </w:p>
        </w:tc>
        <w:tc>
          <w:tcPr>
            <w:tcW w:w="0" w:type="auto"/>
            <w:tcBorders>
              <w:top w:val="nil"/>
              <w:left w:val="nil"/>
              <w:bottom w:val="single" w:sz="8" w:space="0" w:color="auto"/>
              <w:right w:val="nil"/>
            </w:tcBorders>
            <w:shd w:val="clear" w:color="auto" w:fill="auto"/>
            <w:vAlign w:val="center"/>
            <w:hideMark/>
          </w:tcPr>
          <w:p w14:paraId="14776DDE" w14:textId="77777777" w:rsidR="00DE347C" w:rsidRPr="00EE0850" w:rsidRDefault="00DE347C" w:rsidP="000C6220">
            <w:pPr>
              <w:spacing w:after="0" w:line="240" w:lineRule="auto"/>
              <w:jc w:val="center"/>
              <w:rPr>
                <w:b/>
                <w:bCs/>
                <w:color w:val="000000"/>
                <w:kern w:val="22"/>
                <w:sz w:val="16"/>
                <w:szCs w:val="16"/>
                <w:lang w:eastAsia="en-CA"/>
              </w:rPr>
            </w:pPr>
          </w:p>
        </w:tc>
      </w:tr>
      <w:tr w:rsidR="00DE347C" w:rsidRPr="00EE0850" w14:paraId="18BB687B" w14:textId="77777777" w:rsidTr="00DE347C">
        <w:trPr>
          <w:trHeight w:val="261"/>
          <w:jc w:val="center"/>
        </w:trPr>
        <w:tc>
          <w:tcPr>
            <w:tcW w:w="0" w:type="auto"/>
            <w:tcBorders>
              <w:top w:val="nil"/>
              <w:left w:val="nil"/>
              <w:bottom w:val="nil"/>
              <w:right w:val="nil"/>
            </w:tcBorders>
            <w:shd w:val="clear" w:color="auto" w:fill="auto"/>
            <w:noWrap/>
            <w:vAlign w:val="center"/>
          </w:tcPr>
          <w:p w14:paraId="5CF4F441"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single" w:sz="8" w:space="0" w:color="auto"/>
              <w:left w:val="nil"/>
              <w:bottom w:val="nil"/>
              <w:right w:val="nil"/>
            </w:tcBorders>
            <w:shd w:val="clear" w:color="auto" w:fill="auto"/>
            <w:vAlign w:val="center"/>
            <w:hideMark/>
          </w:tcPr>
          <w:p w14:paraId="3C4B456B"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A. Staff costs</w:t>
            </w:r>
          </w:p>
        </w:tc>
        <w:tc>
          <w:tcPr>
            <w:tcW w:w="0" w:type="auto"/>
            <w:tcBorders>
              <w:top w:val="nil"/>
              <w:left w:val="nil"/>
              <w:bottom w:val="nil"/>
              <w:right w:val="nil"/>
            </w:tcBorders>
            <w:shd w:val="clear" w:color="auto" w:fill="auto"/>
            <w:vAlign w:val="center"/>
            <w:hideMark/>
          </w:tcPr>
          <w:p w14:paraId="2EB2F19D"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11 453.9</w:t>
            </w:r>
          </w:p>
        </w:tc>
        <w:tc>
          <w:tcPr>
            <w:tcW w:w="0" w:type="auto"/>
            <w:tcBorders>
              <w:top w:val="nil"/>
              <w:left w:val="nil"/>
              <w:bottom w:val="nil"/>
              <w:right w:val="nil"/>
            </w:tcBorders>
            <w:shd w:val="clear" w:color="auto" w:fill="auto"/>
            <w:vAlign w:val="center"/>
            <w:hideMark/>
          </w:tcPr>
          <w:p w14:paraId="21EBE26A"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11 626.6</w:t>
            </w:r>
          </w:p>
        </w:tc>
        <w:tc>
          <w:tcPr>
            <w:tcW w:w="0" w:type="auto"/>
            <w:tcBorders>
              <w:top w:val="nil"/>
              <w:left w:val="nil"/>
              <w:bottom w:val="nil"/>
              <w:right w:val="nil"/>
            </w:tcBorders>
            <w:shd w:val="clear" w:color="auto" w:fill="auto"/>
            <w:vAlign w:val="center"/>
            <w:hideMark/>
          </w:tcPr>
          <w:p w14:paraId="7159AFD5"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23 080.5</w:t>
            </w:r>
          </w:p>
        </w:tc>
      </w:tr>
      <w:tr w:rsidR="00DE347C" w:rsidRPr="00EE0850" w14:paraId="05C17120" w14:textId="77777777" w:rsidTr="00DE347C">
        <w:trPr>
          <w:trHeight w:val="261"/>
          <w:jc w:val="center"/>
        </w:trPr>
        <w:tc>
          <w:tcPr>
            <w:tcW w:w="0" w:type="auto"/>
            <w:tcBorders>
              <w:top w:val="nil"/>
              <w:left w:val="nil"/>
              <w:bottom w:val="nil"/>
              <w:right w:val="nil"/>
            </w:tcBorders>
            <w:shd w:val="clear" w:color="auto" w:fill="auto"/>
            <w:noWrap/>
            <w:vAlign w:val="center"/>
          </w:tcPr>
          <w:p w14:paraId="68A3F1F3"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7485EB1D"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B. Bureau meetings</w:t>
            </w:r>
          </w:p>
        </w:tc>
        <w:tc>
          <w:tcPr>
            <w:tcW w:w="0" w:type="auto"/>
            <w:tcBorders>
              <w:top w:val="nil"/>
              <w:left w:val="nil"/>
              <w:bottom w:val="nil"/>
              <w:right w:val="nil"/>
            </w:tcBorders>
            <w:shd w:val="clear" w:color="auto" w:fill="auto"/>
            <w:vAlign w:val="center"/>
            <w:hideMark/>
          </w:tcPr>
          <w:p w14:paraId="5099B0B2"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150.0</w:t>
            </w:r>
          </w:p>
        </w:tc>
        <w:tc>
          <w:tcPr>
            <w:tcW w:w="0" w:type="auto"/>
            <w:tcBorders>
              <w:top w:val="nil"/>
              <w:left w:val="nil"/>
              <w:bottom w:val="nil"/>
              <w:right w:val="nil"/>
            </w:tcBorders>
            <w:shd w:val="clear" w:color="auto" w:fill="auto"/>
            <w:vAlign w:val="center"/>
            <w:hideMark/>
          </w:tcPr>
          <w:p w14:paraId="331C6B91"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215.0</w:t>
            </w:r>
          </w:p>
        </w:tc>
        <w:tc>
          <w:tcPr>
            <w:tcW w:w="0" w:type="auto"/>
            <w:tcBorders>
              <w:top w:val="nil"/>
              <w:left w:val="nil"/>
              <w:bottom w:val="nil"/>
              <w:right w:val="nil"/>
            </w:tcBorders>
            <w:shd w:val="clear" w:color="auto" w:fill="auto"/>
            <w:vAlign w:val="center"/>
            <w:hideMark/>
          </w:tcPr>
          <w:p w14:paraId="6457576A"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365.0</w:t>
            </w:r>
          </w:p>
        </w:tc>
      </w:tr>
      <w:tr w:rsidR="00DE347C" w:rsidRPr="00EE0850" w14:paraId="03CC1539" w14:textId="77777777" w:rsidTr="00DE347C">
        <w:trPr>
          <w:trHeight w:val="261"/>
          <w:jc w:val="center"/>
        </w:trPr>
        <w:tc>
          <w:tcPr>
            <w:tcW w:w="0" w:type="auto"/>
            <w:tcBorders>
              <w:top w:val="nil"/>
              <w:left w:val="nil"/>
              <w:bottom w:val="nil"/>
              <w:right w:val="nil"/>
            </w:tcBorders>
            <w:shd w:val="clear" w:color="auto" w:fill="auto"/>
            <w:noWrap/>
            <w:vAlign w:val="center"/>
          </w:tcPr>
          <w:p w14:paraId="691D9683"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2F242124"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C. Travel on official business</w:t>
            </w:r>
          </w:p>
        </w:tc>
        <w:tc>
          <w:tcPr>
            <w:tcW w:w="0" w:type="auto"/>
            <w:tcBorders>
              <w:top w:val="nil"/>
              <w:left w:val="nil"/>
              <w:bottom w:val="nil"/>
              <w:right w:val="nil"/>
            </w:tcBorders>
            <w:shd w:val="clear" w:color="auto" w:fill="auto"/>
            <w:vAlign w:val="center"/>
            <w:hideMark/>
          </w:tcPr>
          <w:p w14:paraId="18183E18"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400.0</w:t>
            </w:r>
          </w:p>
        </w:tc>
        <w:tc>
          <w:tcPr>
            <w:tcW w:w="0" w:type="auto"/>
            <w:tcBorders>
              <w:top w:val="nil"/>
              <w:left w:val="nil"/>
              <w:bottom w:val="nil"/>
              <w:right w:val="nil"/>
            </w:tcBorders>
            <w:shd w:val="clear" w:color="auto" w:fill="auto"/>
            <w:vAlign w:val="center"/>
            <w:hideMark/>
          </w:tcPr>
          <w:p w14:paraId="7512D44A"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400.0</w:t>
            </w:r>
          </w:p>
        </w:tc>
        <w:tc>
          <w:tcPr>
            <w:tcW w:w="0" w:type="auto"/>
            <w:tcBorders>
              <w:top w:val="nil"/>
              <w:left w:val="nil"/>
              <w:bottom w:val="nil"/>
              <w:right w:val="nil"/>
            </w:tcBorders>
            <w:shd w:val="clear" w:color="auto" w:fill="auto"/>
            <w:vAlign w:val="center"/>
            <w:hideMark/>
          </w:tcPr>
          <w:p w14:paraId="6E671636"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800.0</w:t>
            </w:r>
          </w:p>
        </w:tc>
      </w:tr>
      <w:tr w:rsidR="00DE347C" w:rsidRPr="00EE0850" w14:paraId="689C8C64" w14:textId="77777777" w:rsidTr="00DE347C">
        <w:trPr>
          <w:trHeight w:val="261"/>
          <w:jc w:val="center"/>
        </w:trPr>
        <w:tc>
          <w:tcPr>
            <w:tcW w:w="0" w:type="auto"/>
            <w:tcBorders>
              <w:top w:val="nil"/>
              <w:left w:val="nil"/>
              <w:bottom w:val="nil"/>
              <w:right w:val="nil"/>
            </w:tcBorders>
            <w:shd w:val="clear" w:color="auto" w:fill="auto"/>
            <w:noWrap/>
            <w:vAlign w:val="center"/>
          </w:tcPr>
          <w:p w14:paraId="4756EC12"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6CAB4980" w14:textId="77777777" w:rsidR="00DE347C" w:rsidRPr="00EE0850" w:rsidRDefault="00DE347C" w:rsidP="000C6220">
            <w:pPr>
              <w:spacing w:after="0" w:line="240" w:lineRule="auto"/>
              <w:rPr>
                <w:kern w:val="22"/>
                <w:sz w:val="17"/>
                <w:szCs w:val="17"/>
                <w:lang w:eastAsia="en-CA"/>
              </w:rPr>
            </w:pPr>
            <w:r w:rsidRPr="00EE0850">
              <w:rPr>
                <w:kern w:val="22"/>
                <w:sz w:val="17"/>
                <w:szCs w:val="17"/>
                <w:lang w:eastAsia="en-CA"/>
              </w:rPr>
              <w:t>D. Consultants/subcontractors</w:t>
            </w:r>
          </w:p>
        </w:tc>
        <w:tc>
          <w:tcPr>
            <w:tcW w:w="0" w:type="auto"/>
            <w:tcBorders>
              <w:top w:val="nil"/>
              <w:left w:val="nil"/>
              <w:bottom w:val="nil"/>
              <w:right w:val="nil"/>
            </w:tcBorders>
            <w:shd w:val="clear" w:color="auto" w:fill="auto"/>
            <w:vAlign w:val="center"/>
            <w:hideMark/>
          </w:tcPr>
          <w:p w14:paraId="022FA0F9"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50.0</w:t>
            </w:r>
          </w:p>
        </w:tc>
        <w:tc>
          <w:tcPr>
            <w:tcW w:w="0" w:type="auto"/>
            <w:tcBorders>
              <w:top w:val="nil"/>
              <w:left w:val="nil"/>
              <w:bottom w:val="nil"/>
              <w:right w:val="nil"/>
            </w:tcBorders>
            <w:shd w:val="clear" w:color="auto" w:fill="auto"/>
            <w:vAlign w:val="center"/>
            <w:hideMark/>
          </w:tcPr>
          <w:p w14:paraId="783F3277"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50.0</w:t>
            </w:r>
          </w:p>
        </w:tc>
        <w:tc>
          <w:tcPr>
            <w:tcW w:w="0" w:type="auto"/>
            <w:tcBorders>
              <w:top w:val="nil"/>
              <w:left w:val="nil"/>
              <w:bottom w:val="nil"/>
              <w:right w:val="nil"/>
            </w:tcBorders>
            <w:shd w:val="clear" w:color="auto" w:fill="auto"/>
            <w:vAlign w:val="center"/>
            <w:hideMark/>
          </w:tcPr>
          <w:p w14:paraId="2B800069"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100.0</w:t>
            </w:r>
          </w:p>
        </w:tc>
      </w:tr>
      <w:tr w:rsidR="00DE347C" w:rsidRPr="00EE0850" w14:paraId="4E8939F4" w14:textId="77777777" w:rsidTr="00DE347C">
        <w:trPr>
          <w:trHeight w:val="261"/>
          <w:jc w:val="center"/>
        </w:trPr>
        <w:tc>
          <w:tcPr>
            <w:tcW w:w="0" w:type="auto"/>
            <w:tcBorders>
              <w:top w:val="nil"/>
              <w:left w:val="nil"/>
              <w:bottom w:val="nil"/>
              <w:right w:val="nil"/>
            </w:tcBorders>
            <w:shd w:val="clear" w:color="auto" w:fill="auto"/>
            <w:noWrap/>
            <w:vAlign w:val="center"/>
          </w:tcPr>
          <w:p w14:paraId="58C2C6C5"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435069BA" w14:textId="77777777" w:rsidR="00DE347C" w:rsidRPr="00EE0850" w:rsidRDefault="00DE347C" w:rsidP="000C6220">
            <w:pPr>
              <w:spacing w:after="0" w:line="240" w:lineRule="auto"/>
              <w:rPr>
                <w:kern w:val="22"/>
                <w:sz w:val="17"/>
                <w:szCs w:val="17"/>
                <w:lang w:eastAsia="en-CA"/>
              </w:rPr>
            </w:pPr>
            <w:r w:rsidRPr="00EE0850">
              <w:rPr>
                <w:kern w:val="22"/>
                <w:sz w:val="17"/>
                <w:szCs w:val="17"/>
                <w:lang w:eastAsia="en-CA"/>
              </w:rPr>
              <w:t>E. Public awareness material/communications</w:t>
            </w:r>
          </w:p>
        </w:tc>
        <w:tc>
          <w:tcPr>
            <w:tcW w:w="0" w:type="auto"/>
            <w:tcBorders>
              <w:top w:val="nil"/>
              <w:left w:val="nil"/>
              <w:bottom w:val="nil"/>
              <w:right w:val="nil"/>
            </w:tcBorders>
            <w:shd w:val="clear" w:color="auto" w:fill="auto"/>
            <w:vAlign w:val="center"/>
            <w:hideMark/>
          </w:tcPr>
          <w:p w14:paraId="7EF4EF90"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50.0</w:t>
            </w:r>
          </w:p>
        </w:tc>
        <w:tc>
          <w:tcPr>
            <w:tcW w:w="0" w:type="auto"/>
            <w:tcBorders>
              <w:top w:val="nil"/>
              <w:left w:val="nil"/>
              <w:bottom w:val="nil"/>
              <w:right w:val="nil"/>
            </w:tcBorders>
            <w:shd w:val="clear" w:color="auto" w:fill="auto"/>
            <w:vAlign w:val="center"/>
            <w:hideMark/>
          </w:tcPr>
          <w:p w14:paraId="15977634"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50.0</w:t>
            </w:r>
          </w:p>
        </w:tc>
        <w:tc>
          <w:tcPr>
            <w:tcW w:w="0" w:type="auto"/>
            <w:tcBorders>
              <w:top w:val="nil"/>
              <w:left w:val="nil"/>
              <w:bottom w:val="nil"/>
              <w:right w:val="nil"/>
            </w:tcBorders>
            <w:shd w:val="clear" w:color="auto" w:fill="auto"/>
            <w:vAlign w:val="center"/>
            <w:hideMark/>
          </w:tcPr>
          <w:p w14:paraId="6E9E6B59"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100.0</w:t>
            </w:r>
          </w:p>
        </w:tc>
      </w:tr>
      <w:tr w:rsidR="00DE347C" w:rsidRPr="00EE0850" w14:paraId="258FAAD3" w14:textId="77777777" w:rsidTr="00DE347C">
        <w:trPr>
          <w:trHeight w:val="261"/>
          <w:jc w:val="center"/>
        </w:trPr>
        <w:tc>
          <w:tcPr>
            <w:tcW w:w="0" w:type="auto"/>
            <w:tcBorders>
              <w:top w:val="nil"/>
              <w:left w:val="nil"/>
              <w:bottom w:val="nil"/>
              <w:right w:val="nil"/>
            </w:tcBorders>
            <w:shd w:val="clear" w:color="auto" w:fill="auto"/>
            <w:noWrap/>
            <w:vAlign w:val="center"/>
          </w:tcPr>
          <w:p w14:paraId="018132F7"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548CE1BB"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F. Temporary assistance/overtime</w:t>
            </w:r>
          </w:p>
        </w:tc>
        <w:tc>
          <w:tcPr>
            <w:tcW w:w="0" w:type="auto"/>
            <w:tcBorders>
              <w:top w:val="nil"/>
              <w:left w:val="nil"/>
              <w:bottom w:val="nil"/>
              <w:right w:val="nil"/>
            </w:tcBorders>
            <w:shd w:val="clear" w:color="auto" w:fill="auto"/>
            <w:vAlign w:val="center"/>
            <w:hideMark/>
          </w:tcPr>
          <w:p w14:paraId="3BBC9F06"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100.0</w:t>
            </w:r>
          </w:p>
        </w:tc>
        <w:tc>
          <w:tcPr>
            <w:tcW w:w="0" w:type="auto"/>
            <w:tcBorders>
              <w:top w:val="nil"/>
              <w:left w:val="nil"/>
              <w:bottom w:val="nil"/>
              <w:right w:val="nil"/>
            </w:tcBorders>
            <w:shd w:val="clear" w:color="auto" w:fill="auto"/>
            <w:vAlign w:val="center"/>
            <w:hideMark/>
          </w:tcPr>
          <w:p w14:paraId="4E2D712F"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100.0</w:t>
            </w:r>
          </w:p>
        </w:tc>
        <w:tc>
          <w:tcPr>
            <w:tcW w:w="0" w:type="auto"/>
            <w:tcBorders>
              <w:top w:val="nil"/>
              <w:left w:val="nil"/>
              <w:bottom w:val="nil"/>
              <w:right w:val="nil"/>
            </w:tcBorders>
            <w:shd w:val="clear" w:color="auto" w:fill="auto"/>
            <w:vAlign w:val="center"/>
            <w:hideMark/>
          </w:tcPr>
          <w:p w14:paraId="405C0745"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200.0</w:t>
            </w:r>
          </w:p>
        </w:tc>
      </w:tr>
      <w:tr w:rsidR="00DE347C" w:rsidRPr="00EE0850" w14:paraId="0095BEB1" w14:textId="77777777" w:rsidTr="00DE347C">
        <w:trPr>
          <w:trHeight w:val="261"/>
          <w:jc w:val="center"/>
        </w:trPr>
        <w:tc>
          <w:tcPr>
            <w:tcW w:w="0" w:type="auto"/>
            <w:tcBorders>
              <w:top w:val="nil"/>
              <w:left w:val="nil"/>
              <w:bottom w:val="nil"/>
              <w:right w:val="nil"/>
            </w:tcBorders>
            <w:shd w:val="clear" w:color="auto" w:fill="auto"/>
            <w:noWrap/>
            <w:vAlign w:val="center"/>
          </w:tcPr>
          <w:p w14:paraId="13992271"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74CB0EF5"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G. Training</w:t>
            </w:r>
          </w:p>
        </w:tc>
        <w:tc>
          <w:tcPr>
            <w:tcW w:w="0" w:type="auto"/>
            <w:tcBorders>
              <w:top w:val="nil"/>
              <w:left w:val="nil"/>
              <w:bottom w:val="nil"/>
              <w:right w:val="nil"/>
            </w:tcBorders>
            <w:shd w:val="clear" w:color="auto" w:fill="auto"/>
            <w:vAlign w:val="center"/>
            <w:hideMark/>
          </w:tcPr>
          <w:p w14:paraId="2D09B8E7"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5.0</w:t>
            </w:r>
          </w:p>
        </w:tc>
        <w:tc>
          <w:tcPr>
            <w:tcW w:w="0" w:type="auto"/>
            <w:tcBorders>
              <w:top w:val="nil"/>
              <w:left w:val="nil"/>
              <w:bottom w:val="nil"/>
              <w:right w:val="nil"/>
            </w:tcBorders>
            <w:shd w:val="clear" w:color="auto" w:fill="auto"/>
            <w:vAlign w:val="center"/>
            <w:hideMark/>
          </w:tcPr>
          <w:p w14:paraId="69073EF9"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5.0</w:t>
            </w:r>
          </w:p>
        </w:tc>
        <w:tc>
          <w:tcPr>
            <w:tcW w:w="0" w:type="auto"/>
            <w:tcBorders>
              <w:top w:val="nil"/>
              <w:left w:val="nil"/>
              <w:bottom w:val="nil"/>
              <w:right w:val="nil"/>
            </w:tcBorders>
            <w:shd w:val="clear" w:color="auto" w:fill="auto"/>
            <w:vAlign w:val="center"/>
            <w:hideMark/>
          </w:tcPr>
          <w:p w14:paraId="5607B41E"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10.0</w:t>
            </w:r>
          </w:p>
        </w:tc>
      </w:tr>
      <w:tr w:rsidR="00DE347C" w:rsidRPr="00EE0850" w14:paraId="485AA1CE" w14:textId="77777777" w:rsidTr="00DE347C">
        <w:trPr>
          <w:trHeight w:val="261"/>
          <w:jc w:val="center"/>
        </w:trPr>
        <w:tc>
          <w:tcPr>
            <w:tcW w:w="0" w:type="auto"/>
            <w:tcBorders>
              <w:top w:val="nil"/>
              <w:left w:val="nil"/>
              <w:bottom w:val="nil"/>
              <w:right w:val="nil"/>
            </w:tcBorders>
            <w:shd w:val="clear" w:color="auto" w:fill="auto"/>
            <w:noWrap/>
            <w:vAlign w:val="center"/>
          </w:tcPr>
          <w:p w14:paraId="0BC12CF9"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0CE7076E"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H. Translation of CHM website/website projects</w:t>
            </w:r>
          </w:p>
        </w:tc>
        <w:tc>
          <w:tcPr>
            <w:tcW w:w="0" w:type="auto"/>
            <w:tcBorders>
              <w:top w:val="nil"/>
              <w:left w:val="nil"/>
              <w:bottom w:val="nil"/>
              <w:right w:val="nil"/>
            </w:tcBorders>
            <w:shd w:val="clear" w:color="auto" w:fill="auto"/>
            <w:vAlign w:val="center"/>
            <w:hideMark/>
          </w:tcPr>
          <w:p w14:paraId="1614C411"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65.0</w:t>
            </w:r>
          </w:p>
        </w:tc>
        <w:tc>
          <w:tcPr>
            <w:tcW w:w="0" w:type="auto"/>
            <w:tcBorders>
              <w:top w:val="nil"/>
              <w:left w:val="nil"/>
              <w:bottom w:val="nil"/>
              <w:right w:val="nil"/>
            </w:tcBorders>
            <w:shd w:val="clear" w:color="auto" w:fill="auto"/>
            <w:vAlign w:val="center"/>
            <w:hideMark/>
          </w:tcPr>
          <w:p w14:paraId="35B28BBE"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65.0</w:t>
            </w:r>
          </w:p>
        </w:tc>
        <w:tc>
          <w:tcPr>
            <w:tcW w:w="0" w:type="auto"/>
            <w:tcBorders>
              <w:top w:val="nil"/>
              <w:left w:val="nil"/>
              <w:bottom w:val="nil"/>
              <w:right w:val="nil"/>
            </w:tcBorders>
            <w:shd w:val="clear" w:color="auto" w:fill="auto"/>
            <w:vAlign w:val="center"/>
            <w:hideMark/>
          </w:tcPr>
          <w:p w14:paraId="1DA7C5C4"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130.0</w:t>
            </w:r>
          </w:p>
        </w:tc>
      </w:tr>
      <w:tr w:rsidR="00DE347C" w:rsidRPr="00EE0850" w14:paraId="0E09A061" w14:textId="77777777" w:rsidTr="00DE347C">
        <w:trPr>
          <w:trHeight w:val="261"/>
          <w:jc w:val="center"/>
        </w:trPr>
        <w:tc>
          <w:tcPr>
            <w:tcW w:w="0" w:type="auto"/>
            <w:tcBorders>
              <w:top w:val="nil"/>
              <w:left w:val="nil"/>
              <w:bottom w:val="nil"/>
              <w:right w:val="nil"/>
            </w:tcBorders>
            <w:shd w:val="clear" w:color="auto" w:fill="auto"/>
            <w:noWrap/>
            <w:vAlign w:val="center"/>
          </w:tcPr>
          <w:p w14:paraId="57FE3F1D"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4FC82F39"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I. Meetings</w:t>
            </w:r>
            <w:r w:rsidRPr="00EE0850">
              <w:rPr>
                <w:color w:val="000000"/>
                <w:kern w:val="22"/>
                <w:sz w:val="17"/>
                <w:szCs w:val="17"/>
                <w:vertAlign w:val="superscript"/>
                <w:lang w:eastAsia="en-CA"/>
              </w:rPr>
              <w:t>1/2/3</w:t>
            </w:r>
          </w:p>
        </w:tc>
        <w:tc>
          <w:tcPr>
            <w:tcW w:w="0" w:type="auto"/>
            <w:tcBorders>
              <w:top w:val="nil"/>
              <w:left w:val="nil"/>
              <w:bottom w:val="nil"/>
              <w:right w:val="nil"/>
            </w:tcBorders>
            <w:shd w:val="clear" w:color="auto" w:fill="auto"/>
            <w:vAlign w:val="center"/>
            <w:hideMark/>
          </w:tcPr>
          <w:p w14:paraId="4DC888EE"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1 569.0</w:t>
            </w:r>
          </w:p>
        </w:tc>
        <w:tc>
          <w:tcPr>
            <w:tcW w:w="0" w:type="auto"/>
            <w:tcBorders>
              <w:top w:val="nil"/>
              <w:left w:val="nil"/>
              <w:bottom w:val="nil"/>
              <w:right w:val="nil"/>
            </w:tcBorders>
            <w:shd w:val="clear" w:color="auto" w:fill="auto"/>
            <w:vAlign w:val="center"/>
            <w:hideMark/>
          </w:tcPr>
          <w:p w14:paraId="2139E988"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2 119.0</w:t>
            </w:r>
          </w:p>
        </w:tc>
        <w:tc>
          <w:tcPr>
            <w:tcW w:w="0" w:type="auto"/>
            <w:tcBorders>
              <w:top w:val="nil"/>
              <w:left w:val="nil"/>
              <w:bottom w:val="nil"/>
              <w:right w:val="nil"/>
            </w:tcBorders>
            <w:shd w:val="clear" w:color="auto" w:fill="auto"/>
            <w:vAlign w:val="center"/>
            <w:hideMark/>
          </w:tcPr>
          <w:p w14:paraId="45C0BC6E"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3 688.0</w:t>
            </w:r>
          </w:p>
        </w:tc>
      </w:tr>
      <w:tr w:rsidR="00DE347C" w:rsidRPr="00EE0850" w14:paraId="28E8EE8C" w14:textId="77777777" w:rsidTr="00DE347C">
        <w:trPr>
          <w:trHeight w:val="261"/>
          <w:jc w:val="center"/>
        </w:trPr>
        <w:tc>
          <w:tcPr>
            <w:tcW w:w="0" w:type="auto"/>
            <w:tcBorders>
              <w:top w:val="nil"/>
              <w:left w:val="nil"/>
              <w:bottom w:val="nil"/>
              <w:right w:val="nil"/>
            </w:tcBorders>
            <w:shd w:val="clear" w:color="auto" w:fill="auto"/>
            <w:noWrap/>
            <w:vAlign w:val="center"/>
          </w:tcPr>
          <w:p w14:paraId="225A699B"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019213EA"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J. Expert meetings</w:t>
            </w:r>
          </w:p>
        </w:tc>
        <w:tc>
          <w:tcPr>
            <w:tcW w:w="0" w:type="auto"/>
            <w:tcBorders>
              <w:top w:val="nil"/>
              <w:left w:val="nil"/>
              <w:bottom w:val="nil"/>
              <w:right w:val="nil"/>
            </w:tcBorders>
            <w:shd w:val="clear" w:color="auto" w:fill="auto"/>
            <w:vAlign w:val="center"/>
            <w:hideMark/>
          </w:tcPr>
          <w:p w14:paraId="5C1298C0"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170.0</w:t>
            </w:r>
          </w:p>
        </w:tc>
        <w:tc>
          <w:tcPr>
            <w:tcW w:w="0" w:type="auto"/>
            <w:tcBorders>
              <w:top w:val="nil"/>
              <w:left w:val="nil"/>
              <w:bottom w:val="nil"/>
              <w:right w:val="nil"/>
            </w:tcBorders>
            <w:shd w:val="clear" w:color="auto" w:fill="auto"/>
            <w:vAlign w:val="center"/>
            <w:hideMark/>
          </w:tcPr>
          <w:p w14:paraId="507AE60D"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150.0</w:t>
            </w:r>
          </w:p>
        </w:tc>
        <w:tc>
          <w:tcPr>
            <w:tcW w:w="0" w:type="auto"/>
            <w:tcBorders>
              <w:top w:val="nil"/>
              <w:left w:val="nil"/>
              <w:bottom w:val="nil"/>
              <w:right w:val="nil"/>
            </w:tcBorders>
            <w:shd w:val="clear" w:color="auto" w:fill="auto"/>
            <w:vAlign w:val="center"/>
            <w:hideMark/>
          </w:tcPr>
          <w:p w14:paraId="15D86009"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320.0</w:t>
            </w:r>
          </w:p>
        </w:tc>
      </w:tr>
      <w:tr w:rsidR="00DE347C" w:rsidRPr="00EE0850" w14:paraId="281A68FE" w14:textId="77777777" w:rsidTr="00DE347C">
        <w:trPr>
          <w:trHeight w:val="261"/>
          <w:jc w:val="center"/>
        </w:trPr>
        <w:tc>
          <w:tcPr>
            <w:tcW w:w="0" w:type="auto"/>
            <w:tcBorders>
              <w:top w:val="nil"/>
              <w:left w:val="nil"/>
              <w:bottom w:val="nil"/>
              <w:right w:val="nil"/>
            </w:tcBorders>
            <w:shd w:val="clear" w:color="auto" w:fill="auto"/>
            <w:noWrap/>
            <w:vAlign w:val="center"/>
          </w:tcPr>
          <w:p w14:paraId="0B1429F5"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1F9A5F38"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K. Extraordinary meetings on post-2020</w:t>
            </w:r>
            <w:r w:rsidRPr="00EE0850">
              <w:rPr>
                <w:color w:val="000000"/>
                <w:kern w:val="22"/>
                <w:sz w:val="17"/>
                <w:szCs w:val="17"/>
                <w:vertAlign w:val="superscript"/>
                <w:lang w:eastAsia="en-CA"/>
              </w:rPr>
              <w:t>4/</w:t>
            </w:r>
          </w:p>
        </w:tc>
        <w:tc>
          <w:tcPr>
            <w:tcW w:w="0" w:type="auto"/>
            <w:tcBorders>
              <w:top w:val="nil"/>
              <w:left w:val="nil"/>
              <w:bottom w:val="nil"/>
              <w:right w:val="nil"/>
            </w:tcBorders>
            <w:shd w:val="clear" w:color="auto" w:fill="auto"/>
            <w:vAlign w:val="center"/>
            <w:hideMark/>
          </w:tcPr>
          <w:p w14:paraId="00439834"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750.0</w:t>
            </w:r>
          </w:p>
        </w:tc>
        <w:tc>
          <w:tcPr>
            <w:tcW w:w="0" w:type="auto"/>
            <w:tcBorders>
              <w:top w:val="nil"/>
              <w:left w:val="nil"/>
              <w:bottom w:val="nil"/>
              <w:right w:val="nil"/>
            </w:tcBorders>
            <w:shd w:val="clear" w:color="auto" w:fill="auto"/>
            <w:vAlign w:val="center"/>
            <w:hideMark/>
          </w:tcPr>
          <w:p w14:paraId="3C32A07D"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560.0</w:t>
            </w:r>
          </w:p>
        </w:tc>
        <w:tc>
          <w:tcPr>
            <w:tcW w:w="0" w:type="auto"/>
            <w:tcBorders>
              <w:top w:val="nil"/>
              <w:left w:val="nil"/>
              <w:bottom w:val="nil"/>
              <w:right w:val="nil"/>
            </w:tcBorders>
            <w:shd w:val="clear" w:color="auto" w:fill="auto"/>
            <w:vAlign w:val="center"/>
            <w:hideMark/>
          </w:tcPr>
          <w:p w14:paraId="7D43AB95"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1 310.0</w:t>
            </w:r>
          </w:p>
        </w:tc>
      </w:tr>
      <w:tr w:rsidR="00DE347C" w:rsidRPr="00EE0850" w14:paraId="2A82C8E2" w14:textId="77777777" w:rsidTr="00DE347C">
        <w:trPr>
          <w:trHeight w:val="261"/>
          <w:jc w:val="center"/>
        </w:trPr>
        <w:tc>
          <w:tcPr>
            <w:tcW w:w="0" w:type="auto"/>
            <w:tcBorders>
              <w:top w:val="nil"/>
              <w:left w:val="nil"/>
              <w:bottom w:val="nil"/>
              <w:right w:val="nil"/>
            </w:tcBorders>
            <w:shd w:val="clear" w:color="auto" w:fill="auto"/>
            <w:noWrap/>
            <w:vAlign w:val="center"/>
          </w:tcPr>
          <w:p w14:paraId="183AA77A"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1D37A693"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L. Rent and associated costs</w:t>
            </w:r>
            <w:r w:rsidRPr="00EE0850">
              <w:rPr>
                <w:color w:val="000000"/>
                <w:kern w:val="22"/>
                <w:sz w:val="17"/>
                <w:szCs w:val="17"/>
                <w:vertAlign w:val="superscript"/>
                <w:lang w:eastAsia="en-CA"/>
              </w:rPr>
              <w:t>5/</w:t>
            </w:r>
          </w:p>
        </w:tc>
        <w:tc>
          <w:tcPr>
            <w:tcW w:w="0" w:type="auto"/>
            <w:tcBorders>
              <w:top w:val="nil"/>
              <w:left w:val="nil"/>
              <w:bottom w:val="nil"/>
              <w:right w:val="nil"/>
            </w:tcBorders>
            <w:shd w:val="clear" w:color="auto" w:fill="auto"/>
            <w:vAlign w:val="center"/>
            <w:hideMark/>
          </w:tcPr>
          <w:p w14:paraId="7AFE122A"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1 229.5</w:t>
            </w:r>
          </w:p>
        </w:tc>
        <w:tc>
          <w:tcPr>
            <w:tcW w:w="0" w:type="auto"/>
            <w:tcBorders>
              <w:top w:val="nil"/>
              <w:left w:val="nil"/>
              <w:bottom w:val="nil"/>
              <w:right w:val="nil"/>
            </w:tcBorders>
            <w:shd w:val="clear" w:color="auto" w:fill="auto"/>
            <w:vAlign w:val="center"/>
            <w:hideMark/>
          </w:tcPr>
          <w:p w14:paraId="000BE161"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1 423.4</w:t>
            </w:r>
          </w:p>
        </w:tc>
        <w:tc>
          <w:tcPr>
            <w:tcW w:w="0" w:type="auto"/>
            <w:tcBorders>
              <w:top w:val="nil"/>
              <w:left w:val="nil"/>
              <w:bottom w:val="nil"/>
              <w:right w:val="nil"/>
            </w:tcBorders>
            <w:shd w:val="clear" w:color="auto" w:fill="auto"/>
            <w:vAlign w:val="center"/>
            <w:hideMark/>
          </w:tcPr>
          <w:p w14:paraId="62D1ED20"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2 652.9</w:t>
            </w:r>
          </w:p>
        </w:tc>
      </w:tr>
      <w:tr w:rsidR="00DE347C" w:rsidRPr="00EE0850" w14:paraId="28BBD8B7" w14:textId="77777777" w:rsidTr="00DE347C">
        <w:trPr>
          <w:trHeight w:val="261"/>
          <w:jc w:val="center"/>
        </w:trPr>
        <w:tc>
          <w:tcPr>
            <w:tcW w:w="0" w:type="auto"/>
            <w:tcBorders>
              <w:top w:val="nil"/>
              <w:left w:val="nil"/>
              <w:bottom w:val="nil"/>
              <w:right w:val="nil"/>
            </w:tcBorders>
            <w:shd w:val="clear" w:color="auto" w:fill="auto"/>
            <w:noWrap/>
            <w:vAlign w:val="center"/>
          </w:tcPr>
          <w:p w14:paraId="7661488F"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14:paraId="0D299A93" w14:textId="77777777" w:rsidR="00DE347C" w:rsidRPr="00EE0850" w:rsidRDefault="00DE347C" w:rsidP="000C6220">
            <w:pPr>
              <w:spacing w:after="0" w:line="240" w:lineRule="auto"/>
              <w:rPr>
                <w:color w:val="000000"/>
                <w:kern w:val="22"/>
                <w:sz w:val="17"/>
                <w:szCs w:val="17"/>
                <w:lang w:eastAsia="en-CA"/>
              </w:rPr>
            </w:pPr>
            <w:r w:rsidRPr="00EE0850">
              <w:rPr>
                <w:color w:val="000000"/>
                <w:kern w:val="22"/>
                <w:sz w:val="17"/>
                <w:szCs w:val="17"/>
                <w:lang w:eastAsia="en-CA"/>
              </w:rPr>
              <w:t>M. General operating expenses</w:t>
            </w:r>
          </w:p>
        </w:tc>
        <w:tc>
          <w:tcPr>
            <w:tcW w:w="0" w:type="auto"/>
            <w:tcBorders>
              <w:top w:val="nil"/>
              <w:left w:val="nil"/>
              <w:bottom w:val="nil"/>
              <w:right w:val="nil"/>
            </w:tcBorders>
            <w:shd w:val="clear" w:color="auto" w:fill="auto"/>
            <w:vAlign w:val="center"/>
            <w:hideMark/>
          </w:tcPr>
          <w:p w14:paraId="101BC05D"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726.6</w:t>
            </w:r>
          </w:p>
        </w:tc>
        <w:tc>
          <w:tcPr>
            <w:tcW w:w="0" w:type="auto"/>
            <w:tcBorders>
              <w:top w:val="nil"/>
              <w:left w:val="nil"/>
              <w:bottom w:val="nil"/>
              <w:right w:val="nil"/>
            </w:tcBorders>
            <w:shd w:val="clear" w:color="auto" w:fill="auto"/>
            <w:vAlign w:val="center"/>
            <w:hideMark/>
          </w:tcPr>
          <w:p w14:paraId="13AF63CA"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726.6</w:t>
            </w:r>
          </w:p>
        </w:tc>
        <w:tc>
          <w:tcPr>
            <w:tcW w:w="0" w:type="auto"/>
            <w:tcBorders>
              <w:top w:val="nil"/>
              <w:left w:val="nil"/>
              <w:bottom w:val="nil"/>
              <w:right w:val="nil"/>
            </w:tcBorders>
            <w:shd w:val="clear" w:color="auto" w:fill="auto"/>
            <w:vAlign w:val="center"/>
            <w:hideMark/>
          </w:tcPr>
          <w:p w14:paraId="4A93F21B" w14:textId="77777777" w:rsidR="00DE347C" w:rsidRPr="00EE0850" w:rsidRDefault="00DE347C" w:rsidP="000C6220">
            <w:pPr>
              <w:spacing w:after="0" w:line="240" w:lineRule="auto"/>
              <w:jc w:val="right"/>
              <w:rPr>
                <w:color w:val="000000"/>
                <w:kern w:val="22"/>
                <w:sz w:val="17"/>
                <w:szCs w:val="17"/>
                <w:lang w:eastAsia="en-CA"/>
              </w:rPr>
            </w:pPr>
            <w:r w:rsidRPr="00EE0850">
              <w:rPr>
                <w:color w:val="000000"/>
                <w:kern w:val="22"/>
                <w:sz w:val="17"/>
                <w:szCs w:val="17"/>
                <w:lang w:eastAsia="en-CA"/>
              </w:rPr>
              <w:t>1 453.2</w:t>
            </w:r>
          </w:p>
        </w:tc>
      </w:tr>
      <w:tr w:rsidR="00DE347C" w:rsidRPr="00EE0850" w14:paraId="14EE0239"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4975B554" w14:textId="77777777" w:rsidR="00DE347C" w:rsidRPr="00EE0850" w:rsidRDefault="00DE347C" w:rsidP="000C6220">
            <w:pPr>
              <w:spacing w:after="0" w:line="240" w:lineRule="auto"/>
              <w:jc w:val="right"/>
              <w:rPr>
                <w:b/>
                <w:bCs/>
                <w:color w:val="000000"/>
                <w:kern w:val="22"/>
                <w:sz w:val="17"/>
                <w:szCs w:val="17"/>
                <w:lang w:eastAsia="en-CA"/>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43BA30FB" w14:textId="77777777" w:rsidR="00DE347C" w:rsidRPr="00EE0850" w:rsidRDefault="00DE347C" w:rsidP="000C6220">
            <w:pPr>
              <w:spacing w:after="0" w:line="240" w:lineRule="auto"/>
              <w:rPr>
                <w:b/>
                <w:bCs/>
                <w:kern w:val="22"/>
                <w:sz w:val="17"/>
                <w:szCs w:val="17"/>
                <w:lang w:eastAsia="en-CA"/>
              </w:rPr>
            </w:pPr>
            <w:r w:rsidRPr="00EE0850">
              <w:rPr>
                <w:b/>
                <w:bCs/>
                <w:kern w:val="22"/>
                <w:sz w:val="17"/>
                <w:szCs w:val="17"/>
                <w:lang w:eastAsia="en-CA"/>
              </w:rPr>
              <w:t>Subtotal (I)</w:t>
            </w:r>
          </w:p>
        </w:tc>
        <w:tc>
          <w:tcPr>
            <w:tcW w:w="0" w:type="auto"/>
            <w:tcBorders>
              <w:top w:val="single" w:sz="4" w:space="0" w:color="auto"/>
              <w:left w:val="nil"/>
              <w:bottom w:val="single" w:sz="4" w:space="0" w:color="auto"/>
              <w:right w:val="nil"/>
            </w:tcBorders>
            <w:shd w:val="clear" w:color="auto" w:fill="auto"/>
            <w:vAlign w:val="center"/>
            <w:hideMark/>
          </w:tcPr>
          <w:p w14:paraId="58F5E260" w14:textId="77777777" w:rsidR="00DE347C" w:rsidRPr="00EE0850" w:rsidRDefault="00DE347C" w:rsidP="000C6220">
            <w:pPr>
              <w:spacing w:after="0" w:line="240" w:lineRule="auto"/>
              <w:jc w:val="right"/>
              <w:rPr>
                <w:b/>
                <w:bCs/>
                <w:kern w:val="22"/>
                <w:sz w:val="17"/>
                <w:szCs w:val="17"/>
                <w:lang w:eastAsia="en-CA"/>
              </w:rPr>
            </w:pPr>
            <w:r w:rsidRPr="00EE0850">
              <w:rPr>
                <w:b/>
                <w:bCs/>
                <w:kern w:val="22"/>
                <w:sz w:val="17"/>
                <w:szCs w:val="17"/>
                <w:lang w:eastAsia="en-CA"/>
              </w:rPr>
              <w:t>16 719.0</w:t>
            </w:r>
          </w:p>
        </w:tc>
        <w:tc>
          <w:tcPr>
            <w:tcW w:w="0" w:type="auto"/>
            <w:tcBorders>
              <w:top w:val="single" w:sz="4" w:space="0" w:color="auto"/>
              <w:left w:val="nil"/>
              <w:bottom w:val="single" w:sz="4" w:space="0" w:color="auto"/>
              <w:right w:val="nil"/>
            </w:tcBorders>
            <w:shd w:val="clear" w:color="auto" w:fill="auto"/>
            <w:vAlign w:val="center"/>
            <w:hideMark/>
          </w:tcPr>
          <w:p w14:paraId="6BFA6ADE" w14:textId="77777777" w:rsidR="00DE347C" w:rsidRPr="00EE0850" w:rsidRDefault="00DE347C" w:rsidP="000C6220">
            <w:pPr>
              <w:spacing w:after="0" w:line="240" w:lineRule="auto"/>
              <w:jc w:val="right"/>
              <w:rPr>
                <w:b/>
                <w:bCs/>
                <w:kern w:val="22"/>
                <w:sz w:val="17"/>
                <w:szCs w:val="17"/>
                <w:lang w:eastAsia="en-CA"/>
              </w:rPr>
            </w:pPr>
            <w:r w:rsidRPr="00EE0850">
              <w:rPr>
                <w:b/>
                <w:bCs/>
                <w:kern w:val="22"/>
                <w:sz w:val="17"/>
                <w:szCs w:val="17"/>
                <w:lang w:eastAsia="en-CA"/>
              </w:rPr>
              <w:t>17 490.6</w:t>
            </w:r>
          </w:p>
        </w:tc>
        <w:tc>
          <w:tcPr>
            <w:tcW w:w="0" w:type="auto"/>
            <w:tcBorders>
              <w:top w:val="single" w:sz="4" w:space="0" w:color="auto"/>
              <w:left w:val="nil"/>
              <w:bottom w:val="single" w:sz="4" w:space="0" w:color="auto"/>
              <w:right w:val="nil"/>
            </w:tcBorders>
            <w:shd w:val="clear" w:color="auto" w:fill="auto"/>
            <w:vAlign w:val="center"/>
            <w:hideMark/>
          </w:tcPr>
          <w:p w14:paraId="00E2B95E" w14:textId="77777777" w:rsidR="00DE347C" w:rsidRPr="00EE0850" w:rsidRDefault="00DE347C" w:rsidP="000C6220">
            <w:pPr>
              <w:spacing w:after="0" w:line="240" w:lineRule="auto"/>
              <w:jc w:val="right"/>
              <w:rPr>
                <w:b/>
                <w:bCs/>
                <w:kern w:val="22"/>
                <w:sz w:val="17"/>
                <w:szCs w:val="17"/>
                <w:lang w:eastAsia="en-CA"/>
              </w:rPr>
            </w:pPr>
            <w:r w:rsidRPr="00EE0850">
              <w:rPr>
                <w:b/>
                <w:bCs/>
                <w:kern w:val="22"/>
                <w:sz w:val="17"/>
                <w:szCs w:val="17"/>
                <w:lang w:eastAsia="en-CA"/>
              </w:rPr>
              <w:t>34 209.6</w:t>
            </w:r>
          </w:p>
        </w:tc>
      </w:tr>
      <w:tr w:rsidR="00DE347C" w:rsidRPr="00EE0850" w14:paraId="3544DB8E"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09D80B98"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II</w:t>
            </w:r>
          </w:p>
        </w:tc>
        <w:tc>
          <w:tcPr>
            <w:tcW w:w="0" w:type="auto"/>
            <w:gridSpan w:val="2"/>
            <w:tcBorders>
              <w:top w:val="single" w:sz="4" w:space="0" w:color="auto"/>
              <w:left w:val="nil"/>
              <w:bottom w:val="nil"/>
              <w:right w:val="nil"/>
            </w:tcBorders>
            <w:shd w:val="clear" w:color="auto" w:fill="auto"/>
            <w:vAlign w:val="center"/>
            <w:hideMark/>
          </w:tcPr>
          <w:p w14:paraId="40417EC1" w14:textId="77777777" w:rsidR="00DE347C" w:rsidRPr="00EE0850" w:rsidRDefault="00DE347C" w:rsidP="000C6220">
            <w:pPr>
              <w:spacing w:after="0" w:line="240" w:lineRule="auto"/>
              <w:rPr>
                <w:b/>
                <w:bCs/>
                <w:kern w:val="22"/>
                <w:sz w:val="17"/>
                <w:szCs w:val="17"/>
                <w:lang w:eastAsia="en-CA"/>
              </w:rPr>
            </w:pPr>
            <w:r w:rsidRPr="00EE0850">
              <w:rPr>
                <w:b/>
                <w:bCs/>
                <w:kern w:val="22"/>
                <w:sz w:val="17"/>
                <w:szCs w:val="17"/>
                <w:lang w:eastAsia="en-CA"/>
              </w:rPr>
              <w:t>Programme support costs (13%)</w:t>
            </w:r>
          </w:p>
        </w:tc>
        <w:tc>
          <w:tcPr>
            <w:tcW w:w="0" w:type="auto"/>
            <w:tcBorders>
              <w:top w:val="nil"/>
              <w:left w:val="nil"/>
              <w:bottom w:val="nil"/>
              <w:right w:val="nil"/>
            </w:tcBorders>
            <w:shd w:val="clear" w:color="auto" w:fill="auto"/>
            <w:vAlign w:val="center"/>
            <w:hideMark/>
          </w:tcPr>
          <w:p w14:paraId="2BA87A9C"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2 173.5</w:t>
            </w:r>
          </w:p>
        </w:tc>
        <w:tc>
          <w:tcPr>
            <w:tcW w:w="0" w:type="auto"/>
            <w:tcBorders>
              <w:top w:val="nil"/>
              <w:left w:val="nil"/>
              <w:bottom w:val="nil"/>
              <w:right w:val="nil"/>
            </w:tcBorders>
            <w:shd w:val="clear" w:color="auto" w:fill="auto"/>
            <w:vAlign w:val="center"/>
            <w:hideMark/>
          </w:tcPr>
          <w:p w14:paraId="79746F36"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2 273.8</w:t>
            </w:r>
          </w:p>
        </w:tc>
        <w:tc>
          <w:tcPr>
            <w:tcW w:w="0" w:type="auto"/>
            <w:tcBorders>
              <w:top w:val="nil"/>
              <w:left w:val="nil"/>
              <w:bottom w:val="nil"/>
              <w:right w:val="nil"/>
            </w:tcBorders>
            <w:shd w:val="clear" w:color="auto" w:fill="auto"/>
            <w:vAlign w:val="center"/>
            <w:hideMark/>
          </w:tcPr>
          <w:p w14:paraId="02DB61D5"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4 447.2</w:t>
            </w:r>
          </w:p>
        </w:tc>
      </w:tr>
      <w:tr w:rsidR="00DE347C" w:rsidRPr="00EE0850" w14:paraId="1584B64D"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2DA7B2C0" w14:textId="77777777" w:rsidR="00DE347C" w:rsidRPr="00EE0850" w:rsidRDefault="00DE347C" w:rsidP="000C6220">
            <w:pPr>
              <w:spacing w:after="0" w:line="240" w:lineRule="auto"/>
              <w:jc w:val="right"/>
              <w:rPr>
                <w:b/>
                <w:bCs/>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14:paraId="15814A44" w14:textId="77777777" w:rsidR="00DE347C" w:rsidRPr="00EE0850" w:rsidRDefault="00DE347C" w:rsidP="000C6220">
            <w:pPr>
              <w:spacing w:after="0" w:line="240" w:lineRule="auto"/>
              <w:rPr>
                <w:b/>
                <w:bCs/>
                <w:kern w:val="22"/>
                <w:sz w:val="17"/>
                <w:szCs w:val="17"/>
                <w:lang w:eastAsia="en-CA"/>
              </w:rPr>
            </w:pPr>
            <w:r w:rsidRPr="00EE0850">
              <w:rPr>
                <w:b/>
                <w:bCs/>
                <w:kern w:val="22"/>
                <w:sz w:val="17"/>
                <w:szCs w:val="17"/>
                <w:lang w:eastAsia="en-CA"/>
              </w:rPr>
              <w:t>Subtotal (I + II)</w:t>
            </w:r>
          </w:p>
        </w:tc>
        <w:tc>
          <w:tcPr>
            <w:tcW w:w="0" w:type="auto"/>
            <w:tcBorders>
              <w:top w:val="nil"/>
              <w:left w:val="nil"/>
              <w:bottom w:val="single" w:sz="4" w:space="0" w:color="auto"/>
              <w:right w:val="nil"/>
            </w:tcBorders>
            <w:shd w:val="clear" w:color="auto" w:fill="auto"/>
            <w:vAlign w:val="center"/>
            <w:hideMark/>
          </w:tcPr>
          <w:p w14:paraId="1C0AD65E" w14:textId="77777777" w:rsidR="00DE347C" w:rsidRPr="00EE0850" w:rsidRDefault="00DE347C" w:rsidP="000C6220">
            <w:pPr>
              <w:spacing w:after="0" w:line="240" w:lineRule="auto"/>
              <w:jc w:val="right"/>
              <w:rPr>
                <w:b/>
                <w:bCs/>
                <w:kern w:val="22"/>
                <w:sz w:val="17"/>
                <w:szCs w:val="17"/>
                <w:lang w:eastAsia="en-CA"/>
              </w:rPr>
            </w:pPr>
            <w:r w:rsidRPr="00EE0850">
              <w:rPr>
                <w:b/>
                <w:bCs/>
                <w:kern w:val="22"/>
                <w:sz w:val="17"/>
                <w:szCs w:val="17"/>
                <w:lang w:eastAsia="en-CA"/>
              </w:rPr>
              <w:t>18 892.4</w:t>
            </w:r>
          </w:p>
        </w:tc>
        <w:tc>
          <w:tcPr>
            <w:tcW w:w="0" w:type="auto"/>
            <w:tcBorders>
              <w:top w:val="nil"/>
              <w:left w:val="nil"/>
              <w:bottom w:val="single" w:sz="4" w:space="0" w:color="auto"/>
              <w:right w:val="nil"/>
            </w:tcBorders>
            <w:shd w:val="clear" w:color="auto" w:fill="auto"/>
            <w:vAlign w:val="center"/>
            <w:hideMark/>
          </w:tcPr>
          <w:p w14:paraId="66CE8872" w14:textId="77777777" w:rsidR="00DE347C" w:rsidRPr="00EE0850" w:rsidRDefault="00DE347C" w:rsidP="000C6220">
            <w:pPr>
              <w:spacing w:after="0" w:line="240" w:lineRule="auto"/>
              <w:jc w:val="right"/>
              <w:rPr>
                <w:b/>
                <w:bCs/>
                <w:kern w:val="22"/>
                <w:sz w:val="17"/>
                <w:szCs w:val="17"/>
                <w:lang w:eastAsia="en-CA"/>
              </w:rPr>
            </w:pPr>
            <w:r w:rsidRPr="00EE0850">
              <w:rPr>
                <w:b/>
                <w:bCs/>
                <w:kern w:val="22"/>
                <w:sz w:val="17"/>
                <w:szCs w:val="17"/>
                <w:lang w:eastAsia="en-CA"/>
              </w:rPr>
              <w:t>19 764.4</w:t>
            </w:r>
          </w:p>
        </w:tc>
        <w:tc>
          <w:tcPr>
            <w:tcW w:w="0" w:type="auto"/>
            <w:tcBorders>
              <w:top w:val="nil"/>
              <w:left w:val="nil"/>
              <w:bottom w:val="single" w:sz="4" w:space="0" w:color="auto"/>
              <w:right w:val="nil"/>
            </w:tcBorders>
            <w:shd w:val="clear" w:color="auto" w:fill="auto"/>
            <w:vAlign w:val="center"/>
            <w:hideMark/>
          </w:tcPr>
          <w:p w14:paraId="1C557560" w14:textId="77777777" w:rsidR="00DE347C" w:rsidRPr="00EE0850" w:rsidRDefault="00DE347C" w:rsidP="000C6220">
            <w:pPr>
              <w:spacing w:after="0" w:line="240" w:lineRule="auto"/>
              <w:jc w:val="right"/>
              <w:rPr>
                <w:b/>
                <w:bCs/>
                <w:kern w:val="22"/>
                <w:sz w:val="17"/>
                <w:szCs w:val="17"/>
                <w:lang w:eastAsia="en-CA"/>
              </w:rPr>
            </w:pPr>
            <w:r w:rsidRPr="00EE0850">
              <w:rPr>
                <w:b/>
                <w:bCs/>
                <w:kern w:val="22"/>
                <w:sz w:val="17"/>
                <w:szCs w:val="17"/>
                <w:lang w:eastAsia="en-CA"/>
              </w:rPr>
              <w:t>38 656.8</w:t>
            </w:r>
          </w:p>
        </w:tc>
      </w:tr>
      <w:tr w:rsidR="00DE347C" w:rsidRPr="00EE0850" w14:paraId="6AFAEFD3"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1F5253F5"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III</w:t>
            </w:r>
          </w:p>
        </w:tc>
        <w:tc>
          <w:tcPr>
            <w:tcW w:w="0" w:type="auto"/>
            <w:gridSpan w:val="2"/>
            <w:tcBorders>
              <w:top w:val="single" w:sz="4" w:space="0" w:color="auto"/>
              <w:left w:val="nil"/>
              <w:bottom w:val="nil"/>
              <w:right w:val="nil"/>
            </w:tcBorders>
            <w:shd w:val="clear" w:color="auto" w:fill="auto"/>
            <w:vAlign w:val="center"/>
            <w:hideMark/>
          </w:tcPr>
          <w:p w14:paraId="346BA962" w14:textId="77777777" w:rsidR="00DE347C" w:rsidRPr="00EE0850" w:rsidRDefault="00DE347C" w:rsidP="000C6220">
            <w:pPr>
              <w:spacing w:after="0" w:line="240" w:lineRule="auto"/>
              <w:rPr>
                <w:kern w:val="22"/>
                <w:sz w:val="17"/>
                <w:szCs w:val="17"/>
                <w:lang w:eastAsia="en-CA"/>
              </w:rPr>
            </w:pPr>
            <w:r w:rsidRPr="00EE0850">
              <w:rPr>
                <w:kern w:val="22"/>
                <w:sz w:val="17"/>
                <w:szCs w:val="17"/>
                <w:lang w:eastAsia="en-CA"/>
              </w:rPr>
              <w:t>Working Capital Reserve</w:t>
            </w:r>
          </w:p>
        </w:tc>
        <w:tc>
          <w:tcPr>
            <w:tcW w:w="0" w:type="auto"/>
            <w:tcBorders>
              <w:top w:val="nil"/>
              <w:left w:val="nil"/>
              <w:bottom w:val="nil"/>
              <w:right w:val="nil"/>
            </w:tcBorders>
            <w:shd w:val="clear" w:color="auto" w:fill="auto"/>
            <w:vAlign w:val="center"/>
            <w:hideMark/>
          </w:tcPr>
          <w:p w14:paraId="214DE41A"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56.6</w:t>
            </w:r>
          </w:p>
        </w:tc>
        <w:tc>
          <w:tcPr>
            <w:tcW w:w="0" w:type="auto"/>
            <w:tcBorders>
              <w:top w:val="nil"/>
              <w:left w:val="nil"/>
              <w:bottom w:val="nil"/>
              <w:right w:val="nil"/>
            </w:tcBorders>
            <w:shd w:val="clear" w:color="auto" w:fill="auto"/>
            <w:vAlign w:val="center"/>
            <w:hideMark/>
          </w:tcPr>
          <w:p w14:paraId="44348892"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130.8</w:t>
            </w:r>
          </w:p>
        </w:tc>
        <w:tc>
          <w:tcPr>
            <w:tcW w:w="0" w:type="auto"/>
            <w:tcBorders>
              <w:top w:val="nil"/>
              <w:left w:val="nil"/>
              <w:bottom w:val="nil"/>
              <w:right w:val="nil"/>
            </w:tcBorders>
            <w:shd w:val="clear" w:color="auto" w:fill="auto"/>
            <w:vAlign w:val="center"/>
            <w:hideMark/>
          </w:tcPr>
          <w:p w14:paraId="2E681BB0"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187.3</w:t>
            </w:r>
          </w:p>
        </w:tc>
      </w:tr>
      <w:tr w:rsidR="00DE347C" w:rsidRPr="00EE0850" w14:paraId="257E77C4"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37CF5708" w14:textId="77777777" w:rsidR="00DE347C" w:rsidRPr="00EE0850" w:rsidRDefault="00DE347C" w:rsidP="000C6220">
            <w:pPr>
              <w:spacing w:after="0" w:line="240" w:lineRule="auto"/>
              <w:jc w:val="right"/>
              <w:rPr>
                <w:b/>
                <w:bCs/>
                <w:color w:val="000000"/>
                <w:kern w:val="22"/>
                <w:sz w:val="17"/>
                <w:szCs w:val="17"/>
                <w:lang w:eastAsia="en-CA"/>
              </w:rPr>
            </w:pPr>
          </w:p>
        </w:tc>
        <w:tc>
          <w:tcPr>
            <w:tcW w:w="0" w:type="auto"/>
            <w:gridSpan w:val="2"/>
            <w:tcBorders>
              <w:top w:val="nil"/>
              <w:left w:val="nil"/>
              <w:bottom w:val="single" w:sz="8" w:space="0" w:color="auto"/>
              <w:right w:val="nil"/>
            </w:tcBorders>
            <w:shd w:val="clear" w:color="auto" w:fill="auto"/>
            <w:vAlign w:val="center"/>
            <w:hideMark/>
          </w:tcPr>
          <w:p w14:paraId="284A9E9B" w14:textId="77777777" w:rsidR="00DE347C" w:rsidRPr="00EE0850" w:rsidRDefault="00DE347C" w:rsidP="000C6220">
            <w:pPr>
              <w:spacing w:after="0" w:line="240" w:lineRule="auto"/>
              <w:rPr>
                <w:b/>
                <w:bCs/>
                <w:color w:val="000000"/>
                <w:kern w:val="22"/>
                <w:sz w:val="17"/>
                <w:szCs w:val="17"/>
                <w:lang w:eastAsia="en-CA"/>
              </w:rPr>
            </w:pPr>
            <w:r w:rsidRPr="00EE0850">
              <w:rPr>
                <w:b/>
                <w:bCs/>
                <w:color w:val="000000"/>
                <w:kern w:val="22"/>
                <w:sz w:val="17"/>
                <w:szCs w:val="17"/>
                <w:lang w:eastAsia="en-CA"/>
              </w:rPr>
              <w:t>Grand total (II + III)</w:t>
            </w:r>
          </w:p>
        </w:tc>
        <w:tc>
          <w:tcPr>
            <w:tcW w:w="0" w:type="auto"/>
            <w:tcBorders>
              <w:top w:val="nil"/>
              <w:left w:val="nil"/>
              <w:bottom w:val="single" w:sz="8" w:space="0" w:color="auto"/>
              <w:right w:val="nil"/>
            </w:tcBorders>
            <w:shd w:val="clear" w:color="auto" w:fill="auto"/>
            <w:vAlign w:val="center"/>
            <w:hideMark/>
          </w:tcPr>
          <w:p w14:paraId="51B36BD6"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18 949.0</w:t>
            </w:r>
          </w:p>
        </w:tc>
        <w:tc>
          <w:tcPr>
            <w:tcW w:w="0" w:type="auto"/>
            <w:tcBorders>
              <w:top w:val="nil"/>
              <w:left w:val="nil"/>
              <w:bottom w:val="single" w:sz="8" w:space="0" w:color="auto"/>
              <w:right w:val="nil"/>
            </w:tcBorders>
            <w:shd w:val="clear" w:color="auto" w:fill="auto"/>
            <w:vAlign w:val="center"/>
            <w:hideMark/>
          </w:tcPr>
          <w:p w14:paraId="6B3CCE2D"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19 895.1</w:t>
            </w:r>
          </w:p>
        </w:tc>
        <w:tc>
          <w:tcPr>
            <w:tcW w:w="0" w:type="auto"/>
            <w:tcBorders>
              <w:top w:val="nil"/>
              <w:left w:val="nil"/>
              <w:bottom w:val="single" w:sz="8" w:space="0" w:color="auto"/>
              <w:right w:val="nil"/>
            </w:tcBorders>
            <w:shd w:val="clear" w:color="auto" w:fill="auto"/>
            <w:vAlign w:val="center"/>
            <w:hideMark/>
          </w:tcPr>
          <w:p w14:paraId="16BE8199" w14:textId="77777777" w:rsidR="00DE347C" w:rsidRPr="00EE0850" w:rsidRDefault="00DE347C" w:rsidP="000C6220">
            <w:pPr>
              <w:spacing w:after="0" w:line="240" w:lineRule="auto"/>
              <w:jc w:val="right"/>
              <w:rPr>
                <w:b/>
                <w:bCs/>
                <w:color w:val="000000"/>
                <w:kern w:val="22"/>
                <w:sz w:val="17"/>
                <w:szCs w:val="17"/>
                <w:lang w:eastAsia="en-CA"/>
              </w:rPr>
            </w:pPr>
            <w:r w:rsidRPr="00EE0850">
              <w:rPr>
                <w:b/>
                <w:bCs/>
                <w:color w:val="000000"/>
                <w:kern w:val="22"/>
                <w:sz w:val="17"/>
                <w:szCs w:val="17"/>
                <w:lang w:eastAsia="en-CA"/>
              </w:rPr>
              <w:t>38 844.1</w:t>
            </w:r>
          </w:p>
        </w:tc>
      </w:tr>
      <w:tr w:rsidR="00DE347C" w:rsidRPr="00EE0850" w14:paraId="2DE1CAF1" w14:textId="77777777" w:rsidTr="00DE347C">
        <w:trPr>
          <w:trHeight w:val="432"/>
          <w:jc w:val="center"/>
        </w:trPr>
        <w:tc>
          <w:tcPr>
            <w:tcW w:w="0" w:type="auto"/>
            <w:tcBorders>
              <w:top w:val="nil"/>
              <w:left w:val="nil"/>
              <w:bottom w:val="nil"/>
              <w:right w:val="nil"/>
            </w:tcBorders>
            <w:shd w:val="clear" w:color="auto" w:fill="auto"/>
            <w:noWrap/>
            <w:vAlign w:val="center"/>
            <w:hideMark/>
          </w:tcPr>
          <w:p w14:paraId="7FC561FB"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single" w:sz="8" w:space="0" w:color="auto"/>
              <w:left w:val="nil"/>
              <w:bottom w:val="single" w:sz="8" w:space="0" w:color="auto"/>
              <w:right w:val="nil"/>
            </w:tcBorders>
            <w:shd w:val="clear" w:color="auto" w:fill="auto"/>
            <w:vAlign w:val="center"/>
            <w:hideMark/>
          </w:tcPr>
          <w:p w14:paraId="524CDAD6" w14:textId="77777777" w:rsidR="00DE347C" w:rsidRPr="00EE0850" w:rsidRDefault="00DE347C" w:rsidP="000C6220">
            <w:pPr>
              <w:spacing w:after="0" w:line="240" w:lineRule="auto"/>
              <w:jc w:val="left"/>
              <w:rPr>
                <w:kern w:val="22"/>
                <w:sz w:val="17"/>
                <w:szCs w:val="17"/>
                <w:lang w:eastAsia="en-CA"/>
              </w:rPr>
            </w:pPr>
            <w:r w:rsidRPr="00EE0850">
              <w:rPr>
                <w:kern w:val="22"/>
                <w:sz w:val="17"/>
                <w:szCs w:val="17"/>
                <w:lang w:eastAsia="en-CA"/>
              </w:rPr>
              <w:t>Nagoya Protocol share of the integrated budget (11%)</w:t>
            </w:r>
          </w:p>
        </w:tc>
        <w:tc>
          <w:tcPr>
            <w:tcW w:w="0" w:type="auto"/>
            <w:tcBorders>
              <w:top w:val="nil"/>
              <w:left w:val="nil"/>
              <w:bottom w:val="single" w:sz="8" w:space="0" w:color="auto"/>
              <w:right w:val="nil"/>
            </w:tcBorders>
            <w:shd w:val="clear" w:color="auto" w:fill="auto"/>
            <w:vAlign w:val="center"/>
            <w:hideMark/>
          </w:tcPr>
          <w:p w14:paraId="697418EF"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 xml:space="preserve">2 084.4 </w:t>
            </w:r>
          </w:p>
        </w:tc>
        <w:tc>
          <w:tcPr>
            <w:tcW w:w="0" w:type="auto"/>
            <w:tcBorders>
              <w:top w:val="nil"/>
              <w:left w:val="nil"/>
              <w:bottom w:val="single" w:sz="8" w:space="0" w:color="auto"/>
              <w:right w:val="nil"/>
            </w:tcBorders>
            <w:shd w:val="clear" w:color="auto" w:fill="auto"/>
            <w:vAlign w:val="center"/>
            <w:hideMark/>
          </w:tcPr>
          <w:p w14:paraId="25ED76D2"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 xml:space="preserve">2 188.5 </w:t>
            </w:r>
          </w:p>
        </w:tc>
        <w:tc>
          <w:tcPr>
            <w:tcW w:w="0" w:type="auto"/>
            <w:tcBorders>
              <w:top w:val="nil"/>
              <w:left w:val="nil"/>
              <w:bottom w:val="single" w:sz="8" w:space="0" w:color="auto"/>
              <w:right w:val="nil"/>
            </w:tcBorders>
            <w:shd w:val="clear" w:color="auto" w:fill="auto"/>
            <w:vAlign w:val="center"/>
            <w:hideMark/>
          </w:tcPr>
          <w:p w14:paraId="21F422A5"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 xml:space="preserve">4 272.9 </w:t>
            </w:r>
          </w:p>
        </w:tc>
      </w:tr>
      <w:tr w:rsidR="00DE347C" w:rsidRPr="00EE0850" w14:paraId="104CB8F5"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4A333F77"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2B168FC0" w14:textId="77777777" w:rsidR="00DE347C" w:rsidRPr="00EE0850" w:rsidRDefault="00DE347C" w:rsidP="000C6220">
            <w:pPr>
              <w:spacing w:after="0" w:line="240" w:lineRule="auto"/>
              <w:rPr>
                <w:kern w:val="22"/>
                <w:sz w:val="17"/>
                <w:szCs w:val="17"/>
                <w:lang w:eastAsia="en-CA"/>
              </w:rPr>
            </w:pPr>
            <w:r w:rsidRPr="00EE0850">
              <w:rPr>
                <w:kern w:val="22"/>
                <w:sz w:val="17"/>
                <w:szCs w:val="17"/>
                <w:u w:val="single"/>
                <w:lang w:eastAsia="en-CA"/>
              </w:rPr>
              <w:t>Less</w:t>
            </w:r>
            <w:r w:rsidRPr="00EE0850">
              <w:rPr>
                <w:kern w:val="22"/>
                <w:sz w:val="17"/>
                <w:szCs w:val="17"/>
                <w:lang w:eastAsia="en-CA"/>
              </w:rPr>
              <w:t xml:space="preserve"> contribution from host country</w:t>
            </w:r>
            <w:r w:rsidRPr="00EE0850">
              <w:rPr>
                <w:kern w:val="22"/>
                <w:sz w:val="17"/>
                <w:szCs w:val="17"/>
                <w:vertAlign w:val="superscript"/>
                <w:lang w:eastAsia="en-CA"/>
              </w:rPr>
              <w:t>5/</w:t>
            </w:r>
          </w:p>
        </w:tc>
        <w:tc>
          <w:tcPr>
            <w:tcW w:w="0" w:type="auto"/>
            <w:tcBorders>
              <w:top w:val="nil"/>
              <w:left w:val="nil"/>
              <w:bottom w:val="nil"/>
              <w:right w:val="nil"/>
            </w:tcBorders>
            <w:shd w:val="clear" w:color="auto" w:fill="auto"/>
            <w:vAlign w:val="center"/>
            <w:hideMark/>
          </w:tcPr>
          <w:p w14:paraId="1B957239"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(135.2)</w:t>
            </w:r>
          </w:p>
        </w:tc>
        <w:tc>
          <w:tcPr>
            <w:tcW w:w="0" w:type="auto"/>
            <w:tcBorders>
              <w:top w:val="nil"/>
              <w:left w:val="nil"/>
              <w:bottom w:val="nil"/>
              <w:right w:val="nil"/>
            </w:tcBorders>
            <w:shd w:val="clear" w:color="auto" w:fill="auto"/>
            <w:vAlign w:val="center"/>
            <w:hideMark/>
          </w:tcPr>
          <w:p w14:paraId="4F4BB465"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(156.6)</w:t>
            </w:r>
          </w:p>
        </w:tc>
        <w:tc>
          <w:tcPr>
            <w:tcW w:w="0" w:type="auto"/>
            <w:tcBorders>
              <w:top w:val="nil"/>
              <w:left w:val="nil"/>
              <w:bottom w:val="nil"/>
              <w:right w:val="nil"/>
            </w:tcBorders>
            <w:shd w:val="clear" w:color="auto" w:fill="auto"/>
            <w:vAlign w:val="center"/>
            <w:hideMark/>
          </w:tcPr>
          <w:p w14:paraId="26546FAB"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(291.8)</w:t>
            </w:r>
          </w:p>
        </w:tc>
      </w:tr>
      <w:tr w:rsidR="00DE347C" w:rsidRPr="00EE0850" w14:paraId="4F048307"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6A604D91"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0B8CA738" w14:textId="77777777" w:rsidR="00DE347C" w:rsidRPr="00EE0850" w:rsidRDefault="00DE347C" w:rsidP="000C6220">
            <w:pPr>
              <w:spacing w:after="0" w:line="240" w:lineRule="auto"/>
              <w:rPr>
                <w:kern w:val="22"/>
                <w:sz w:val="17"/>
                <w:szCs w:val="17"/>
                <w:lang w:eastAsia="en-CA"/>
              </w:rPr>
            </w:pPr>
            <w:r w:rsidRPr="00EE0850">
              <w:rPr>
                <w:kern w:val="22"/>
                <w:sz w:val="17"/>
                <w:szCs w:val="17"/>
                <w:u w:val="single"/>
                <w:lang w:eastAsia="en-CA"/>
              </w:rPr>
              <w:t>Less</w:t>
            </w:r>
            <w:r w:rsidRPr="00EE0850">
              <w:rPr>
                <w:kern w:val="22"/>
                <w:sz w:val="17"/>
                <w:szCs w:val="17"/>
                <w:lang w:eastAsia="en-CA"/>
              </w:rPr>
              <w:t xml:space="preserve"> use of reserves for extraordinary meetings</w:t>
            </w:r>
            <w:r w:rsidRPr="00EE0850">
              <w:rPr>
                <w:kern w:val="22"/>
                <w:sz w:val="17"/>
                <w:szCs w:val="17"/>
                <w:vertAlign w:val="superscript"/>
                <w:lang w:eastAsia="en-CA"/>
              </w:rPr>
              <w:t>/4</w:t>
            </w:r>
          </w:p>
        </w:tc>
        <w:tc>
          <w:tcPr>
            <w:tcW w:w="0" w:type="auto"/>
            <w:tcBorders>
              <w:top w:val="nil"/>
              <w:left w:val="nil"/>
              <w:bottom w:val="nil"/>
              <w:right w:val="nil"/>
            </w:tcBorders>
            <w:shd w:val="clear" w:color="auto" w:fill="auto"/>
            <w:vAlign w:val="center"/>
            <w:hideMark/>
          </w:tcPr>
          <w:p w14:paraId="2DF7C645"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(93.2)</w:t>
            </w:r>
          </w:p>
        </w:tc>
        <w:tc>
          <w:tcPr>
            <w:tcW w:w="0" w:type="auto"/>
            <w:tcBorders>
              <w:top w:val="nil"/>
              <w:left w:val="nil"/>
              <w:bottom w:val="nil"/>
              <w:right w:val="nil"/>
            </w:tcBorders>
            <w:shd w:val="clear" w:color="auto" w:fill="auto"/>
            <w:vAlign w:val="center"/>
            <w:hideMark/>
          </w:tcPr>
          <w:p w14:paraId="157DFE04"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(69.6)</w:t>
            </w:r>
          </w:p>
        </w:tc>
        <w:tc>
          <w:tcPr>
            <w:tcW w:w="0" w:type="auto"/>
            <w:tcBorders>
              <w:top w:val="nil"/>
              <w:left w:val="nil"/>
              <w:bottom w:val="nil"/>
              <w:right w:val="nil"/>
            </w:tcBorders>
            <w:shd w:val="clear" w:color="auto" w:fill="auto"/>
            <w:vAlign w:val="center"/>
            <w:hideMark/>
          </w:tcPr>
          <w:p w14:paraId="1D8694BB"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(162.8)</w:t>
            </w:r>
          </w:p>
        </w:tc>
      </w:tr>
      <w:tr w:rsidR="00DE347C" w:rsidRPr="00EE0850" w14:paraId="6BC9E315"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7B238D1D"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1DE98F1E" w14:textId="77777777" w:rsidR="00DE347C" w:rsidRPr="00EE0850" w:rsidRDefault="00DE347C" w:rsidP="000C6220">
            <w:pPr>
              <w:spacing w:after="0" w:line="240" w:lineRule="auto"/>
              <w:rPr>
                <w:kern w:val="22"/>
                <w:sz w:val="17"/>
                <w:szCs w:val="17"/>
                <w:lang w:eastAsia="en-CA"/>
              </w:rPr>
            </w:pPr>
            <w:r w:rsidRPr="00EE0850">
              <w:rPr>
                <w:kern w:val="22"/>
                <w:sz w:val="17"/>
                <w:szCs w:val="17"/>
                <w:u w:val="single"/>
                <w:lang w:eastAsia="en-CA"/>
              </w:rPr>
              <w:t>Less</w:t>
            </w:r>
            <w:r w:rsidRPr="00EE0850">
              <w:rPr>
                <w:kern w:val="22"/>
                <w:sz w:val="17"/>
                <w:szCs w:val="17"/>
                <w:lang w:eastAsia="en-CA"/>
              </w:rPr>
              <w:t xml:space="preserve"> use of reserves from previous years</w:t>
            </w:r>
          </w:p>
        </w:tc>
        <w:tc>
          <w:tcPr>
            <w:tcW w:w="0" w:type="auto"/>
            <w:tcBorders>
              <w:top w:val="nil"/>
              <w:left w:val="nil"/>
              <w:bottom w:val="nil"/>
              <w:right w:val="nil"/>
            </w:tcBorders>
            <w:shd w:val="clear" w:color="auto" w:fill="auto"/>
            <w:vAlign w:val="center"/>
            <w:hideMark/>
          </w:tcPr>
          <w:p w14:paraId="242435DC"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(94.9)</w:t>
            </w:r>
          </w:p>
        </w:tc>
        <w:tc>
          <w:tcPr>
            <w:tcW w:w="0" w:type="auto"/>
            <w:tcBorders>
              <w:top w:val="nil"/>
              <w:left w:val="nil"/>
              <w:bottom w:val="nil"/>
              <w:right w:val="nil"/>
            </w:tcBorders>
            <w:shd w:val="clear" w:color="auto" w:fill="auto"/>
            <w:vAlign w:val="center"/>
            <w:hideMark/>
          </w:tcPr>
          <w:p w14:paraId="1C330919"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(94.9)</w:t>
            </w:r>
          </w:p>
        </w:tc>
        <w:tc>
          <w:tcPr>
            <w:tcW w:w="0" w:type="auto"/>
            <w:tcBorders>
              <w:top w:val="nil"/>
              <w:left w:val="nil"/>
              <w:bottom w:val="nil"/>
              <w:right w:val="nil"/>
            </w:tcBorders>
            <w:shd w:val="clear" w:color="auto" w:fill="auto"/>
            <w:vAlign w:val="center"/>
            <w:hideMark/>
          </w:tcPr>
          <w:p w14:paraId="6CF0C531" w14:textId="77777777" w:rsidR="00DE347C" w:rsidRPr="00EE0850" w:rsidRDefault="00DE347C" w:rsidP="000C6220">
            <w:pPr>
              <w:spacing w:after="0" w:line="240" w:lineRule="auto"/>
              <w:jc w:val="right"/>
              <w:rPr>
                <w:kern w:val="22"/>
                <w:sz w:val="17"/>
                <w:szCs w:val="17"/>
                <w:lang w:eastAsia="en-CA"/>
              </w:rPr>
            </w:pPr>
            <w:r w:rsidRPr="00EE0850">
              <w:rPr>
                <w:kern w:val="22"/>
                <w:sz w:val="17"/>
                <w:szCs w:val="17"/>
                <w:lang w:eastAsia="en-CA"/>
              </w:rPr>
              <w:t>(189.9)</w:t>
            </w:r>
          </w:p>
        </w:tc>
      </w:tr>
      <w:tr w:rsidR="00DE347C" w:rsidRPr="00EE0850" w14:paraId="249A2483" w14:textId="77777777" w:rsidTr="00DE347C">
        <w:trPr>
          <w:trHeight w:val="261"/>
          <w:jc w:val="center"/>
        </w:trPr>
        <w:tc>
          <w:tcPr>
            <w:tcW w:w="0" w:type="auto"/>
            <w:tcBorders>
              <w:top w:val="nil"/>
              <w:left w:val="nil"/>
              <w:bottom w:val="nil"/>
              <w:right w:val="nil"/>
            </w:tcBorders>
            <w:shd w:val="clear" w:color="auto" w:fill="auto"/>
            <w:noWrap/>
            <w:vAlign w:val="center"/>
            <w:hideMark/>
          </w:tcPr>
          <w:p w14:paraId="3B198741" w14:textId="77777777" w:rsidR="00DE347C" w:rsidRPr="00EE0850" w:rsidRDefault="00DE347C" w:rsidP="000C6220">
            <w:pPr>
              <w:spacing w:after="0" w:line="240" w:lineRule="auto"/>
              <w:jc w:val="right"/>
              <w:rPr>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14:paraId="5D668E5F" w14:textId="77777777" w:rsidR="00DE347C" w:rsidRPr="00EE0850" w:rsidRDefault="00DE347C" w:rsidP="000C6220">
            <w:pPr>
              <w:spacing w:after="0" w:line="240" w:lineRule="auto"/>
              <w:rPr>
                <w:b/>
                <w:bCs/>
                <w:kern w:val="22"/>
                <w:sz w:val="17"/>
                <w:szCs w:val="17"/>
                <w:lang w:eastAsia="en-CA"/>
              </w:rPr>
            </w:pPr>
            <w:r w:rsidRPr="00EE0850">
              <w:rPr>
                <w:b/>
                <w:bCs/>
                <w:kern w:val="22"/>
                <w:sz w:val="17"/>
                <w:szCs w:val="17"/>
                <w:lang w:eastAsia="en-CA"/>
              </w:rPr>
              <w:t>Net total (amount to be shared by Parties)</w:t>
            </w:r>
          </w:p>
        </w:tc>
        <w:tc>
          <w:tcPr>
            <w:tcW w:w="0" w:type="auto"/>
            <w:tcBorders>
              <w:top w:val="nil"/>
              <w:left w:val="nil"/>
              <w:bottom w:val="single" w:sz="4" w:space="0" w:color="auto"/>
              <w:right w:val="nil"/>
            </w:tcBorders>
            <w:shd w:val="clear" w:color="auto" w:fill="auto"/>
            <w:vAlign w:val="center"/>
            <w:hideMark/>
          </w:tcPr>
          <w:p w14:paraId="4270B079" w14:textId="77777777" w:rsidR="00DE347C" w:rsidRPr="00EE0850" w:rsidRDefault="00DE347C" w:rsidP="000C6220">
            <w:pPr>
              <w:spacing w:after="0" w:line="240" w:lineRule="auto"/>
              <w:jc w:val="right"/>
              <w:rPr>
                <w:b/>
                <w:bCs/>
                <w:kern w:val="22"/>
                <w:sz w:val="17"/>
                <w:szCs w:val="17"/>
                <w:lang w:eastAsia="en-CA"/>
              </w:rPr>
            </w:pPr>
            <w:r w:rsidRPr="00EE0850">
              <w:rPr>
                <w:b/>
                <w:bCs/>
                <w:kern w:val="22"/>
                <w:sz w:val="17"/>
                <w:szCs w:val="17"/>
                <w:lang w:eastAsia="en-CA"/>
              </w:rPr>
              <w:t>1 761.0</w:t>
            </w:r>
          </w:p>
        </w:tc>
        <w:tc>
          <w:tcPr>
            <w:tcW w:w="0" w:type="auto"/>
            <w:tcBorders>
              <w:top w:val="nil"/>
              <w:left w:val="nil"/>
              <w:bottom w:val="single" w:sz="4" w:space="0" w:color="auto"/>
              <w:right w:val="nil"/>
            </w:tcBorders>
            <w:shd w:val="clear" w:color="auto" w:fill="auto"/>
            <w:vAlign w:val="center"/>
            <w:hideMark/>
          </w:tcPr>
          <w:p w14:paraId="782EE340" w14:textId="77777777" w:rsidR="00DE347C" w:rsidRPr="00EE0850" w:rsidRDefault="00DE347C" w:rsidP="000C6220">
            <w:pPr>
              <w:spacing w:after="0" w:line="240" w:lineRule="auto"/>
              <w:jc w:val="right"/>
              <w:rPr>
                <w:b/>
                <w:bCs/>
                <w:kern w:val="22"/>
                <w:sz w:val="17"/>
                <w:szCs w:val="17"/>
                <w:lang w:eastAsia="en-CA"/>
              </w:rPr>
            </w:pPr>
            <w:r w:rsidRPr="00EE0850">
              <w:rPr>
                <w:b/>
                <w:bCs/>
                <w:kern w:val="22"/>
                <w:sz w:val="17"/>
                <w:szCs w:val="17"/>
                <w:lang w:eastAsia="en-CA"/>
              </w:rPr>
              <w:t>1 867.3</w:t>
            </w:r>
          </w:p>
        </w:tc>
        <w:tc>
          <w:tcPr>
            <w:tcW w:w="0" w:type="auto"/>
            <w:tcBorders>
              <w:top w:val="nil"/>
              <w:left w:val="nil"/>
              <w:bottom w:val="single" w:sz="4" w:space="0" w:color="auto"/>
              <w:right w:val="nil"/>
            </w:tcBorders>
            <w:shd w:val="clear" w:color="auto" w:fill="auto"/>
            <w:vAlign w:val="center"/>
            <w:hideMark/>
          </w:tcPr>
          <w:p w14:paraId="39D11186" w14:textId="77777777" w:rsidR="00DE347C" w:rsidRPr="00EE0850" w:rsidRDefault="00DE347C" w:rsidP="000C6220">
            <w:pPr>
              <w:spacing w:after="0" w:line="240" w:lineRule="auto"/>
              <w:jc w:val="right"/>
              <w:rPr>
                <w:b/>
                <w:bCs/>
                <w:kern w:val="22"/>
                <w:sz w:val="17"/>
                <w:szCs w:val="17"/>
                <w:lang w:eastAsia="en-CA"/>
              </w:rPr>
            </w:pPr>
            <w:r w:rsidRPr="00EE0850">
              <w:rPr>
                <w:b/>
                <w:bCs/>
                <w:kern w:val="22"/>
                <w:sz w:val="17"/>
                <w:szCs w:val="17"/>
                <w:lang w:eastAsia="en-CA"/>
              </w:rPr>
              <w:t>3 628.3</w:t>
            </w:r>
          </w:p>
        </w:tc>
      </w:tr>
      <w:tr w:rsidR="00DE347C" w:rsidRPr="00EE0850" w14:paraId="27EB8917" w14:textId="77777777" w:rsidTr="00DE347C">
        <w:trPr>
          <w:trHeight w:val="288"/>
          <w:jc w:val="center"/>
        </w:trPr>
        <w:tc>
          <w:tcPr>
            <w:tcW w:w="0" w:type="auto"/>
            <w:tcBorders>
              <w:top w:val="nil"/>
              <w:left w:val="nil"/>
              <w:bottom w:val="nil"/>
              <w:right w:val="nil"/>
            </w:tcBorders>
            <w:shd w:val="clear" w:color="auto" w:fill="auto"/>
            <w:noWrap/>
            <w:vAlign w:val="center"/>
            <w:hideMark/>
          </w:tcPr>
          <w:p w14:paraId="48777F78" w14:textId="77777777" w:rsidR="00DE347C" w:rsidRPr="00EE0850" w:rsidRDefault="00DE347C" w:rsidP="000C6220">
            <w:pPr>
              <w:spacing w:after="0" w:line="240" w:lineRule="auto"/>
              <w:jc w:val="right"/>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2B61FC2E" w14:textId="77777777" w:rsidR="00DE347C" w:rsidRPr="00EE0850" w:rsidRDefault="00DE347C" w:rsidP="000C6220">
            <w:pPr>
              <w:spacing w:after="0" w:line="240" w:lineRule="auto"/>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69144587" w14:textId="77777777" w:rsidR="00DE347C" w:rsidRPr="00EE0850" w:rsidRDefault="00DE347C" w:rsidP="000C6220">
            <w:pPr>
              <w:spacing w:after="0" w:line="240" w:lineRule="auto"/>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49BC3D8F" w14:textId="77777777" w:rsidR="00DE347C" w:rsidRPr="00EE0850" w:rsidRDefault="00DE347C" w:rsidP="000C6220">
            <w:pPr>
              <w:spacing w:after="0" w:line="240" w:lineRule="auto"/>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559277E8" w14:textId="77777777" w:rsidR="00DE347C" w:rsidRPr="00EE0850" w:rsidRDefault="00DE347C" w:rsidP="000C6220">
            <w:pPr>
              <w:spacing w:after="0" w:line="240" w:lineRule="auto"/>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6F0EDAC4" w14:textId="77777777" w:rsidR="00DE347C" w:rsidRPr="00EE0850" w:rsidRDefault="00DE347C" w:rsidP="000C6220">
            <w:pPr>
              <w:spacing w:after="0" w:line="240" w:lineRule="auto"/>
              <w:rPr>
                <w:color w:val="000000"/>
                <w:kern w:val="22"/>
                <w:sz w:val="16"/>
                <w:szCs w:val="16"/>
                <w:lang w:eastAsia="en-CA"/>
              </w:rPr>
            </w:pPr>
          </w:p>
        </w:tc>
      </w:tr>
      <w:tr w:rsidR="00773106" w:rsidRPr="00EE0850" w14:paraId="72018C1F" w14:textId="77777777" w:rsidTr="00773106">
        <w:trPr>
          <w:cantSplit/>
          <w:trHeight w:val="113"/>
          <w:jc w:val="center"/>
        </w:trPr>
        <w:tc>
          <w:tcPr>
            <w:tcW w:w="0" w:type="auto"/>
            <w:tcBorders>
              <w:top w:val="nil"/>
              <w:left w:val="nil"/>
              <w:bottom w:val="nil"/>
              <w:right w:val="nil"/>
            </w:tcBorders>
            <w:shd w:val="clear" w:color="auto" w:fill="auto"/>
            <w:noWrap/>
            <w:vAlign w:val="center"/>
            <w:hideMark/>
          </w:tcPr>
          <w:p w14:paraId="11F702D0" w14:textId="77777777" w:rsidR="00DE347C" w:rsidRPr="00EE0850" w:rsidRDefault="00DE347C" w:rsidP="000C6220">
            <w:pPr>
              <w:spacing w:after="0" w:line="240" w:lineRule="auto"/>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4C3395AB" w14:textId="77777777" w:rsidR="00DE347C" w:rsidRPr="00EE0850" w:rsidRDefault="00DE347C" w:rsidP="000C6220">
            <w:pPr>
              <w:spacing w:after="0" w:line="240" w:lineRule="auto"/>
              <w:rPr>
                <w:color w:val="000000"/>
                <w:kern w:val="22"/>
                <w:sz w:val="16"/>
                <w:szCs w:val="16"/>
                <w:lang w:eastAsia="en-CA"/>
              </w:rPr>
            </w:pPr>
            <w:r w:rsidRPr="00EE0850">
              <w:rPr>
                <w:color w:val="000000"/>
                <w:kern w:val="22"/>
                <w:sz w:val="16"/>
                <w:szCs w:val="16"/>
                <w:lang w:eastAsia="en-CA"/>
              </w:rPr>
              <w:t>1/ Regular meetings to be funded from the core budget:</w:t>
            </w:r>
          </w:p>
        </w:tc>
      </w:tr>
      <w:tr w:rsidR="00773106" w:rsidRPr="00EE0850" w14:paraId="05016A43" w14:textId="77777777" w:rsidTr="00773106">
        <w:trPr>
          <w:cantSplit/>
          <w:trHeight w:val="113"/>
          <w:jc w:val="center"/>
        </w:trPr>
        <w:tc>
          <w:tcPr>
            <w:tcW w:w="0" w:type="auto"/>
            <w:tcBorders>
              <w:top w:val="nil"/>
              <w:left w:val="nil"/>
              <w:bottom w:val="nil"/>
              <w:right w:val="nil"/>
            </w:tcBorders>
            <w:shd w:val="clear" w:color="auto" w:fill="auto"/>
            <w:noWrap/>
            <w:vAlign w:val="center"/>
            <w:hideMark/>
          </w:tcPr>
          <w:p w14:paraId="40697AA5" w14:textId="77777777" w:rsidR="00DE347C" w:rsidRPr="00EE0850" w:rsidRDefault="00DE347C" w:rsidP="000C6220">
            <w:pPr>
              <w:spacing w:after="0" w:line="240" w:lineRule="auto"/>
              <w:jc w:val="right"/>
              <w:rPr>
                <w:color w:val="000000"/>
                <w:kern w:val="22"/>
                <w:sz w:val="16"/>
                <w:szCs w:val="16"/>
                <w:lang w:eastAsia="en-CA"/>
              </w:rPr>
            </w:pPr>
          </w:p>
        </w:tc>
        <w:tc>
          <w:tcPr>
            <w:tcW w:w="0" w:type="auto"/>
            <w:gridSpan w:val="5"/>
            <w:tcBorders>
              <w:top w:val="nil"/>
              <w:left w:val="nil"/>
              <w:bottom w:val="nil"/>
              <w:right w:val="nil"/>
            </w:tcBorders>
            <w:shd w:val="clear" w:color="auto" w:fill="auto"/>
            <w:noWrap/>
            <w:hideMark/>
          </w:tcPr>
          <w:p w14:paraId="2992EFAC" w14:textId="77777777" w:rsidR="00DE347C" w:rsidRPr="00EE0850" w:rsidRDefault="00DE347C" w:rsidP="000C6220">
            <w:pPr>
              <w:spacing w:after="0" w:line="240" w:lineRule="auto"/>
              <w:jc w:val="left"/>
              <w:rPr>
                <w:color w:val="000000"/>
                <w:kern w:val="22"/>
                <w:sz w:val="16"/>
                <w:szCs w:val="16"/>
                <w:lang w:eastAsia="en-CA"/>
              </w:rPr>
            </w:pPr>
            <w:r w:rsidRPr="00EE0850">
              <w:rPr>
                <w:color w:val="000000"/>
                <w:kern w:val="22"/>
                <w:sz w:val="16"/>
                <w:szCs w:val="16"/>
                <w:lang w:eastAsia="en-CA"/>
              </w:rPr>
              <w:t>- Eleventh meeting of the Ad Hoc Working Group on Article 8(j) and Related Provisions.</w:t>
            </w:r>
          </w:p>
        </w:tc>
      </w:tr>
      <w:tr w:rsidR="00773106" w:rsidRPr="00EE0850" w14:paraId="73A46BAF" w14:textId="77777777" w:rsidTr="00773106">
        <w:trPr>
          <w:cantSplit/>
          <w:trHeight w:val="113"/>
          <w:jc w:val="center"/>
        </w:trPr>
        <w:tc>
          <w:tcPr>
            <w:tcW w:w="0" w:type="auto"/>
            <w:tcBorders>
              <w:top w:val="nil"/>
              <w:left w:val="nil"/>
              <w:bottom w:val="nil"/>
              <w:right w:val="nil"/>
            </w:tcBorders>
            <w:shd w:val="clear" w:color="auto" w:fill="auto"/>
            <w:noWrap/>
            <w:vAlign w:val="center"/>
            <w:hideMark/>
          </w:tcPr>
          <w:p w14:paraId="2256387A" w14:textId="77777777" w:rsidR="00DE347C" w:rsidRPr="00EE0850" w:rsidRDefault="00DE347C" w:rsidP="000C6220">
            <w:pPr>
              <w:spacing w:after="0" w:line="240" w:lineRule="auto"/>
              <w:jc w:val="right"/>
              <w:rPr>
                <w:color w:val="000000"/>
                <w:kern w:val="22"/>
                <w:sz w:val="16"/>
                <w:szCs w:val="16"/>
                <w:lang w:eastAsia="en-CA"/>
              </w:rPr>
            </w:pPr>
          </w:p>
        </w:tc>
        <w:tc>
          <w:tcPr>
            <w:tcW w:w="0" w:type="auto"/>
            <w:gridSpan w:val="5"/>
            <w:tcBorders>
              <w:top w:val="nil"/>
              <w:left w:val="nil"/>
              <w:bottom w:val="nil"/>
              <w:right w:val="nil"/>
            </w:tcBorders>
            <w:shd w:val="clear" w:color="auto" w:fill="auto"/>
            <w:noWrap/>
            <w:hideMark/>
          </w:tcPr>
          <w:p w14:paraId="60C15345" w14:textId="77777777" w:rsidR="00DE347C" w:rsidRPr="00EE0850" w:rsidRDefault="00DE347C" w:rsidP="000C6220">
            <w:pPr>
              <w:spacing w:after="0" w:line="240" w:lineRule="auto"/>
              <w:jc w:val="left"/>
              <w:rPr>
                <w:color w:val="000000"/>
                <w:kern w:val="22"/>
                <w:sz w:val="16"/>
                <w:szCs w:val="16"/>
                <w:lang w:eastAsia="en-CA"/>
              </w:rPr>
            </w:pPr>
            <w:r w:rsidRPr="00EE0850">
              <w:rPr>
                <w:color w:val="000000"/>
                <w:kern w:val="22"/>
                <w:sz w:val="16"/>
                <w:szCs w:val="16"/>
                <w:lang w:eastAsia="en-CA"/>
              </w:rPr>
              <w:t>- Twenty-third and twenty-fourth meetings of the Subsidiary Body on Scientific Technical and Technological Advice.</w:t>
            </w:r>
          </w:p>
        </w:tc>
      </w:tr>
      <w:tr w:rsidR="00773106" w:rsidRPr="00EE0850" w14:paraId="3800A867" w14:textId="77777777" w:rsidTr="00773106">
        <w:trPr>
          <w:cantSplit/>
          <w:trHeight w:val="113"/>
          <w:jc w:val="center"/>
        </w:trPr>
        <w:tc>
          <w:tcPr>
            <w:tcW w:w="0" w:type="auto"/>
            <w:tcBorders>
              <w:top w:val="nil"/>
              <w:left w:val="nil"/>
              <w:bottom w:val="nil"/>
              <w:right w:val="nil"/>
            </w:tcBorders>
            <w:shd w:val="clear" w:color="auto" w:fill="auto"/>
            <w:noWrap/>
            <w:vAlign w:val="center"/>
            <w:hideMark/>
          </w:tcPr>
          <w:p w14:paraId="05C40ED1" w14:textId="77777777" w:rsidR="00DE347C" w:rsidRPr="00EE0850" w:rsidRDefault="00DE347C" w:rsidP="000C6220">
            <w:pPr>
              <w:spacing w:after="0" w:line="240" w:lineRule="auto"/>
              <w:jc w:val="right"/>
              <w:rPr>
                <w:color w:val="000000"/>
                <w:kern w:val="22"/>
                <w:sz w:val="16"/>
                <w:szCs w:val="16"/>
                <w:lang w:eastAsia="en-CA"/>
              </w:rPr>
            </w:pPr>
          </w:p>
        </w:tc>
        <w:tc>
          <w:tcPr>
            <w:tcW w:w="0" w:type="auto"/>
            <w:gridSpan w:val="5"/>
            <w:tcBorders>
              <w:top w:val="nil"/>
              <w:left w:val="nil"/>
              <w:bottom w:val="nil"/>
              <w:right w:val="nil"/>
            </w:tcBorders>
            <w:shd w:val="clear" w:color="auto" w:fill="auto"/>
            <w:noWrap/>
            <w:hideMark/>
          </w:tcPr>
          <w:p w14:paraId="4D790D51" w14:textId="77777777" w:rsidR="00DE347C" w:rsidRPr="00EE0850" w:rsidRDefault="00DE347C" w:rsidP="000C6220">
            <w:pPr>
              <w:spacing w:after="0" w:line="240" w:lineRule="auto"/>
              <w:jc w:val="left"/>
              <w:rPr>
                <w:color w:val="000000"/>
                <w:kern w:val="22"/>
                <w:sz w:val="16"/>
                <w:szCs w:val="16"/>
                <w:lang w:eastAsia="en-CA"/>
              </w:rPr>
            </w:pPr>
            <w:r w:rsidRPr="00EE0850">
              <w:rPr>
                <w:color w:val="000000"/>
                <w:kern w:val="22"/>
                <w:sz w:val="16"/>
                <w:szCs w:val="16"/>
                <w:lang w:eastAsia="en-CA"/>
              </w:rPr>
              <w:t>- Third meeting of the Subsidiary Body on Implementation.</w:t>
            </w:r>
          </w:p>
        </w:tc>
      </w:tr>
      <w:tr w:rsidR="00773106" w:rsidRPr="00EE0850" w14:paraId="047BF56C" w14:textId="77777777" w:rsidTr="00773106">
        <w:trPr>
          <w:cantSplit/>
          <w:trHeight w:val="113"/>
          <w:jc w:val="center"/>
        </w:trPr>
        <w:tc>
          <w:tcPr>
            <w:tcW w:w="0" w:type="auto"/>
            <w:tcBorders>
              <w:top w:val="nil"/>
              <w:left w:val="nil"/>
              <w:bottom w:val="nil"/>
              <w:right w:val="nil"/>
            </w:tcBorders>
            <w:shd w:val="clear" w:color="auto" w:fill="auto"/>
            <w:noWrap/>
            <w:vAlign w:val="center"/>
            <w:hideMark/>
          </w:tcPr>
          <w:p w14:paraId="0C49584E" w14:textId="77777777" w:rsidR="00DE347C" w:rsidRPr="00EE0850" w:rsidRDefault="00DE347C" w:rsidP="000C6220">
            <w:pPr>
              <w:spacing w:after="0" w:line="240" w:lineRule="auto"/>
              <w:jc w:val="right"/>
              <w:rPr>
                <w:color w:val="000000"/>
                <w:kern w:val="22"/>
                <w:sz w:val="16"/>
                <w:szCs w:val="16"/>
                <w:lang w:eastAsia="en-CA"/>
              </w:rPr>
            </w:pPr>
          </w:p>
        </w:tc>
        <w:tc>
          <w:tcPr>
            <w:tcW w:w="0" w:type="auto"/>
            <w:gridSpan w:val="5"/>
            <w:tcBorders>
              <w:top w:val="nil"/>
              <w:left w:val="nil"/>
              <w:bottom w:val="nil"/>
              <w:right w:val="nil"/>
            </w:tcBorders>
            <w:shd w:val="clear" w:color="auto" w:fill="auto"/>
            <w:noWrap/>
            <w:hideMark/>
          </w:tcPr>
          <w:p w14:paraId="74CD567D" w14:textId="77777777" w:rsidR="00DE347C" w:rsidRPr="00EE0850" w:rsidRDefault="00DE347C" w:rsidP="000C6220">
            <w:pPr>
              <w:spacing w:after="0" w:line="240" w:lineRule="auto"/>
              <w:jc w:val="left"/>
              <w:rPr>
                <w:color w:val="000000"/>
                <w:kern w:val="22"/>
                <w:sz w:val="16"/>
                <w:szCs w:val="16"/>
                <w:lang w:eastAsia="en-CA"/>
              </w:rPr>
            </w:pPr>
            <w:r w:rsidRPr="00EE0850">
              <w:rPr>
                <w:color w:val="000000"/>
                <w:kern w:val="22"/>
                <w:sz w:val="16"/>
                <w:szCs w:val="16"/>
                <w:lang w:eastAsia="en-CA"/>
              </w:rPr>
              <w:t>- Fifteenth meeting of the Conference of the Parties to the Convention / Tenth meeting of the Parties to the Cartagena Protocol / Fourth meeting of the Parties to the Nagoya Protocol held concurrently.</w:t>
            </w:r>
          </w:p>
        </w:tc>
      </w:tr>
      <w:tr w:rsidR="00773106" w:rsidRPr="00EE0850" w14:paraId="45759262" w14:textId="77777777" w:rsidTr="00773106">
        <w:trPr>
          <w:cantSplit/>
          <w:trHeight w:val="113"/>
          <w:jc w:val="center"/>
        </w:trPr>
        <w:tc>
          <w:tcPr>
            <w:tcW w:w="0" w:type="auto"/>
            <w:tcBorders>
              <w:top w:val="nil"/>
              <w:left w:val="nil"/>
              <w:bottom w:val="nil"/>
              <w:right w:val="nil"/>
            </w:tcBorders>
            <w:shd w:val="clear" w:color="auto" w:fill="auto"/>
            <w:noWrap/>
            <w:vAlign w:val="center"/>
            <w:hideMark/>
          </w:tcPr>
          <w:p w14:paraId="0A380A74" w14:textId="77777777" w:rsidR="00DE347C" w:rsidRPr="00EE0850" w:rsidRDefault="00DE347C" w:rsidP="000C6220">
            <w:pPr>
              <w:spacing w:after="0" w:line="240" w:lineRule="auto"/>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22F5A988" w14:textId="77777777" w:rsidR="00DE347C" w:rsidRPr="00EE0850" w:rsidRDefault="00DE347C" w:rsidP="000C6220">
            <w:pPr>
              <w:spacing w:after="0" w:line="240" w:lineRule="auto"/>
              <w:rPr>
                <w:color w:val="000000"/>
                <w:kern w:val="22"/>
                <w:sz w:val="16"/>
                <w:szCs w:val="16"/>
                <w:lang w:eastAsia="en-CA"/>
              </w:rPr>
            </w:pPr>
            <w:r w:rsidRPr="00EE0850">
              <w:rPr>
                <w:color w:val="000000"/>
                <w:kern w:val="22"/>
                <w:sz w:val="16"/>
                <w:szCs w:val="16"/>
                <w:lang w:eastAsia="en-CA"/>
              </w:rPr>
              <w:t>2/ SBSTTA-23 (3 days), Art. 8(j)-11 (3 days) back-to-back in 2019. SBSTTA-24 (6days), SBI-3 (5 days) back-to-back in 2020.</w:t>
            </w:r>
          </w:p>
        </w:tc>
      </w:tr>
      <w:tr w:rsidR="00773106" w:rsidRPr="00EE0850" w14:paraId="61EB56E8" w14:textId="77777777" w:rsidTr="00773106">
        <w:trPr>
          <w:cantSplit/>
          <w:trHeight w:val="113"/>
          <w:jc w:val="center"/>
        </w:trPr>
        <w:tc>
          <w:tcPr>
            <w:tcW w:w="0" w:type="auto"/>
            <w:tcBorders>
              <w:top w:val="nil"/>
              <w:left w:val="nil"/>
              <w:bottom w:val="nil"/>
              <w:right w:val="nil"/>
            </w:tcBorders>
            <w:shd w:val="clear" w:color="auto" w:fill="auto"/>
            <w:noWrap/>
            <w:vAlign w:val="center"/>
            <w:hideMark/>
          </w:tcPr>
          <w:p w14:paraId="06450D57" w14:textId="77777777" w:rsidR="00DE347C" w:rsidRPr="00EE0850" w:rsidRDefault="00DE347C" w:rsidP="000C6220">
            <w:pPr>
              <w:spacing w:after="0" w:line="240" w:lineRule="auto"/>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221D87B1" w14:textId="77777777" w:rsidR="00DE347C" w:rsidRPr="00EE0850" w:rsidRDefault="00DE347C" w:rsidP="000C6220">
            <w:pPr>
              <w:spacing w:after="0" w:line="240" w:lineRule="auto"/>
              <w:rPr>
                <w:color w:val="000000"/>
                <w:kern w:val="22"/>
                <w:sz w:val="16"/>
                <w:szCs w:val="16"/>
                <w:lang w:eastAsia="en-CA"/>
              </w:rPr>
            </w:pPr>
            <w:r w:rsidRPr="00EE0850">
              <w:rPr>
                <w:color w:val="000000"/>
                <w:kern w:val="22"/>
                <w:sz w:val="16"/>
                <w:szCs w:val="16"/>
                <w:lang w:eastAsia="en-CA"/>
              </w:rPr>
              <w:t>3/ Budget for COP-15/COP-MOP 10 and COP-MOP 4 divided equally between both years of the biennium.</w:t>
            </w:r>
          </w:p>
        </w:tc>
      </w:tr>
      <w:tr w:rsidR="00773106" w:rsidRPr="00EE0850" w14:paraId="1D56072A" w14:textId="77777777" w:rsidTr="00773106">
        <w:trPr>
          <w:cantSplit/>
          <w:trHeight w:val="113"/>
          <w:jc w:val="center"/>
        </w:trPr>
        <w:tc>
          <w:tcPr>
            <w:tcW w:w="0" w:type="auto"/>
            <w:tcBorders>
              <w:top w:val="nil"/>
              <w:left w:val="nil"/>
              <w:bottom w:val="nil"/>
              <w:right w:val="nil"/>
            </w:tcBorders>
            <w:shd w:val="clear" w:color="auto" w:fill="auto"/>
            <w:noWrap/>
            <w:vAlign w:val="center"/>
            <w:hideMark/>
          </w:tcPr>
          <w:p w14:paraId="0F093428" w14:textId="77777777" w:rsidR="00DE347C" w:rsidRPr="00EE0850" w:rsidRDefault="00DE347C" w:rsidP="000C6220">
            <w:pPr>
              <w:spacing w:after="0" w:line="240" w:lineRule="auto"/>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6F22990A" w14:textId="77777777" w:rsidR="00DE347C" w:rsidRPr="00EE0850" w:rsidRDefault="00DE347C" w:rsidP="000C6220">
            <w:pPr>
              <w:spacing w:after="0" w:line="240" w:lineRule="auto"/>
              <w:rPr>
                <w:color w:val="000000"/>
                <w:kern w:val="22"/>
                <w:sz w:val="16"/>
                <w:szCs w:val="16"/>
                <w:lang w:eastAsia="en-CA"/>
              </w:rPr>
            </w:pPr>
            <w:r w:rsidRPr="00EE0850">
              <w:rPr>
                <w:color w:val="000000"/>
                <w:kern w:val="22"/>
                <w:sz w:val="16"/>
                <w:szCs w:val="16"/>
                <w:lang w:eastAsia="en-CA"/>
              </w:rPr>
              <w:t>4/ Two stand-alone meetings of the extraordinary meetings, 5 days each, plus 2 days extension for SBSTTA-23</w:t>
            </w:r>
          </w:p>
        </w:tc>
      </w:tr>
      <w:tr w:rsidR="00773106" w:rsidRPr="00EE0850" w14:paraId="7777B7C6" w14:textId="77777777" w:rsidTr="00773106">
        <w:trPr>
          <w:cantSplit/>
          <w:trHeight w:val="113"/>
          <w:jc w:val="center"/>
        </w:trPr>
        <w:tc>
          <w:tcPr>
            <w:tcW w:w="0" w:type="auto"/>
            <w:tcBorders>
              <w:top w:val="nil"/>
              <w:left w:val="nil"/>
              <w:bottom w:val="nil"/>
              <w:right w:val="nil"/>
            </w:tcBorders>
            <w:shd w:val="clear" w:color="auto" w:fill="auto"/>
            <w:noWrap/>
            <w:vAlign w:val="center"/>
            <w:hideMark/>
          </w:tcPr>
          <w:p w14:paraId="7D86204A" w14:textId="77777777" w:rsidR="00DE347C" w:rsidRPr="00EE0850" w:rsidRDefault="00DE347C" w:rsidP="000C6220">
            <w:pPr>
              <w:spacing w:after="0" w:line="240" w:lineRule="auto"/>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1D91A51B" w14:textId="77777777" w:rsidR="00DE347C" w:rsidRPr="00EE0850" w:rsidRDefault="00DE347C" w:rsidP="000C6220">
            <w:pPr>
              <w:spacing w:after="0" w:line="240" w:lineRule="auto"/>
              <w:rPr>
                <w:color w:val="000000"/>
                <w:kern w:val="22"/>
                <w:sz w:val="16"/>
                <w:szCs w:val="16"/>
                <w:lang w:eastAsia="en-CA"/>
              </w:rPr>
            </w:pPr>
            <w:r w:rsidRPr="00EE0850">
              <w:rPr>
                <w:color w:val="000000"/>
                <w:kern w:val="22"/>
                <w:sz w:val="16"/>
                <w:szCs w:val="16"/>
                <w:lang w:eastAsia="en-CA"/>
              </w:rPr>
              <w:t>5/ Indicative.</w:t>
            </w:r>
          </w:p>
        </w:tc>
      </w:tr>
    </w:tbl>
    <w:p w14:paraId="4046FFAF" w14:textId="77777777" w:rsidR="003438E6" w:rsidRPr="00EE0850" w:rsidRDefault="003438E6">
      <w:pPr>
        <w:jc w:val="left"/>
        <w:rPr>
          <w:kern w:val="22"/>
        </w:rPr>
      </w:pPr>
    </w:p>
    <w:p w14:paraId="2F3CC90C" w14:textId="77777777" w:rsidR="00DE347C" w:rsidRPr="00EE0850" w:rsidRDefault="00DE347C">
      <w:pPr>
        <w:jc w:val="left"/>
        <w:rPr>
          <w:kern w:val="22"/>
        </w:rPr>
        <w:sectPr w:rsidR="00DE347C" w:rsidRPr="00EE0850" w:rsidSect="003438E6">
          <w:headerReference w:type="even" r:id="rId23"/>
          <w:headerReference w:type="default" r:id="rId24"/>
          <w:footerReference w:type="even" r:id="rId25"/>
          <w:footerReference w:type="default" r:id="rId26"/>
          <w:type w:val="continuous"/>
          <w:pgSz w:w="12242" w:h="15842" w:code="1"/>
          <w:pgMar w:top="1138" w:right="1138" w:bottom="1022" w:left="1138" w:header="403" w:footer="720" w:gutter="0"/>
          <w:cols w:space="720"/>
          <w:titlePg/>
          <w:docGrid w:linePitch="299"/>
        </w:sectPr>
      </w:pPr>
    </w:p>
    <w:p w14:paraId="49F98DFA" w14:textId="77777777" w:rsidR="00DE347C" w:rsidRPr="00EE0850" w:rsidRDefault="00DE347C" w:rsidP="000C6220">
      <w:pPr>
        <w:spacing w:line="240" w:lineRule="auto"/>
        <w:jc w:val="left"/>
        <w:rPr>
          <w:b/>
          <w:kern w:val="22"/>
        </w:rPr>
      </w:pPr>
      <w:r w:rsidRPr="00EE0850">
        <w:rPr>
          <w:b/>
          <w:kern w:val="22"/>
        </w:rPr>
        <w:t>Table 2. Contribution to the Trust Fund for the Nagoya Protocol on Access and Benefit-sharing for the biennium 2019-2020</w:t>
      </w:r>
      <w:r w:rsidRPr="00EE0850">
        <w:rPr>
          <w:rStyle w:val="FootnoteReference"/>
          <w:kern w:val="18"/>
          <w:sz w:val="22"/>
          <w:szCs w:val="22"/>
          <w:u w:val="none"/>
          <w:vertAlign w:val="superscript"/>
          <w:lang w:eastAsia="x-none"/>
        </w:rPr>
        <w:footnoteReference w:id="28"/>
      </w:r>
    </w:p>
    <w:p w14:paraId="05C887A4" w14:textId="77777777" w:rsidR="00DE347C" w:rsidRPr="00EE0850" w:rsidRDefault="00DE347C" w:rsidP="000C6220">
      <w:pPr>
        <w:spacing w:after="0" w:line="240" w:lineRule="auto"/>
        <w:rPr>
          <w:kern w:val="22"/>
        </w:rPr>
      </w:pPr>
    </w:p>
    <w:tbl>
      <w:tblPr>
        <w:tblW w:w="0" w:type="auto"/>
        <w:jc w:val="center"/>
        <w:tblLayout w:type="fixed"/>
        <w:tblLook w:val="04A0" w:firstRow="1" w:lastRow="0" w:firstColumn="1" w:lastColumn="0" w:noHBand="0" w:noVBand="1"/>
      </w:tblPr>
      <w:tblGrid>
        <w:gridCol w:w="5617"/>
        <w:gridCol w:w="1597"/>
        <w:gridCol w:w="1597"/>
        <w:gridCol w:w="1597"/>
        <w:gridCol w:w="1597"/>
        <w:gridCol w:w="1598"/>
      </w:tblGrid>
      <w:tr w:rsidR="00DE347C" w:rsidRPr="00EE0850" w14:paraId="3DF91115" w14:textId="77777777" w:rsidTr="00DE347C">
        <w:trPr>
          <w:cantSplit/>
          <w:tblHeader/>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4D8E" w14:textId="77777777" w:rsidR="00DE347C" w:rsidRPr="00EE0850" w:rsidRDefault="00DE347C" w:rsidP="000C6220">
            <w:pPr>
              <w:spacing w:after="0" w:line="240" w:lineRule="auto"/>
              <w:jc w:val="center"/>
              <w:rPr>
                <w:b/>
                <w:bCs/>
                <w:szCs w:val="22"/>
                <w:lang w:eastAsia="en-CA"/>
              </w:rPr>
            </w:pPr>
            <w:r w:rsidRPr="00EE0850">
              <w:rPr>
                <w:b/>
                <w:bCs/>
                <w:szCs w:val="22"/>
                <w:lang w:eastAsia="en-CA"/>
              </w:rPr>
              <w:t>Party</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4E943C84" w14:textId="77777777" w:rsidR="00DE347C" w:rsidRPr="00EE0850" w:rsidRDefault="00DE347C" w:rsidP="000C6220">
            <w:pPr>
              <w:spacing w:after="0" w:line="240" w:lineRule="auto"/>
              <w:jc w:val="center"/>
              <w:rPr>
                <w:b/>
                <w:bCs/>
                <w:szCs w:val="22"/>
                <w:lang w:eastAsia="en-CA"/>
              </w:rPr>
            </w:pPr>
            <w:r w:rsidRPr="00EE0850">
              <w:rPr>
                <w:b/>
                <w:bCs/>
                <w:szCs w:val="22"/>
                <w:lang w:eastAsia="en-CA"/>
              </w:rPr>
              <w:t>Scale of assessments 2016-2018</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7E27E94" w14:textId="77777777" w:rsidR="00DE347C" w:rsidRPr="00EE0850" w:rsidRDefault="00DE347C" w:rsidP="000C6220">
            <w:pPr>
              <w:spacing w:after="0" w:line="240" w:lineRule="auto"/>
              <w:jc w:val="center"/>
              <w:rPr>
                <w:b/>
                <w:bCs/>
                <w:szCs w:val="22"/>
                <w:lang w:eastAsia="en-CA"/>
              </w:rPr>
            </w:pPr>
            <w:r w:rsidRPr="00EE0850">
              <w:rPr>
                <w:b/>
                <w:bCs/>
                <w:szCs w:val="22"/>
                <w:lang w:eastAsia="en-CA"/>
              </w:rPr>
              <w:t>Scale with 22% ceiling, no least developed country paying more than 0.01%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371EB973" w14:textId="77777777" w:rsidR="00DE347C" w:rsidRPr="00EE0850" w:rsidRDefault="00DE347C" w:rsidP="000C6220">
            <w:pPr>
              <w:spacing w:after="0" w:line="240" w:lineRule="auto"/>
              <w:jc w:val="center"/>
              <w:rPr>
                <w:b/>
                <w:bCs/>
                <w:szCs w:val="22"/>
                <w:lang w:eastAsia="en-CA"/>
              </w:rPr>
            </w:pPr>
            <w:r w:rsidRPr="00EE0850">
              <w:rPr>
                <w:b/>
                <w:bCs/>
                <w:szCs w:val="22"/>
                <w:lang w:eastAsia="en-CA"/>
              </w:rPr>
              <w:t>Contribution due as of 1 January 2019</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30BD47C5" w14:textId="77777777" w:rsidR="00DE347C" w:rsidRPr="00EE0850" w:rsidRDefault="00DE347C" w:rsidP="000C6220">
            <w:pPr>
              <w:spacing w:after="0" w:line="240" w:lineRule="auto"/>
              <w:jc w:val="center"/>
              <w:rPr>
                <w:b/>
                <w:bCs/>
                <w:szCs w:val="22"/>
                <w:lang w:eastAsia="en-CA"/>
              </w:rPr>
            </w:pPr>
            <w:r w:rsidRPr="00EE0850">
              <w:rPr>
                <w:b/>
                <w:bCs/>
                <w:szCs w:val="22"/>
                <w:lang w:eastAsia="en-CA"/>
              </w:rPr>
              <w:t>Contribution due as of 1 January 2020</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687725FC" w14:textId="77777777" w:rsidR="00DE347C" w:rsidRPr="00EE0850" w:rsidRDefault="00DE347C" w:rsidP="000C6220">
            <w:pPr>
              <w:spacing w:after="0" w:line="240" w:lineRule="auto"/>
              <w:jc w:val="center"/>
              <w:rPr>
                <w:b/>
                <w:bCs/>
                <w:szCs w:val="22"/>
                <w:lang w:eastAsia="en-CA"/>
              </w:rPr>
            </w:pPr>
            <w:r w:rsidRPr="00EE0850">
              <w:rPr>
                <w:b/>
                <w:bCs/>
                <w:szCs w:val="22"/>
                <w:lang w:eastAsia="en-CA"/>
              </w:rPr>
              <w:t>Total 2019-2020</w:t>
            </w:r>
          </w:p>
        </w:tc>
      </w:tr>
      <w:tr w:rsidR="00DE347C" w:rsidRPr="00EE0850" w14:paraId="658339C2"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71138FC" w14:textId="77777777" w:rsidR="00DE347C" w:rsidRPr="00EE0850" w:rsidRDefault="00DE347C" w:rsidP="000C6220">
            <w:pPr>
              <w:spacing w:after="0" w:line="240" w:lineRule="auto"/>
              <w:rPr>
                <w:szCs w:val="22"/>
                <w:lang w:eastAsia="en-CA"/>
              </w:rPr>
            </w:pPr>
            <w:r w:rsidRPr="00EE0850">
              <w:rPr>
                <w:szCs w:val="22"/>
                <w:lang w:eastAsia="en-CA"/>
              </w:rPr>
              <w:t>Afghanistan</w:t>
            </w:r>
          </w:p>
        </w:tc>
        <w:tc>
          <w:tcPr>
            <w:tcW w:w="1597" w:type="dxa"/>
            <w:tcBorders>
              <w:top w:val="nil"/>
              <w:left w:val="nil"/>
              <w:bottom w:val="single" w:sz="4" w:space="0" w:color="auto"/>
              <w:right w:val="single" w:sz="4" w:space="0" w:color="auto"/>
            </w:tcBorders>
            <w:shd w:val="clear" w:color="auto" w:fill="auto"/>
            <w:noWrap/>
            <w:vAlign w:val="center"/>
            <w:hideMark/>
          </w:tcPr>
          <w:p w14:paraId="0AC3D3AC" w14:textId="77777777" w:rsidR="00DE347C" w:rsidRPr="00EE0850" w:rsidRDefault="00DE347C" w:rsidP="000C6220">
            <w:pPr>
              <w:spacing w:after="0" w:line="240" w:lineRule="auto"/>
              <w:jc w:val="right"/>
              <w:rPr>
                <w:szCs w:val="22"/>
                <w:lang w:eastAsia="en-CA"/>
              </w:rPr>
            </w:pPr>
            <w:r w:rsidRPr="00EE0850">
              <w:rPr>
                <w:szCs w:val="22"/>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159C22D6" w14:textId="77777777" w:rsidR="00DE347C" w:rsidRPr="00EE0850" w:rsidRDefault="00DE347C" w:rsidP="000C6220">
            <w:pPr>
              <w:spacing w:after="0" w:line="240" w:lineRule="auto"/>
              <w:jc w:val="right"/>
              <w:rPr>
                <w:szCs w:val="22"/>
                <w:lang w:eastAsia="en-CA"/>
              </w:rPr>
            </w:pPr>
            <w:r w:rsidRPr="00EE0850">
              <w:rPr>
                <w:szCs w:val="22"/>
                <w:lang w:eastAsia="en-CA"/>
              </w:rPr>
              <w:t>0.011</w:t>
            </w:r>
          </w:p>
        </w:tc>
        <w:tc>
          <w:tcPr>
            <w:tcW w:w="1597" w:type="dxa"/>
            <w:tcBorders>
              <w:top w:val="nil"/>
              <w:left w:val="nil"/>
              <w:bottom w:val="single" w:sz="4" w:space="0" w:color="auto"/>
              <w:right w:val="single" w:sz="4" w:space="0" w:color="auto"/>
            </w:tcBorders>
            <w:shd w:val="clear" w:color="auto" w:fill="auto"/>
            <w:noWrap/>
            <w:vAlign w:val="center"/>
            <w:hideMark/>
          </w:tcPr>
          <w:p w14:paraId="21F12BC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195</w:t>
            </w:r>
          </w:p>
        </w:tc>
        <w:tc>
          <w:tcPr>
            <w:tcW w:w="1597" w:type="dxa"/>
            <w:tcBorders>
              <w:top w:val="nil"/>
              <w:left w:val="nil"/>
              <w:bottom w:val="single" w:sz="4" w:space="0" w:color="auto"/>
              <w:right w:val="single" w:sz="4" w:space="0" w:color="auto"/>
            </w:tcBorders>
            <w:shd w:val="clear" w:color="auto" w:fill="auto"/>
            <w:noWrap/>
            <w:vAlign w:val="center"/>
            <w:hideMark/>
          </w:tcPr>
          <w:p w14:paraId="3C2A634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207</w:t>
            </w:r>
          </w:p>
        </w:tc>
        <w:tc>
          <w:tcPr>
            <w:tcW w:w="1598" w:type="dxa"/>
            <w:tcBorders>
              <w:top w:val="nil"/>
              <w:left w:val="nil"/>
              <w:bottom w:val="single" w:sz="4" w:space="0" w:color="auto"/>
              <w:right w:val="single" w:sz="4" w:space="0" w:color="auto"/>
            </w:tcBorders>
            <w:shd w:val="clear" w:color="auto" w:fill="auto"/>
            <w:noWrap/>
            <w:vAlign w:val="center"/>
            <w:hideMark/>
          </w:tcPr>
          <w:p w14:paraId="412FE579" w14:textId="77777777" w:rsidR="00DE347C" w:rsidRPr="00EE0850" w:rsidRDefault="00DE347C" w:rsidP="000C6220">
            <w:pPr>
              <w:spacing w:after="0" w:line="240" w:lineRule="auto"/>
              <w:jc w:val="right"/>
              <w:rPr>
                <w:szCs w:val="22"/>
                <w:lang w:eastAsia="en-CA"/>
              </w:rPr>
            </w:pPr>
            <w:r w:rsidRPr="00EE0850">
              <w:rPr>
                <w:szCs w:val="22"/>
                <w:lang w:eastAsia="en-CA"/>
              </w:rPr>
              <w:t>402</w:t>
            </w:r>
          </w:p>
        </w:tc>
      </w:tr>
      <w:tr w:rsidR="00DE347C" w:rsidRPr="00EE0850" w14:paraId="015F5894"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64BA968" w14:textId="77777777" w:rsidR="00DE347C" w:rsidRPr="00EE0850" w:rsidRDefault="00DE347C" w:rsidP="000C6220">
            <w:pPr>
              <w:spacing w:after="0" w:line="240" w:lineRule="auto"/>
              <w:rPr>
                <w:szCs w:val="22"/>
                <w:lang w:eastAsia="en-CA"/>
              </w:rPr>
            </w:pPr>
            <w:r w:rsidRPr="00EE0850">
              <w:rPr>
                <w:szCs w:val="22"/>
                <w:lang w:eastAsia="en-CA"/>
              </w:rPr>
              <w:t>Albania</w:t>
            </w:r>
          </w:p>
        </w:tc>
        <w:tc>
          <w:tcPr>
            <w:tcW w:w="1597" w:type="dxa"/>
            <w:tcBorders>
              <w:top w:val="nil"/>
              <w:left w:val="nil"/>
              <w:bottom w:val="single" w:sz="4" w:space="0" w:color="auto"/>
              <w:right w:val="single" w:sz="4" w:space="0" w:color="auto"/>
            </w:tcBorders>
            <w:shd w:val="clear" w:color="auto" w:fill="auto"/>
            <w:noWrap/>
            <w:vAlign w:val="center"/>
            <w:hideMark/>
          </w:tcPr>
          <w:p w14:paraId="4FAEE421" w14:textId="77777777" w:rsidR="00DE347C" w:rsidRPr="00EE0850" w:rsidRDefault="00DE347C" w:rsidP="000C6220">
            <w:pPr>
              <w:spacing w:after="0" w:line="240" w:lineRule="auto"/>
              <w:jc w:val="right"/>
              <w:rPr>
                <w:szCs w:val="22"/>
                <w:lang w:eastAsia="en-CA"/>
              </w:rPr>
            </w:pPr>
            <w:r w:rsidRPr="00EE0850">
              <w:rPr>
                <w:szCs w:val="22"/>
                <w:lang w:eastAsia="en-CA"/>
              </w:rPr>
              <w:t>0.008</w:t>
            </w:r>
          </w:p>
        </w:tc>
        <w:tc>
          <w:tcPr>
            <w:tcW w:w="1597" w:type="dxa"/>
            <w:tcBorders>
              <w:top w:val="nil"/>
              <w:left w:val="nil"/>
              <w:bottom w:val="single" w:sz="4" w:space="0" w:color="auto"/>
              <w:right w:val="single" w:sz="4" w:space="0" w:color="auto"/>
            </w:tcBorders>
            <w:shd w:val="clear" w:color="auto" w:fill="auto"/>
            <w:noWrap/>
            <w:vAlign w:val="center"/>
            <w:hideMark/>
          </w:tcPr>
          <w:p w14:paraId="0372AED1" w14:textId="77777777" w:rsidR="00DE347C" w:rsidRPr="00EE0850" w:rsidRDefault="00DE347C" w:rsidP="000C6220">
            <w:pPr>
              <w:spacing w:after="0" w:line="240" w:lineRule="auto"/>
              <w:jc w:val="right"/>
              <w:rPr>
                <w:szCs w:val="22"/>
                <w:lang w:eastAsia="en-CA"/>
              </w:rPr>
            </w:pPr>
            <w:r w:rsidRPr="00EE0850">
              <w:rPr>
                <w:szCs w:val="22"/>
                <w:lang w:eastAsia="en-CA"/>
              </w:rPr>
              <w:t>0.015</w:t>
            </w:r>
          </w:p>
        </w:tc>
        <w:tc>
          <w:tcPr>
            <w:tcW w:w="1597" w:type="dxa"/>
            <w:tcBorders>
              <w:top w:val="nil"/>
              <w:left w:val="nil"/>
              <w:bottom w:val="single" w:sz="4" w:space="0" w:color="auto"/>
              <w:right w:val="single" w:sz="4" w:space="0" w:color="auto"/>
            </w:tcBorders>
            <w:shd w:val="clear" w:color="auto" w:fill="auto"/>
            <w:noWrap/>
            <w:vAlign w:val="center"/>
            <w:hideMark/>
          </w:tcPr>
          <w:p w14:paraId="61A93FD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260</w:t>
            </w:r>
          </w:p>
        </w:tc>
        <w:tc>
          <w:tcPr>
            <w:tcW w:w="1597" w:type="dxa"/>
            <w:tcBorders>
              <w:top w:val="nil"/>
              <w:left w:val="nil"/>
              <w:bottom w:val="single" w:sz="4" w:space="0" w:color="auto"/>
              <w:right w:val="single" w:sz="4" w:space="0" w:color="auto"/>
            </w:tcBorders>
            <w:shd w:val="clear" w:color="auto" w:fill="auto"/>
            <w:noWrap/>
            <w:vAlign w:val="center"/>
            <w:hideMark/>
          </w:tcPr>
          <w:p w14:paraId="3502487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276</w:t>
            </w:r>
          </w:p>
        </w:tc>
        <w:tc>
          <w:tcPr>
            <w:tcW w:w="1598" w:type="dxa"/>
            <w:tcBorders>
              <w:top w:val="nil"/>
              <w:left w:val="nil"/>
              <w:bottom w:val="single" w:sz="4" w:space="0" w:color="auto"/>
              <w:right w:val="single" w:sz="4" w:space="0" w:color="auto"/>
            </w:tcBorders>
            <w:shd w:val="clear" w:color="auto" w:fill="auto"/>
            <w:noWrap/>
            <w:vAlign w:val="center"/>
            <w:hideMark/>
          </w:tcPr>
          <w:p w14:paraId="33A2A34C" w14:textId="77777777" w:rsidR="00DE347C" w:rsidRPr="00EE0850" w:rsidRDefault="00DE347C" w:rsidP="000C6220">
            <w:pPr>
              <w:spacing w:after="0" w:line="240" w:lineRule="auto"/>
              <w:jc w:val="right"/>
              <w:rPr>
                <w:szCs w:val="22"/>
                <w:lang w:eastAsia="en-CA"/>
              </w:rPr>
            </w:pPr>
            <w:r w:rsidRPr="00EE0850">
              <w:rPr>
                <w:szCs w:val="22"/>
                <w:lang w:eastAsia="en-CA"/>
              </w:rPr>
              <w:t>536</w:t>
            </w:r>
          </w:p>
        </w:tc>
      </w:tr>
      <w:tr w:rsidR="00DE347C" w:rsidRPr="00EE0850" w14:paraId="738DA7E6"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1D5E18F" w14:textId="77777777" w:rsidR="00DE347C" w:rsidRPr="00EE0850" w:rsidRDefault="00DE347C" w:rsidP="000C6220">
            <w:pPr>
              <w:spacing w:after="0" w:line="240" w:lineRule="auto"/>
              <w:rPr>
                <w:szCs w:val="22"/>
                <w:lang w:eastAsia="en-CA"/>
              </w:rPr>
            </w:pPr>
            <w:r w:rsidRPr="00EE0850">
              <w:rPr>
                <w:szCs w:val="22"/>
                <w:lang w:eastAsia="en-CA"/>
              </w:rPr>
              <w:t>Angola</w:t>
            </w:r>
          </w:p>
        </w:tc>
        <w:tc>
          <w:tcPr>
            <w:tcW w:w="1597" w:type="dxa"/>
            <w:tcBorders>
              <w:top w:val="nil"/>
              <w:left w:val="nil"/>
              <w:bottom w:val="single" w:sz="4" w:space="0" w:color="auto"/>
              <w:right w:val="single" w:sz="4" w:space="0" w:color="auto"/>
            </w:tcBorders>
            <w:shd w:val="clear" w:color="auto" w:fill="auto"/>
            <w:noWrap/>
            <w:vAlign w:val="center"/>
            <w:hideMark/>
          </w:tcPr>
          <w:p w14:paraId="453B02D7"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03E8D9E3"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16FB7C8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48E5478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1EF68D0B" w14:textId="77777777" w:rsidR="00DE347C" w:rsidRPr="00EE0850" w:rsidRDefault="00DE347C" w:rsidP="000C6220">
            <w:pPr>
              <w:spacing w:after="0" w:line="240" w:lineRule="auto"/>
              <w:jc w:val="right"/>
              <w:rPr>
                <w:szCs w:val="22"/>
                <w:lang w:eastAsia="en-CA"/>
              </w:rPr>
            </w:pPr>
            <w:r w:rsidRPr="00EE0850">
              <w:rPr>
                <w:szCs w:val="22"/>
                <w:lang w:eastAsia="en-CA"/>
              </w:rPr>
              <w:t>363</w:t>
            </w:r>
          </w:p>
        </w:tc>
      </w:tr>
      <w:tr w:rsidR="00DE347C" w:rsidRPr="00EE0850" w14:paraId="045C58D3"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C6F18A5" w14:textId="77777777" w:rsidR="00DE347C" w:rsidRPr="00EE0850" w:rsidRDefault="00DE347C" w:rsidP="000C6220">
            <w:pPr>
              <w:spacing w:after="0" w:line="240" w:lineRule="auto"/>
              <w:rPr>
                <w:szCs w:val="22"/>
                <w:lang w:eastAsia="en-CA"/>
              </w:rPr>
            </w:pPr>
            <w:r w:rsidRPr="00EE0850">
              <w:rPr>
                <w:szCs w:val="22"/>
                <w:lang w:eastAsia="en-CA"/>
              </w:rPr>
              <w:t>Antigua and Barbuda</w:t>
            </w:r>
          </w:p>
        </w:tc>
        <w:tc>
          <w:tcPr>
            <w:tcW w:w="1597" w:type="dxa"/>
            <w:tcBorders>
              <w:top w:val="nil"/>
              <w:left w:val="nil"/>
              <w:bottom w:val="single" w:sz="4" w:space="0" w:color="auto"/>
              <w:right w:val="single" w:sz="4" w:space="0" w:color="auto"/>
            </w:tcBorders>
            <w:shd w:val="clear" w:color="auto" w:fill="auto"/>
            <w:noWrap/>
            <w:vAlign w:val="center"/>
            <w:hideMark/>
          </w:tcPr>
          <w:p w14:paraId="6D112F9B"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475C39F4"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38282E2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787FEA0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5E412604" w14:textId="77777777" w:rsidR="00DE347C" w:rsidRPr="00EE0850" w:rsidRDefault="00DE347C" w:rsidP="000C6220">
            <w:pPr>
              <w:spacing w:after="0" w:line="240" w:lineRule="auto"/>
              <w:jc w:val="right"/>
              <w:rPr>
                <w:szCs w:val="22"/>
                <w:lang w:eastAsia="en-CA"/>
              </w:rPr>
            </w:pPr>
            <w:r w:rsidRPr="00EE0850">
              <w:rPr>
                <w:szCs w:val="22"/>
                <w:lang w:eastAsia="en-CA"/>
              </w:rPr>
              <w:t>134</w:t>
            </w:r>
          </w:p>
        </w:tc>
      </w:tr>
      <w:tr w:rsidR="00DE347C" w:rsidRPr="00EE0850" w14:paraId="6761C769"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5C8434F" w14:textId="77777777" w:rsidR="00DE347C" w:rsidRPr="00EE0850" w:rsidRDefault="00DE347C" w:rsidP="000C6220">
            <w:pPr>
              <w:spacing w:after="0" w:line="240" w:lineRule="auto"/>
              <w:rPr>
                <w:szCs w:val="22"/>
                <w:lang w:eastAsia="en-CA"/>
              </w:rPr>
            </w:pPr>
            <w:r w:rsidRPr="00EE0850">
              <w:rPr>
                <w:szCs w:val="22"/>
                <w:lang w:eastAsia="en-CA"/>
              </w:rPr>
              <w:t>Argentina</w:t>
            </w:r>
          </w:p>
        </w:tc>
        <w:tc>
          <w:tcPr>
            <w:tcW w:w="1597" w:type="dxa"/>
            <w:tcBorders>
              <w:top w:val="nil"/>
              <w:left w:val="nil"/>
              <w:bottom w:val="single" w:sz="4" w:space="0" w:color="auto"/>
              <w:right w:val="single" w:sz="4" w:space="0" w:color="auto"/>
            </w:tcBorders>
            <w:shd w:val="clear" w:color="auto" w:fill="auto"/>
            <w:noWrap/>
            <w:vAlign w:val="center"/>
            <w:hideMark/>
          </w:tcPr>
          <w:p w14:paraId="4ECB116E" w14:textId="77777777" w:rsidR="00DE347C" w:rsidRPr="00EE0850" w:rsidRDefault="00DE347C" w:rsidP="000C6220">
            <w:pPr>
              <w:spacing w:after="0" w:line="240" w:lineRule="auto"/>
              <w:jc w:val="right"/>
              <w:rPr>
                <w:szCs w:val="22"/>
                <w:lang w:eastAsia="en-CA"/>
              </w:rPr>
            </w:pPr>
            <w:r w:rsidRPr="00EE0850">
              <w:rPr>
                <w:szCs w:val="22"/>
                <w:lang w:eastAsia="en-CA"/>
              </w:rPr>
              <w:t>0.892</w:t>
            </w:r>
          </w:p>
        </w:tc>
        <w:tc>
          <w:tcPr>
            <w:tcW w:w="1597" w:type="dxa"/>
            <w:tcBorders>
              <w:top w:val="nil"/>
              <w:left w:val="nil"/>
              <w:bottom w:val="single" w:sz="4" w:space="0" w:color="auto"/>
              <w:right w:val="single" w:sz="4" w:space="0" w:color="auto"/>
            </w:tcBorders>
            <w:shd w:val="clear" w:color="auto" w:fill="auto"/>
            <w:noWrap/>
            <w:vAlign w:val="center"/>
            <w:hideMark/>
          </w:tcPr>
          <w:p w14:paraId="5F6879BB" w14:textId="77777777" w:rsidR="00DE347C" w:rsidRPr="00EE0850" w:rsidRDefault="00DE347C" w:rsidP="000C6220">
            <w:pPr>
              <w:spacing w:after="0" w:line="240" w:lineRule="auto"/>
              <w:jc w:val="right"/>
              <w:rPr>
                <w:szCs w:val="22"/>
                <w:lang w:eastAsia="en-CA"/>
              </w:rPr>
            </w:pPr>
            <w:r w:rsidRPr="00EE0850">
              <w:rPr>
                <w:szCs w:val="22"/>
                <w:lang w:eastAsia="en-CA"/>
              </w:rPr>
              <w:t>1.648</w:t>
            </w:r>
          </w:p>
        </w:tc>
        <w:tc>
          <w:tcPr>
            <w:tcW w:w="1597" w:type="dxa"/>
            <w:tcBorders>
              <w:top w:val="nil"/>
              <w:left w:val="nil"/>
              <w:bottom w:val="single" w:sz="4" w:space="0" w:color="auto"/>
              <w:right w:val="single" w:sz="4" w:space="0" w:color="auto"/>
            </w:tcBorders>
            <w:shd w:val="clear" w:color="auto" w:fill="auto"/>
            <w:noWrap/>
            <w:vAlign w:val="center"/>
            <w:hideMark/>
          </w:tcPr>
          <w:p w14:paraId="4612F3C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29 023</w:t>
            </w:r>
          </w:p>
        </w:tc>
        <w:tc>
          <w:tcPr>
            <w:tcW w:w="1597" w:type="dxa"/>
            <w:tcBorders>
              <w:top w:val="nil"/>
              <w:left w:val="nil"/>
              <w:bottom w:val="single" w:sz="4" w:space="0" w:color="auto"/>
              <w:right w:val="single" w:sz="4" w:space="0" w:color="auto"/>
            </w:tcBorders>
            <w:shd w:val="clear" w:color="auto" w:fill="auto"/>
            <w:noWrap/>
            <w:vAlign w:val="center"/>
            <w:hideMark/>
          </w:tcPr>
          <w:p w14:paraId="601F8C0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30 776</w:t>
            </w:r>
          </w:p>
        </w:tc>
        <w:tc>
          <w:tcPr>
            <w:tcW w:w="1598" w:type="dxa"/>
            <w:tcBorders>
              <w:top w:val="nil"/>
              <w:left w:val="nil"/>
              <w:bottom w:val="single" w:sz="4" w:space="0" w:color="auto"/>
              <w:right w:val="single" w:sz="4" w:space="0" w:color="auto"/>
            </w:tcBorders>
            <w:shd w:val="clear" w:color="auto" w:fill="auto"/>
            <w:noWrap/>
            <w:vAlign w:val="center"/>
            <w:hideMark/>
          </w:tcPr>
          <w:p w14:paraId="354D0912" w14:textId="77777777" w:rsidR="00DE347C" w:rsidRPr="00EE0850" w:rsidRDefault="00DE347C" w:rsidP="000C6220">
            <w:pPr>
              <w:spacing w:after="0" w:line="240" w:lineRule="auto"/>
              <w:jc w:val="right"/>
              <w:rPr>
                <w:szCs w:val="22"/>
                <w:lang w:eastAsia="en-CA"/>
              </w:rPr>
            </w:pPr>
            <w:r w:rsidRPr="00EE0850">
              <w:rPr>
                <w:szCs w:val="22"/>
                <w:lang w:eastAsia="en-CA"/>
              </w:rPr>
              <w:t>59 800</w:t>
            </w:r>
          </w:p>
        </w:tc>
      </w:tr>
      <w:tr w:rsidR="00DE347C" w:rsidRPr="00EE0850" w14:paraId="3EEE7297"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D2BF91D" w14:textId="77777777" w:rsidR="00DE347C" w:rsidRPr="00EE0850" w:rsidRDefault="00DE347C" w:rsidP="000C6220">
            <w:pPr>
              <w:spacing w:after="0" w:line="240" w:lineRule="auto"/>
              <w:rPr>
                <w:szCs w:val="22"/>
                <w:lang w:eastAsia="en-CA"/>
              </w:rPr>
            </w:pPr>
            <w:r w:rsidRPr="00EE0850">
              <w:rPr>
                <w:szCs w:val="22"/>
                <w:lang w:eastAsia="en-CA"/>
              </w:rPr>
              <w:t>Austria</w:t>
            </w:r>
          </w:p>
        </w:tc>
        <w:tc>
          <w:tcPr>
            <w:tcW w:w="1597" w:type="dxa"/>
            <w:tcBorders>
              <w:top w:val="nil"/>
              <w:left w:val="nil"/>
              <w:bottom w:val="single" w:sz="4" w:space="0" w:color="auto"/>
              <w:right w:val="single" w:sz="4" w:space="0" w:color="auto"/>
            </w:tcBorders>
            <w:shd w:val="clear" w:color="auto" w:fill="auto"/>
            <w:noWrap/>
            <w:vAlign w:val="center"/>
            <w:hideMark/>
          </w:tcPr>
          <w:p w14:paraId="0B008B94" w14:textId="77777777" w:rsidR="00DE347C" w:rsidRPr="00EE0850" w:rsidRDefault="00DE347C" w:rsidP="000C6220">
            <w:pPr>
              <w:spacing w:after="0" w:line="240" w:lineRule="auto"/>
              <w:jc w:val="right"/>
              <w:rPr>
                <w:szCs w:val="22"/>
                <w:lang w:eastAsia="en-CA"/>
              </w:rPr>
            </w:pPr>
            <w:r w:rsidRPr="00EE0850">
              <w:rPr>
                <w:szCs w:val="22"/>
                <w:lang w:eastAsia="en-CA"/>
              </w:rPr>
              <w:t>0.720</w:t>
            </w:r>
          </w:p>
        </w:tc>
        <w:tc>
          <w:tcPr>
            <w:tcW w:w="1597" w:type="dxa"/>
            <w:tcBorders>
              <w:top w:val="nil"/>
              <w:left w:val="nil"/>
              <w:bottom w:val="single" w:sz="4" w:space="0" w:color="auto"/>
              <w:right w:val="single" w:sz="4" w:space="0" w:color="auto"/>
            </w:tcBorders>
            <w:shd w:val="clear" w:color="auto" w:fill="auto"/>
            <w:noWrap/>
            <w:vAlign w:val="center"/>
            <w:hideMark/>
          </w:tcPr>
          <w:p w14:paraId="2EF76F87" w14:textId="77777777" w:rsidR="00DE347C" w:rsidRPr="00EE0850" w:rsidRDefault="00DE347C" w:rsidP="000C6220">
            <w:pPr>
              <w:spacing w:after="0" w:line="240" w:lineRule="auto"/>
              <w:jc w:val="right"/>
              <w:rPr>
                <w:szCs w:val="22"/>
                <w:lang w:eastAsia="en-CA"/>
              </w:rPr>
            </w:pPr>
            <w:r w:rsidRPr="00EE0850">
              <w:rPr>
                <w:szCs w:val="22"/>
                <w:lang w:eastAsia="en-CA"/>
              </w:rPr>
              <w:t>1.330</w:t>
            </w:r>
          </w:p>
        </w:tc>
        <w:tc>
          <w:tcPr>
            <w:tcW w:w="1597" w:type="dxa"/>
            <w:tcBorders>
              <w:top w:val="nil"/>
              <w:left w:val="nil"/>
              <w:bottom w:val="single" w:sz="4" w:space="0" w:color="auto"/>
              <w:right w:val="single" w:sz="4" w:space="0" w:color="auto"/>
            </w:tcBorders>
            <w:shd w:val="clear" w:color="auto" w:fill="auto"/>
            <w:noWrap/>
            <w:vAlign w:val="center"/>
            <w:hideMark/>
          </w:tcPr>
          <w:p w14:paraId="657E61D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23 427</w:t>
            </w:r>
          </w:p>
        </w:tc>
        <w:tc>
          <w:tcPr>
            <w:tcW w:w="1597" w:type="dxa"/>
            <w:tcBorders>
              <w:top w:val="nil"/>
              <w:left w:val="nil"/>
              <w:bottom w:val="single" w:sz="4" w:space="0" w:color="auto"/>
              <w:right w:val="single" w:sz="4" w:space="0" w:color="auto"/>
            </w:tcBorders>
            <w:shd w:val="clear" w:color="auto" w:fill="auto"/>
            <w:noWrap/>
            <w:vAlign w:val="center"/>
            <w:hideMark/>
          </w:tcPr>
          <w:p w14:paraId="3C7B454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24 842</w:t>
            </w:r>
          </w:p>
        </w:tc>
        <w:tc>
          <w:tcPr>
            <w:tcW w:w="1598" w:type="dxa"/>
            <w:tcBorders>
              <w:top w:val="nil"/>
              <w:left w:val="nil"/>
              <w:bottom w:val="single" w:sz="4" w:space="0" w:color="auto"/>
              <w:right w:val="single" w:sz="4" w:space="0" w:color="auto"/>
            </w:tcBorders>
            <w:shd w:val="clear" w:color="auto" w:fill="auto"/>
            <w:noWrap/>
            <w:vAlign w:val="center"/>
            <w:hideMark/>
          </w:tcPr>
          <w:p w14:paraId="601C762C" w14:textId="77777777" w:rsidR="00DE347C" w:rsidRPr="00EE0850" w:rsidRDefault="00DE347C" w:rsidP="000C6220">
            <w:pPr>
              <w:spacing w:after="0" w:line="240" w:lineRule="auto"/>
              <w:jc w:val="right"/>
              <w:rPr>
                <w:szCs w:val="22"/>
                <w:lang w:eastAsia="en-CA"/>
              </w:rPr>
            </w:pPr>
            <w:r w:rsidRPr="00EE0850">
              <w:rPr>
                <w:szCs w:val="22"/>
                <w:lang w:eastAsia="en-CA"/>
              </w:rPr>
              <w:t>48 269</w:t>
            </w:r>
          </w:p>
        </w:tc>
      </w:tr>
      <w:tr w:rsidR="00DE347C" w:rsidRPr="00EE0850" w14:paraId="4F084309"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CAEE751" w14:textId="77777777" w:rsidR="00DE347C" w:rsidRPr="00EE0850" w:rsidRDefault="00DE347C" w:rsidP="000C6220">
            <w:pPr>
              <w:spacing w:after="0" w:line="240" w:lineRule="auto"/>
              <w:rPr>
                <w:szCs w:val="22"/>
                <w:lang w:eastAsia="en-CA"/>
              </w:rPr>
            </w:pPr>
            <w:r w:rsidRPr="00EE0850">
              <w:rPr>
                <w:szCs w:val="22"/>
                <w:lang w:eastAsia="en-CA"/>
              </w:rPr>
              <w:t>Belarus</w:t>
            </w:r>
          </w:p>
        </w:tc>
        <w:tc>
          <w:tcPr>
            <w:tcW w:w="1597" w:type="dxa"/>
            <w:tcBorders>
              <w:top w:val="nil"/>
              <w:left w:val="nil"/>
              <w:bottom w:val="single" w:sz="4" w:space="0" w:color="auto"/>
              <w:right w:val="single" w:sz="4" w:space="0" w:color="auto"/>
            </w:tcBorders>
            <w:shd w:val="clear" w:color="auto" w:fill="auto"/>
            <w:noWrap/>
            <w:vAlign w:val="center"/>
            <w:hideMark/>
          </w:tcPr>
          <w:p w14:paraId="3CECEDCF" w14:textId="77777777" w:rsidR="00DE347C" w:rsidRPr="00EE0850" w:rsidRDefault="00DE347C" w:rsidP="000C6220">
            <w:pPr>
              <w:spacing w:after="0" w:line="240" w:lineRule="auto"/>
              <w:jc w:val="right"/>
              <w:rPr>
                <w:szCs w:val="22"/>
                <w:lang w:eastAsia="en-CA"/>
              </w:rPr>
            </w:pPr>
            <w:r w:rsidRPr="00EE0850">
              <w:rPr>
                <w:szCs w:val="22"/>
                <w:lang w:eastAsia="en-CA"/>
              </w:rPr>
              <w:t>0.056</w:t>
            </w:r>
          </w:p>
        </w:tc>
        <w:tc>
          <w:tcPr>
            <w:tcW w:w="1597" w:type="dxa"/>
            <w:tcBorders>
              <w:top w:val="nil"/>
              <w:left w:val="nil"/>
              <w:bottom w:val="single" w:sz="4" w:space="0" w:color="auto"/>
              <w:right w:val="single" w:sz="4" w:space="0" w:color="auto"/>
            </w:tcBorders>
            <w:shd w:val="clear" w:color="auto" w:fill="auto"/>
            <w:noWrap/>
            <w:vAlign w:val="center"/>
            <w:hideMark/>
          </w:tcPr>
          <w:p w14:paraId="686C00CD" w14:textId="77777777" w:rsidR="00DE347C" w:rsidRPr="00EE0850" w:rsidRDefault="00DE347C" w:rsidP="000C6220">
            <w:pPr>
              <w:spacing w:after="0" w:line="240" w:lineRule="auto"/>
              <w:jc w:val="right"/>
              <w:rPr>
                <w:szCs w:val="22"/>
                <w:lang w:eastAsia="en-CA"/>
              </w:rPr>
            </w:pPr>
            <w:r w:rsidRPr="00EE0850">
              <w:rPr>
                <w:szCs w:val="22"/>
                <w:lang w:eastAsia="en-CA"/>
              </w:rPr>
              <w:t>0.103</w:t>
            </w:r>
          </w:p>
        </w:tc>
        <w:tc>
          <w:tcPr>
            <w:tcW w:w="1597" w:type="dxa"/>
            <w:tcBorders>
              <w:top w:val="nil"/>
              <w:left w:val="nil"/>
              <w:bottom w:val="single" w:sz="4" w:space="0" w:color="auto"/>
              <w:right w:val="single" w:sz="4" w:space="0" w:color="auto"/>
            </w:tcBorders>
            <w:shd w:val="clear" w:color="auto" w:fill="auto"/>
            <w:noWrap/>
            <w:vAlign w:val="center"/>
            <w:hideMark/>
          </w:tcPr>
          <w:p w14:paraId="1267BA2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1 822</w:t>
            </w:r>
          </w:p>
        </w:tc>
        <w:tc>
          <w:tcPr>
            <w:tcW w:w="1597" w:type="dxa"/>
            <w:tcBorders>
              <w:top w:val="nil"/>
              <w:left w:val="nil"/>
              <w:bottom w:val="single" w:sz="4" w:space="0" w:color="auto"/>
              <w:right w:val="single" w:sz="4" w:space="0" w:color="auto"/>
            </w:tcBorders>
            <w:shd w:val="clear" w:color="auto" w:fill="auto"/>
            <w:noWrap/>
            <w:vAlign w:val="center"/>
            <w:hideMark/>
          </w:tcPr>
          <w:p w14:paraId="305E13E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1 932</w:t>
            </w:r>
          </w:p>
        </w:tc>
        <w:tc>
          <w:tcPr>
            <w:tcW w:w="1598" w:type="dxa"/>
            <w:tcBorders>
              <w:top w:val="nil"/>
              <w:left w:val="nil"/>
              <w:bottom w:val="single" w:sz="4" w:space="0" w:color="auto"/>
              <w:right w:val="single" w:sz="4" w:space="0" w:color="auto"/>
            </w:tcBorders>
            <w:shd w:val="clear" w:color="auto" w:fill="auto"/>
            <w:noWrap/>
            <w:vAlign w:val="center"/>
            <w:hideMark/>
          </w:tcPr>
          <w:p w14:paraId="242F8B85" w14:textId="77777777" w:rsidR="00DE347C" w:rsidRPr="00EE0850" w:rsidRDefault="00DE347C" w:rsidP="000C6220">
            <w:pPr>
              <w:spacing w:after="0" w:line="240" w:lineRule="auto"/>
              <w:jc w:val="right"/>
              <w:rPr>
                <w:szCs w:val="22"/>
                <w:lang w:eastAsia="en-CA"/>
              </w:rPr>
            </w:pPr>
            <w:r w:rsidRPr="00EE0850">
              <w:rPr>
                <w:szCs w:val="22"/>
                <w:lang w:eastAsia="en-CA"/>
              </w:rPr>
              <w:t>3 754</w:t>
            </w:r>
          </w:p>
        </w:tc>
      </w:tr>
      <w:tr w:rsidR="00DE347C" w:rsidRPr="00EE0850" w14:paraId="3F3534EB"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B008252" w14:textId="77777777" w:rsidR="00DE347C" w:rsidRPr="00EE0850" w:rsidRDefault="00DE347C" w:rsidP="000C6220">
            <w:pPr>
              <w:spacing w:after="0" w:line="240" w:lineRule="auto"/>
              <w:rPr>
                <w:szCs w:val="22"/>
                <w:lang w:eastAsia="en-CA"/>
              </w:rPr>
            </w:pPr>
            <w:r w:rsidRPr="00EE0850">
              <w:rPr>
                <w:szCs w:val="22"/>
                <w:lang w:eastAsia="en-CA"/>
              </w:rPr>
              <w:t>Belgium</w:t>
            </w:r>
          </w:p>
        </w:tc>
        <w:tc>
          <w:tcPr>
            <w:tcW w:w="1597" w:type="dxa"/>
            <w:tcBorders>
              <w:top w:val="nil"/>
              <w:left w:val="nil"/>
              <w:bottom w:val="single" w:sz="4" w:space="0" w:color="auto"/>
              <w:right w:val="single" w:sz="4" w:space="0" w:color="auto"/>
            </w:tcBorders>
            <w:shd w:val="clear" w:color="auto" w:fill="auto"/>
            <w:noWrap/>
            <w:vAlign w:val="center"/>
            <w:hideMark/>
          </w:tcPr>
          <w:p w14:paraId="2D94334C" w14:textId="77777777" w:rsidR="00DE347C" w:rsidRPr="00EE0850" w:rsidRDefault="00DE347C" w:rsidP="000C6220">
            <w:pPr>
              <w:spacing w:after="0" w:line="240" w:lineRule="auto"/>
              <w:jc w:val="right"/>
              <w:rPr>
                <w:szCs w:val="22"/>
                <w:lang w:eastAsia="en-CA"/>
              </w:rPr>
            </w:pPr>
            <w:r w:rsidRPr="00EE0850">
              <w:rPr>
                <w:szCs w:val="22"/>
                <w:lang w:eastAsia="en-CA"/>
              </w:rPr>
              <w:t>0.885</w:t>
            </w:r>
          </w:p>
        </w:tc>
        <w:tc>
          <w:tcPr>
            <w:tcW w:w="1597" w:type="dxa"/>
            <w:tcBorders>
              <w:top w:val="nil"/>
              <w:left w:val="nil"/>
              <w:bottom w:val="single" w:sz="4" w:space="0" w:color="auto"/>
              <w:right w:val="single" w:sz="4" w:space="0" w:color="auto"/>
            </w:tcBorders>
            <w:shd w:val="clear" w:color="auto" w:fill="auto"/>
            <w:noWrap/>
            <w:vAlign w:val="center"/>
            <w:hideMark/>
          </w:tcPr>
          <w:p w14:paraId="2980A43B" w14:textId="77777777" w:rsidR="00DE347C" w:rsidRPr="00EE0850" w:rsidRDefault="00DE347C" w:rsidP="000C6220">
            <w:pPr>
              <w:spacing w:after="0" w:line="240" w:lineRule="auto"/>
              <w:jc w:val="right"/>
              <w:rPr>
                <w:szCs w:val="22"/>
                <w:lang w:eastAsia="en-CA"/>
              </w:rPr>
            </w:pPr>
            <w:r w:rsidRPr="00EE0850">
              <w:rPr>
                <w:szCs w:val="22"/>
                <w:lang w:eastAsia="en-CA"/>
              </w:rPr>
              <w:t>1.635</w:t>
            </w:r>
          </w:p>
        </w:tc>
        <w:tc>
          <w:tcPr>
            <w:tcW w:w="1597" w:type="dxa"/>
            <w:tcBorders>
              <w:top w:val="nil"/>
              <w:left w:val="nil"/>
              <w:bottom w:val="single" w:sz="4" w:space="0" w:color="auto"/>
              <w:right w:val="single" w:sz="4" w:space="0" w:color="auto"/>
            </w:tcBorders>
            <w:shd w:val="clear" w:color="auto" w:fill="auto"/>
            <w:noWrap/>
            <w:vAlign w:val="center"/>
            <w:hideMark/>
          </w:tcPr>
          <w:p w14:paraId="4729390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28 796</w:t>
            </w:r>
          </w:p>
        </w:tc>
        <w:tc>
          <w:tcPr>
            <w:tcW w:w="1597" w:type="dxa"/>
            <w:tcBorders>
              <w:top w:val="nil"/>
              <w:left w:val="nil"/>
              <w:bottom w:val="single" w:sz="4" w:space="0" w:color="auto"/>
              <w:right w:val="single" w:sz="4" w:space="0" w:color="auto"/>
            </w:tcBorders>
            <w:shd w:val="clear" w:color="auto" w:fill="auto"/>
            <w:noWrap/>
            <w:vAlign w:val="center"/>
            <w:hideMark/>
          </w:tcPr>
          <w:p w14:paraId="137ED52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30 535</w:t>
            </w:r>
          </w:p>
        </w:tc>
        <w:tc>
          <w:tcPr>
            <w:tcW w:w="1598" w:type="dxa"/>
            <w:tcBorders>
              <w:top w:val="nil"/>
              <w:left w:val="nil"/>
              <w:bottom w:val="single" w:sz="4" w:space="0" w:color="auto"/>
              <w:right w:val="single" w:sz="4" w:space="0" w:color="auto"/>
            </w:tcBorders>
            <w:shd w:val="clear" w:color="auto" w:fill="auto"/>
            <w:noWrap/>
            <w:vAlign w:val="center"/>
            <w:hideMark/>
          </w:tcPr>
          <w:p w14:paraId="03C532A9" w14:textId="77777777" w:rsidR="00DE347C" w:rsidRPr="00EE0850" w:rsidRDefault="00DE347C" w:rsidP="000C6220">
            <w:pPr>
              <w:spacing w:after="0" w:line="240" w:lineRule="auto"/>
              <w:jc w:val="right"/>
              <w:rPr>
                <w:szCs w:val="22"/>
                <w:lang w:eastAsia="en-CA"/>
              </w:rPr>
            </w:pPr>
            <w:r w:rsidRPr="00EE0850">
              <w:rPr>
                <w:szCs w:val="22"/>
                <w:lang w:eastAsia="en-CA"/>
              </w:rPr>
              <w:t>59 330</w:t>
            </w:r>
          </w:p>
        </w:tc>
      </w:tr>
      <w:tr w:rsidR="00DE347C" w:rsidRPr="00EE0850" w14:paraId="75D431DC"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73BE5B2" w14:textId="77777777" w:rsidR="00DE347C" w:rsidRPr="00EE0850" w:rsidRDefault="00DE347C" w:rsidP="000C6220">
            <w:pPr>
              <w:spacing w:after="0" w:line="240" w:lineRule="auto"/>
              <w:rPr>
                <w:szCs w:val="22"/>
                <w:lang w:eastAsia="en-CA"/>
              </w:rPr>
            </w:pPr>
            <w:r w:rsidRPr="00EE0850">
              <w:rPr>
                <w:szCs w:val="22"/>
                <w:lang w:eastAsia="en-CA"/>
              </w:rPr>
              <w:t>Benin</w:t>
            </w:r>
          </w:p>
        </w:tc>
        <w:tc>
          <w:tcPr>
            <w:tcW w:w="1597" w:type="dxa"/>
            <w:tcBorders>
              <w:top w:val="nil"/>
              <w:left w:val="nil"/>
              <w:bottom w:val="single" w:sz="4" w:space="0" w:color="auto"/>
              <w:right w:val="single" w:sz="4" w:space="0" w:color="auto"/>
            </w:tcBorders>
            <w:shd w:val="clear" w:color="auto" w:fill="auto"/>
            <w:noWrap/>
            <w:vAlign w:val="center"/>
            <w:hideMark/>
          </w:tcPr>
          <w:p w14:paraId="4FE7E50F" w14:textId="77777777" w:rsidR="00DE347C" w:rsidRPr="00EE0850" w:rsidRDefault="00DE347C" w:rsidP="000C6220">
            <w:pPr>
              <w:spacing w:after="0" w:line="240" w:lineRule="auto"/>
              <w:jc w:val="right"/>
              <w:rPr>
                <w:szCs w:val="22"/>
                <w:lang w:eastAsia="en-CA"/>
              </w:rPr>
            </w:pPr>
            <w:r w:rsidRPr="00EE0850">
              <w:rPr>
                <w:szCs w:val="22"/>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0E4B52FC" w14:textId="77777777" w:rsidR="00DE347C" w:rsidRPr="00EE0850" w:rsidRDefault="00DE347C" w:rsidP="000C6220">
            <w:pPr>
              <w:spacing w:after="0" w:line="240" w:lineRule="auto"/>
              <w:jc w:val="right"/>
              <w:rPr>
                <w:szCs w:val="22"/>
                <w:lang w:eastAsia="en-CA"/>
              </w:rPr>
            </w:pPr>
            <w:r w:rsidRPr="00EE0850">
              <w:rPr>
                <w:szCs w:val="22"/>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7ABB3B8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7BE87E4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2141D6A5" w14:textId="77777777" w:rsidR="00DE347C" w:rsidRPr="00EE0850" w:rsidRDefault="00DE347C" w:rsidP="000C6220">
            <w:pPr>
              <w:spacing w:after="0" w:line="240" w:lineRule="auto"/>
              <w:jc w:val="right"/>
              <w:rPr>
                <w:szCs w:val="22"/>
                <w:lang w:eastAsia="en-CA"/>
              </w:rPr>
            </w:pPr>
            <w:r w:rsidRPr="00EE0850">
              <w:rPr>
                <w:szCs w:val="22"/>
                <w:lang w:eastAsia="en-CA"/>
              </w:rPr>
              <w:t>201</w:t>
            </w:r>
          </w:p>
        </w:tc>
      </w:tr>
      <w:tr w:rsidR="00DE347C" w:rsidRPr="00EE0850" w14:paraId="0D81D993"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889AE6B" w14:textId="77777777" w:rsidR="00DE347C" w:rsidRPr="00EE0850" w:rsidRDefault="00DE347C" w:rsidP="000C6220">
            <w:pPr>
              <w:spacing w:after="0" w:line="240" w:lineRule="auto"/>
              <w:rPr>
                <w:szCs w:val="22"/>
                <w:lang w:eastAsia="en-CA"/>
              </w:rPr>
            </w:pPr>
            <w:r w:rsidRPr="00EE0850">
              <w:rPr>
                <w:szCs w:val="22"/>
                <w:lang w:eastAsia="en-CA"/>
              </w:rPr>
              <w:t>Bhutan</w:t>
            </w:r>
          </w:p>
        </w:tc>
        <w:tc>
          <w:tcPr>
            <w:tcW w:w="1597" w:type="dxa"/>
            <w:tcBorders>
              <w:top w:val="nil"/>
              <w:left w:val="nil"/>
              <w:bottom w:val="single" w:sz="4" w:space="0" w:color="auto"/>
              <w:right w:val="single" w:sz="4" w:space="0" w:color="auto"/>
            </w:tcBorders>
            <w:shd w:val="clear" w:color="auto" w:fill="auto"/>
            <w:noWrap/>
            <w:vAlign w:val="center"/>
            <w:hideMark/>
          </w:tcPr>
          <w:p w14:paraId="04F5357D"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4E119E21"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4EC27C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42BF350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3C61C2FB"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451BB02B"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9848D55" w14:textId="77777777" w:rsidR="00DE347C" w:rsidRPr="00EE0850" w:rsidRDefault="00DE347C" w:rsidP="000C6220">
            <w:pPr>
              <w:spacing w:after="0" w:line="240" w:lineRule="auto"/>
              <w:rPr>
                <w:szCs w:val="22"/>
                <w:lang w:eastAsia="en-CA"/>
              </w:rPr>
            </w:pPr>
            <w:r w:rsidRPr="00EE0850">
              <w:rPr>
                <w:szCs w:val="22"/>
                <w:lang w:eastAsia="en-CA"/>
              </w:rPr>
              <w:t>Bolivia (</w:t>
            </w:r>
            <w:proofErr w:type="spellStart"/>
            <w:r w:rsidRPr="00EE0850">
              <w:rPr>
                <w:szCs w:val="22"/>
                <w:lang w:eastAsia="en-CA"/>
              </w:rPr>
              <w:t>Plurinational</w:t>
            </w:r>
            <w:proofErr w:type="spellEnd"/>
            <w:r w:rsidRPr="00EE0850">
              <w:rPr>
                <w:szCs w:val="22"/>
                <w:lang w:eastAsia="en-CA"/>
              </w:rPr>
              <w:t xml:space="preserve"> State of)</w:t>
            </w:r>
          </w:p>
        </w:tc>
        <w:tc>
          <w:tcPr>
            <w:tcW w:w="1597" w:type="dxa"/>
            <w:tcBorders>
              <w:top w:val="nil"/>
              <w:left w:val="nil"/>
              <w:bottom w:val="single" w:sz="4" w:space="0" w:color="auto"/>
              <w:right w:val="single" w:sz="4" w:space="0" w:color="auto"/>
            </w:tcBorders>
            <w:shd w:val="clear" w:color="auto" w:fill="auto"/>
            <w:noWrap/>
            <w:vAlign w:val="center"/>
            <w:hideMark/>
          </w:tcPr>
          <w:p w14:paraId="7D2EC0CE" w14:textId="77777777" w:rsidR="00DE347C" w:rsidRPr="00EE0850" w:rsidRDefault="00DE347C" w:rsidP="000C6220">
            <w:pPr>
              <w:spacing w:after="0" w:line="240" w:lineRule="auto"/>
              <w:jc w:val="right"/>
              <w:rPr>
                <w:szCs w:val="22"/>
                <w:lang w:eastAsia="en-CA"/>
              </w:rPr>
            </w:pPr>
            <w:r w:rsidRPr="00EE0850">
              <w:rPr>
                <w:szCs w:val="22"/>
                <w:lang w:eastAsia="en-CA"/>
              </w:rPr>
              <w:t>0.012</w:t>
            </w:r>
          </w:p>
        </w:tc>
        <w:tc>
          <w:tcPr>
            <w:tcW w:w="1597" w:type="dxa"/>
            <w:tcBorders>
              <w:top w:val="nil"/>
              <w:left w:val="nil"/>
              <w:bottom w:val="single" w:sz="4" w:space="0" w:color="auto"/>
              <w:right w:val="single" w:sz="4" w:space="0" w:color="auto"/>
            </w:tcBorders>
            <w:shd w:val="clear" w:color="auto" w:fill="auto"/>
            <w:noWrap/>
            <w:vAlign w:val="center"/>
            <w:hideMark/>
          </w:tcPr>
          <w:p w14:paraId="05A79141" w14:textId="77777777" w:rsidR="00DE347C" w:rsidRPr="00EE0850" w:rsidRDefault="00DE347C" w:rsidP="000C6220">
            <w:pPr>
              <w:spacing w:after="0" w:line="240" w:lineRule="auto"/>
              <w:jc w:val="right"/>
              <w:rPr>
                <w:szCs w:val="22"/>
                <w:lang w:eastAsia="en-CA"/>
              </w:rPr>
            </w:pPr>
            <w:r w:rsidRPr="00EE0850">
              <w:rPr>
                <w:szCs w:val="22"/>
                <w:lang w:eastAsia="en-CA"/>
              </w:rPr>
              <w:t>0.022</w:t>
            </w:r>
          </w:p>
        </w:tc>
        <w:tc>
          <w:tcPr>
            <w:tcW w:w="1597" w:type="dxa"/>
            <w:tcBorders>
              <w:top w:val="nil"/>
              <w:left w:val="nil"/>
              <w:bottom w:val="single" w:sz="4" w:space="0" w:color="auto"/>
              <w:right w:val="single" w:sz="4" w:space="0" w:color="auto"/>
            </w:tcBorders>
            <w:shd w:val="clear" w:color="auto" w:fill="auto"/>
            <w:noWrap/>
            <w:vAlign w:val="center"/>
            <w:hideMark/>
          </w:tcPr>
          <w:p w14:paraId="087C2C2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390</w:t>
            </w:r>
          </w:p>
        </w:tc>
        <w:tc>
          <w:tcPr>
            <w:tcW w:w="1597" w:type="dxa"/>
            <w:tcBorders>
              <w:top w:val="nil"/>
              <w:left w:val="nil"/>
              <w:bottom w:val="single" w:sz="4" w:space="0" w:color="auto"/>
              <w:right w:val="single" w:sz="4" w:space="0" w:color="auto"/>
            </w:tcBorders>
            <w:shd w:val="clear" w:color="auto" w:fill="auto"/>
            <w:noWrap/>
            <w:vAlign w:val="center"/>
            <w:hideMark/>
          </w:tcPr>
          <w:p w14:paraId="1EB791B7"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414</w:t>
            </w:r>
          </w:p>
        </w:tc>
        <w:tc>
          <w:tcPr>
            <w:tcW w:w="1598" w:type="dxa"/>
            <w:tcBorders>
              <w:top w:val="nil"/>
              <w:left w:val="nil"/>
              <w:bottom w:val="single" w:sz="4" w:space="0" w:color="auto"/>
              <w:right w:val="single" w:sz="4" w:space="0" w:color="auto"/>
            </w:tcBorders>
            <w:shd w:val="clear" w:color="auto" w:fill="auto"/>
            <w:noWrap/>
            <w:vAlign w:val="center"/>
            <w:hideMark/>
          </w:tcPr>
          <w:p w14:paraId="035DEB62" w14:textId="77777777" w:rsidR="00DE347C" w:rsidRPr="00EE0850" w:rsidRDefault="00DE347C" w:rsidP="000C6220">
            <w:pPr>
              <w:spacing w:after="0" w:line="240" w:lineRule="auto"/>
              <w:jc w:val="right"/>
              <w:rPr>
                <w:szCs w:val="22"/>
                <w:lang w:eastAsia="en-CA"/>
              </w:rPr>
            </w:pPr>
            <w:r w:rsidRPr="00EE0850">
              <w:rPr>
                <w:szCs w:val="22"/>
                <w:lang w:eastAsia="en-CA"/>
              </w:rPr>
              <w:t>804</w:t>
            </w:r>
          </w:p>
        </w:tc>
      </w:tr>
      <w:tr w:rsidR="00DE347C" w:rsidRPr="00EE0850" w14:paraId="4078D46D"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24249D8" w14:textId="77777777" w:rsidR="00DE347C" w:rsidRPr="00EE0850" w:rsidRDefault="00DE347C" w:rsidP="000C6220">
            <w:pPr>
              <w:spacing w:after="0" w:line="240" w:lineRule="auto"/>
              <w:rPr>
                <w:szCs w:val="22"/>
                <w:lang w:eastAsia="en-CA"/>
              </w:rPr>
            </w:pPr>
            <w:r w:rsidRPr="00EE0850">
              <w:rPr>
                <w:szCs w:val="22"/>
                <w:lang w:eastAsia="en-CA"/>
              </w:rPr>
              <w:t>Botswana</w:t>
            </w:r>
          </w:p>
        </w:tc>
        <w:tc>
          <w:tcPr>
            <w:tcW w:w="1597" w:type="dxa"/>
            <w:tcBorders>
              <w:top w:val="nil"/>
              <w:left w:val="nil"/>
              <w:bottom w:val="single" w:sz="4" w:space="0" w:color="auto"/>
              <w:right w:val="single" w:sz="4" w:space="0" w:color="auto"/>
            </w:tcBorders>
            <w:shd w:val="clear" w:color="auto" w:fill="auto"/>
            <w:noWrap/>
            <w:vAlign w:val="center"/>
            <w:hideMark/>
          </w:tcPr>
          <w:p w14:paraId="5417D6B5" w14:textId="77777777" w:rsidR="00DE347C" w:rsidRPr="00EE0850" w:rsidRDefault="00DE347C" w:rsidP="000C6220">
            <w:pPr>
              <w:spacing w:after="0" w:line="240" w:lineRule="auto"/>
              <w:jc w:val="right"/>
              <w:rPr>
                <w:szCs w:val="22"/>
                <w:lang w:eastAsia="en-CA"/>
              </w:rPr>
            </w:pPr>
            <w:r w:rsidRPr="00EE0850">
              <w:rPr>
                <w:szCs w:val="22"/>
                <w:lang w:eastAsia="en-CA"/>
              </w:rPr>
              <w:t>0.014</w:t>
            </w:r>
          </w:p>
        </w:tc>
        <w:tc>
          <w:tcPr>
            <w:tcW w:w="1597" w:type="dxa"/>
            <w:tcBorders>
              <w:top w:val="nil"/>
              <w:left w:val="nil"/>
              <w:bottom w:val="single" w:sz="4" w:space="0" w:color="auto"/>
              <w:right w:val="single" w:sz="4" w:space="0" w:color="auto"/>
            </w:tcBorders>
            <w:shd w:val="clear" w:color="auto" w:fill="auto"/>
            <w:noWrap/>
            <w:vAlign w:val="center"/>
            <w:hideMark/>
          </w:tcPr>
          <w:p w14:paraId="3194C588" w14:textId="77777777" w:rsidR="00DE347C" w:rsidRPr="00EE0850" w:rsidRDefault="00DE347C" w:rsidP="000C6220">
            <w:pPr>
              <w:spacing w:after="0" w:line="240" w:lineRule="auto"/>
              <w:jc w:val="right"/>
              <w:rPr>
                <w:szCs w:val="22"/>
                <w:lang w:eastAsia="en-CA"/>
              </w:rPr>
            </w:pPr>
            <w:r w:rsidRPr="00EE0850">
              <w:rPr>
                <w:szCs w:val="22"/>
                <w:lang w:eastAsia="en-CA"/>
              </w:rPr>
              <w:t>0.026</w:t>
            </w:r>
          </w:p>
        </w:tc>
        <w:tc>
          <w:tcPr>
            <w:tcW w:w="1597" w:type="dxa"/>
            <w:tcBorders>
              <w:top w:val="nil"/>
              <w:left w:val="nil"/>
              <w:bottom w:val="single" w:sz="4" w:space="0" w:color="auto"/>
              <w:right w:val="single" w:sz="4" w:space="0" w:color="auto"/>
            </w:tcBorders>
            <w:shd w:val="clear" w:color="auto" w:fill="auto"/>
            <w:noWrap/>
            <w:vAlign w:val="center"/>
            <w:hideMark/>
          </w:tcPr>
          <w:p w14:paraId="336ABBD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456</w:t>
            </w:r>
          </w:p>
        </w:tc>
        <w:tc>
          <w:tcPr>
            <w:tcW w:w="1597" w:type="dxa"/>
            <w:tcBorders>
              <w:top w:val="nil"/>
              <w:left w:val="nil"/>
              <w:bottom w:val="single" w:sz="4" w:space="0" w:color="auto"/>
              <w:right w:val="single" w:sz="4" w:space="0" w:color="auto"/>
            </w:tcBorders>
            <w:shd w:val="clear" w:color="auto" w:fill="auto"/>
            <w:noWrap/>
            <w:vAlign w:val="center"/>
            <w:hideMark/>
          </w:tcPr>
          <w:p w14:paraId="20B4DAE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483</w:t>
            </w:r>
          </w:p>
        </w:tc>
        <w:tc>
          <w:tcPr>
            <w:tcW w:w="1598" w:type="dxa"/>
            <w:tcBorders>
              <w:top w:val="nil"/>
              <w:left w:val="nil"/>
              <w:bottom w:val="single" w:sz="4" w:space="0" w:color="auto"/>
              <w:right w:val="single" w:sz="4" w:space="0" w:color="auto"/>
            </w:tcBorders>
            <w:shd w:val="clear" w:color="auto" w:fill="auto"/>
            <w:noWrap/>
            <w:vAlign w:val="center"/>
            <w:hideMark/>
          </w:tcPr>
          <w:p w14:paraId="553DD748" w14:textId="77777777" w:rsidR="00DE347C" w:rsidRPr="00EE0850" w:rsidRDefault="00DE347C" w:rsidP="000C6220">
            <w:pPr>
              <w:spacing w:after="0" w:line="240" w:lineRule="auto"/>
              <w:jc w:val="right"/>
              <w:rPr>
                <w:szCs w:val="22"/>
                <w:lang w:eastAsia="en-CA"/>
              </w:rPr>
            </w:pPr>
            <w:r w:rsidRPr="00EE0850">
              <w:rPr>
                <w:szCs w:val="22"/>
                <w:lang w:eastAsia="en-CA"/>
              </w:rPr>
              <w:t>939</w:t>
            </w:r>
          </w:p>
        </w:tc>
      </w:tr>
      <w:tr w:rsidR="00DE347C" w:rsidRPr="00EE0850" w14:paraId="7BF9647A"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67A2952" w14:textId="77777777" w:rsidR="00DE347C" w:rsidRPr="00EE0850" w:rsidRDefault="00DE347C" w:rsidP="000C6220">
            <w:pPr>
              <w:spacing w:after="0" w:line="240" w:lineRule="auto"/>
              <w:rPr>
                <w:szCs w:val="22"/>
                <w:lang w:eastAsia="en-CA"/>
              </w:rPr>
            </w:pPr>
            <w:r w:rsidRPr="00EE0850">
              <w:rPr>
                <w:szCs w:val="22"/>
                <w:lang w:eastAsia="en-CA"/>
              </w:rPr>
              <w:t>Bulgaria</w:t>
            </w:r>
          </w:p>
        </w:tc>
        <w:tc>
          <w:tcPr>
            <w:tcW w:w="1597" w:type="dxa"/>
            <w:tcBorders>
              <w:top w:val="nil"/>
              <w:left w:val="nil"/>
              <w:bottom w:val="single" w:sz="4" w:space="0" w:color="auto"/>
              <w:right w:val="single" w:sz="4" w:space="0" w:color="auto"/>
            </w:tcBorders>
            <w:shd w:val="clear" w:color="auto" w:fill="auto"/>
            <w:noWrap/>
            <w:vAlign w:val="center"/>
            <w:hideMark/>
          </w:tcPr>
          <w:p w14:paraId="479012D1" w14:textId="77777777" w:rsidR="00DE347C" w:rsidRPr="00EE0850" w:rsidRDefault="00DE347C" w:rsidP="000C6220">
            <w:pPr>
              <w:spacing w:after="0" w:line="240" w:lineRule="auto"/>
              <w:jc w:val="right"/>
              <w:rPr>
                <w:szCs w:val="22"/>
                <w:lang w:eastAsia="en-CA"/>
              </w:rPr>
            </w:pPr>
            <w:r w:rsidRPr="00EE0850">
              <w:rPr>
                <w:szCs w:val="22"/>
                <w:lang w:eastAsia="en-CA"/>
              </w:rPr>
              <w:t>0.045</w:t>
            </w:r>
          </w:p>
        </w:tc>
        <w:tc>
          <w:tcPr>
            <w:tcW w:w="1597" w:type="dxa"/>
            <w:tcBorders>
              <w:top w:val="nil"/>
              <w:left w:val="nil"/>
              <w:bottom w:val="single" w:sz="4" w:space="0" w:color="auto"/>
              <w:right w:val="single" w:sz="4" w:space="0" w:color="auto"/>
            </w:tcBorders>
            <w:shd w:val="clear" w:color="auto" w:fill="auto"/>
            <w:noWrap/>
            <w:vAlign w:val="center"/>
            <w:hideMark/>
          </w:tcPr>
          <w:p w14:paraId="7D2EC8A5" w14:textId="77777777" w:rsidR="00DE347C" w:rsidRPr="00EE0850" w:rsidRDefault="00DE347C" w:rsidP="000C6220">
            <w:pPr>
              <w:spacing w:after="0" w:line="240" w:lineRule="auto"/>
              <w:jc w:val="right"/>
              <w:rPr>
                <w:szCs w:val="22"/>
                <w:lang w:eastAsia="en-CA"/>
              </w:rPr>
            </w:pPr>
            <w:r w:rsidRPr="00EE0850">
              <w:rPr>
                <w:szCs w:val="22"/>
                <w:lang w:eastAsia="en-CA"/>
              </w:rPr>
              <w:t>0.083</w:t>
            </w:r>
          </w:p>
        </w:tc>
        <w:tc>
          <w:tcPr>
            <w:tcW w:w="1597" w:type="dxa"/>
            <w:tcBorders>
              <w:top w:val="nil"/>
              <w:left w:val="nil"/>
              <w:bottom w:val="single" w:sz="4" w:space="0" w:color="auto"/>
              <w:right w:val="single" w:sz="4" w:space="0" w:color="auto"/>
            </w:tcBorders>
            <w:shd w:val="clear" w:color="auto" w:fill="auto"/>
            <w:noWrap/>
            <w:vAlign w:val="center"/>
            <w:hideMark/>
          </w:tcPr>
          <w:p w14:paraId="06D4514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1 464</w:t>
            </w:r>
          </w:p>
        </w:tc>
        <w:tc>
          <w:tcPr>
            <w:tcW w:w="1597" w:type="dxa"/>
            <w:tcBorders>
              <w:top w:val="nil"/>
              <w:left w:val="nil"/>
              <w:bottom w:val="single" w:sz="4" w:space="0" w:color="auto"/>
              <w:right w:val="single" w:sz="4" w:space="0" w:color="auto"/>
            </w:tcBorders>
            <w:shd w:val="clear" w:color="auto" w:fill="auto"/>
            <w:noWrap/>
            <w:vAlign w:val="center"/>
            <w:hideMark/>
          </w:tcPr>
          <w:p w14:paraId="1A3F345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1 553</w:t>
            </w:r>
          </w:p>
        </w:tc>
        <w:tc>
          <w:tcPr>
            <w:tcW w:w="1598" w:type="dxa"/>
            <w:tcBorders>
              <w:top w:val="nil"/>
              <w:left w:val="nil"/>
              <w:bottom w:val="single" w:sz="4" w:space="0" w:color="auto"/>
              <w:right w:val="single" w:sz="4" w:space="0" w:color="auto"/>
            </w:tcBorders>
            <w:shd w:val="clear" w:color="auto" w:fill="auto"/>
            <w:noWrap/>
            <w:vAlign w:val="center"/>
            <w:hideMark/>
          </w:tcPr>
          <w:p w14:paraId="05C89B45" w14:textId="77777777" w:rsidR="00DE347C" w:rsidRPr="00EE0850" w:rsidRDefault="00DE347C" w:rsidP="000C6220">
            <w:pPr>
              <w:spacing w:after="0" w:line="240" w:lineRule="auto"/>
              <w:jc w:val="right"/>
              <w:rPr>
                <w:szCs w:val="22"/>
                <w:lang w:eastAsia="en-CA"/>
              </w:rPr>
            </w:pPr>
            <w:r w:rsidRPr="00EE0850">
              <w:rPr>
                <w:szCs w:val="22"/>
                <w:lang w:eastAsia="en-CA"/>
              </w:rPr>
              <w:t>3 017</w:t>
            </w:r>
          </w:p>
        </w:tc>
      </w:tr>
      <w:tr w:rsidR="00DE347C" w:rsidRPr="00EE0850" w14:paraId="4F770995"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990A84A" w14:textId="77777777" w:rsidR="00DE347C" w:rsidRPr="00EE0850" w:rsidRDefault="00DE347C" w:rsidP="000C6220">
            <w:pPr>
              <w:spacing w:after="0" w:line="240" w:lineRule="auto"/>
              <w:rPr>
                <w:szCs w:val="22"/>
                <w:lang w:eastAsia="en-CA"/>
              </w:rPr>
            </w:pPr>
            <w:r w:rsidRPr="00EE0850">
              <w:rPr>
                <w:szCs w:val="22"/>
                <w:lang w:eastAsia="en-CA"/>
              </w:rPr>
              <w:t>Burkina Faso</w:t>
            </w:r>
          </w:p>
        </w:tc>
        <w:tc>
          <w:tcPr>
            <w:tcW w:w="1597" w:type="dxa"/>
            <w:tcBorders>
              <w:top w:val="nil"/>
              <w:left w:val="nil"/>
              <w:bottom w:val="single" w:sz="4" w:space="0" w:color="auto"/>
              <w:right w:val="single" w:sz="4" w:space="0" w:color="auto"/>
            </w:tcBorders>
            <w:shd w:val="clear" w:color="auto" w:fill="auto"/>
            <w:noWrap/>
            <w:vAlign w:val="center"/>
            <w:hideMark/>
          </w:tcPr>
          <w:p w14:paraId="2D94DE0C"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431750EB" w14:textId="77777777" w:rsidR="00DE347C" w:rsidRPr="00EE0850" w:rsidRDefault="00DE347C" w:rsidP="000C6220">
            <w:pPr>
              <w:spacing w:after="0" w:line="240" w:lineRule="auto"/>
              <w:jc w:val="right"/>
              <w:rPr>
                <w:szCs w:val="22"/>
                <w:lang w:eastAsia="en-CA"/>
              </w:rPr>
            </w:pPr>
            <w:r w:rsidRPr="00EE0850">
              <w:rPr>
                <w:szCs w:val="22"/>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70882A0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32C2170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5AFA4D5F" w14:textId="77777777" w:rsidR="00DE347C" w:rsidRPr="00EE0850" w:rsidRDefault="00DE347C" w:rsidP="000C6220">
            <w:pPr>
              <w:spacing w:after="0" w:line="240" w:lineRule="auto"/>
              <w:jc w:val="right"/>
              <w:rPr>
                <w:szCs w:val="22"/>
                <w:lang w:eastAsia="en-CA"/>
              </w:rPr>
            </w:pPr>
            <w:r w:rsidRPr="00EE0850">
              <w:rPr>
                <w:szCs w:val="22"/>
                <w:lang w:eastAsia="en-CA"/>
              </w:rPr>
              <w:t>268</w:t>
            </w:r>
          </w:p>
        </w:tc>
      </w:tr>
      <w:tr w:rsidR="00DE347C" w:rsidRPr="00EE0850" w14:paraId="1FBD1295"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4B76B54" w14:textId="77777777" w:rsidR="00DE347C" w:rsidRPr="00EE0850" w:rsidRDefault="00DE347C" w:rsidP="000C6220">
            <w:pPr>
              <w:spacing w:after="0" w:line="240" w:lineRule="auto"/>
              <w:rPr>
                <w:szCs w:val="22"/>
                <w:lang w:eastAsia="en-CA"/>
              </w:rPr>
            </w:pPr>
            <w:r w:rsidRPr="00EE0850">
              <w:rPr>
                <w:szCs w:val="22"/>
                <w:lang w:eastAsia="en-CA"/>
              </w:rPr>
              <w:t>Burundi</w:t>
            </w:r>
          </w:p>
        </w:tc>
        <w:tc>
          <w:tcPr>
            <w:tcW w:w="1597" w:type="dxa"/>
            <w:tcBorders>
              <w:top w:val="nil"/>
              <w:left w:val="nil"/>
              <w:bottom w:val="single" w:sz="4" w:space="0" w:color="auto"/>
              <w:right w:val="single" w:sz="4" w:space="0" w:color="auto"/>
            </w:tcBorders>
            <w:shd w:val="clear" w:color="auto" w:fill="auto"/>
            <w:noWrap/>
            <w:vAlign w:val="center"/>
            <w:hideMark/>
          </w:tcPr>
          <w:p w14:paraId="2B9D32F5"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48B8B8BF"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19445C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60452387"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5770DC37"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16AF5D7D"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37EA77C" w14:textId="77777777" w:rsidR="00DE347C" w:rsidRPr="00EE0850" w:rsidRDefault="00DE347C" w:rsidP="000C6220">
            <w:pPr>
              <w:spacing w:after="0" w:line="240" w:lineRule="auto"/>
              <w:rPr>
                <w:szCs w:val="22"/>
                <w:lang w:eastAsia="en-CA"/>
              </w:rPr>
            </w:pPr>
            <w:r w:rsidRPr="00EE0850">
              <w:rPr>
                <w:szCs w:val="22"/>
                <w:lang w:eastAsia="en-CA"/>
              </w:rPr>
              <w:t>Cambodia</w:t>
            </w:r>
          </w:p>
        </w:tc>
        <w:tc>
          <w:tcPr>
            <w:tcW w:w="1597" w:type="dxa"/>
            <w:tcBorders>
              <w:top w:val="nil"/>
              <w:left w:val="nil"/>
              <w:bottom w:val="single" w:sz="4" w:space="0" w:color="auto"/>
              <w:right w:val="single" w:sz="4" w:space="0" w:color="auto"/>
            </w:tcBorders>
            <w:shd w:val="clear" w:color="auto" w:fill="auto"/>
            <w:noWrap/>
            <w:vAlign w:val="center"/>
            <w:hideMark/>
          </w:tcPr>
          <w:p w14:paraId="1CEC1338"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27AA16A6" w14:textId="77777777" w:rsidR="00DE347C" w:rsidRPr="00EE0850" w:rsidRDefault="00DE347C" w:rsidP="000C6220">
            <w:pPr>
              <w:spacing w:after="0" w:line="240" w:lineRule="auto"/>
              <w:jc w:val="right"/>
              <w:rPr>
                <w:szCs w:val="22"/>
                <w:lang w:eastAsia="en-CA"/>
              </w:rPr>
            </w:pPr>
            <w:r w:rsidRPr="00EE0850">
              <w:rPr>
                <w:szCs w:val="22"/>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4333A6D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2F9432F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6374E62E" w14:textId="77777777" w:rsidR="00DE347C" w:rsidRPr="00EE0850" w:rsidRDefault="00DE347C" w:rsidP="000C6220">
            <w:pPr>
              <w:spacing w:after="0" w:line="240" w:lineRule="auto"/>
              <w:jc w:val="right"/>
              <w:rPr>
                <w:szCs w:val="22"/>
                <w:lang w:eastAsia="en-CA"/>
              </w:rPr>
            </w:pPr>
            <w:r w:rsidRPr="00EE0850">
              <w:rPr>
                <w:szCs w:val="22"/>
                <w:lang w:eastAsia="en-CA"/>
              </w:rPr>
              <w:t>268</w:t>
            </w:r>
          </w:p>
        </w:tc>
      </w:tr>
      <w:tr w:rsidR="00DE347C" w:rsidRPr="00EE0850" w14:paraId="6E47A097" w14:textId="77777777" w:rsidTr="00DE347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231AA" w14:textId="77777777" w:rsidR="00DE347C" w:rsidRPr="00EE0850" w:rsidRDefault="00DE347C" w:rsidP="000C6220">
            <w:pPr>
              <w:spacing w:after="0" w:line="240" w:lineRule="auto"/>
              <w:rPr>
                <w:szCs w:val="22"/>
                <w:lang w:eastAsia="en-CA"/>
              </w:rPr>
            </w:pPr>
            <w:r w:rsidRPr="00EE0850">
              <w:rPr>
                <w:szCs w:val="22"/>
                <w:lang w:eastAsia="en-CA"/>
              </w:rPr>
              <w:t>Cameroon</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49583BDF"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8FDB02E" w14:textId="77777777" w:rsidR="00DE347C" w:rsidRPr="00EE0850" w:rsidRDefault="00DE347C" w:rsidP="000C6220">
            <w:pPr>
              <w:spacing w:after="0" w:line="240" w:lineRule="auto"/>
              <w:jc w:val="right"/>
              <w:rPr>
                <w:szCs w:val="22"/>
                <w:lang w:eastAsia="en-CA"/>
              </w:rPr>
            </w:pPr>
            <w:r w:rsidRPr="00EE0850">
              <w:rPr>
                <w:szCs w:val="22"/>
                <w:lang w:eastAsia="en-CA"/>
              </w:rPr>
              <w:t>0.018</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75CAA3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325</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8FA706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345</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1AB6B4ED" w14:textId="77777777" w:rsidR="00DE347C" w:rsidRPr="00EE0850" w:rsidRDefault="00DE347C" w:rsidP="000C6220">
            <w:pPr>
              <w:spacing w:after="0" w:line="240" w:lineRule="auto"/>
              <w:jc w:val="right"/>
              <w:rPr>
                <w:szCs w:val="22"/>
                <w:lang w:eastAsia="en-CA"/>
              </w:rPr>
            </w:pPr>
            <w:r w:rsidRPr="00EE0850">
              <w:rPr>
                <w:szCs w:val="22"/>
                <w:lang w:eastAsia="en-CA"/>
              </w:rPr>
              <w:t>670</w:t>
            </w:r>
          </w:p>
        </w:tc>
      </w:tr>
      <w:tr w:rsidR="00DE347C" w:rsidRPr="00EE0850" w14:paraId="40D2D238"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CE8BF69" w14:textId="77777777" w:rsidR="00DE347C" w:rsidRPr="00EE0850" w:rsidRDefault="00DE347C" w:rsidP="000C6220">
            <w:pPr>
              <w:spacing w:after="0" w:line="240" w:lineRule="auto"/>
              <w:rPr>
                <w:szCs w:val="22"/>
                <w:lang w:eastAsia="en-CA"/>
              </w:rPr>
            </w:pPr>
            <w:r w:rsidRPr="00EE0850">
              <w:rPr>
                <w:szCs w:val="22"/>
                <w:lang w:eastAsia="en-CA"/>
              </w:rPr>
              <w:t>Central African Republic</w:t>
            </w:r>
          </w:p>
        </w:tc>
        <w:tc>
          <w:tcPr>
            <w:tcW w:w="1597" w:type="dxa"/>
            <w:tcBorders>
              <w:top w:val="nil"/>
              <w:left w:val="nil"/>
              <w:bottom w:val="single" w:sz="4" w:space="0" w:color="auto"/>
              <w:right w:val="single" w:sz="4" w:space="0" w:color="auto"/>
            </w:tcBorders>
            <w:shd w:val="clear" w:color="auto" w:fill="auto"/>
            <w:noWrap/>
            <w:vAlign w:val="center"/>
            <w:hideMark/>
          </w:tcPr>
          <w:p w14:paraId="1803F10B"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A42FAED"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6A13E5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12E0C30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53A6CB51"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2F88141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2D7887B" w14:textId="77777777" w:rsidR="00DE347C" w:rsidRPr="00EE0850" w:rsidRDefault="00DE347C" w:rsidP="000C6220">
            <w:pPr>
              <w:spacing w:after="0" w:line="240" w:lineRule="auto"/>
              <w:rPr>
                <w:szCs w:val="22"/>
                <w:lang w:eastAsia="en-CA"/>
              </w:rPr>
            </w:pPr>
            <w:r w:rsidRPr="00EE0850">
              <w:rPr>
                <w:szCs w:val="22"/>
                <w:lang w:eastAsia="en-CA"/>
              </w:rPr>
              <w:t>Chad</w:t>
            </w:r>
          </w:p>
        </w:tc>
        <w:tc>
          <w:tcPr>
            <w:tcW w:w="1597" w:type="dxa"/>
            <w:tcBorders>
              <w:top w:val="nil"/>
              <w:left w:val="nil"/>
              <w:bottom w:val="single" w:sz="4" w:space="0" w:color="auto"/>
              <w:right w:val="single" w:sz="4" w:space="0" w:color="auto"/>
            </w:tcBorders>
            <w:shd w:val="clear" w:color="auto" w:fill="auto"/>
            <w:noWrap/>
            <w:vAlign w:val="center"/>
            <w:hideMark/>
          </w:tcPr>
          <w:p w14:paraId="519BC43A" w14:textId="77777777" w:rsidR="00DE347C" w:rsidRPr="00EE0850" w:rsidRDefault="00DE347C" w:rsidP="000C6220">
            <w:pPr>
              <w:spacing w:after="0" w:line="240" w:lineRule="auto"/>
              <w:jc w:val="right"/>
              <w:rPr>
                <w:szCs w:val="22"/>
                <w:lang w:eastAsia="en-CA"/>
              </w:rPr>
            </w:pPr>
            <w:r w:rsidRPr="00EE0850">
              <w:rPr>
                <w:szCs w:val="22"/>
                <w:lang w:eastAsia="en-CA"/>
              </w:rPr>
              <w:t>0.005</w:t>
            </w:r>
          </w:p>
        </w:tc>
        <w:tc>
          <w:tcPr>
            <w:tcW w:w="1597" w:type="dxa"/>
            <w:tcBorders>
              <w:top w:val="nil"/>
              <w:left w:val="nil"/>
              <w:bottom w:val="single" w:sz="4" w:space="0" w:color="auto"/>
              <w:right w:val="single" w:sz="4" w:space="0" w:color="auto"/>
            </w:tcBorders>
            <w:shd w:val="clear" w:color="auto" w:fill="auto"/>
            <w:noWrap/>
            <w:vAlign w:val="center"/>
            <w:hideMark/>
          </w:tcPr>
          <w:p w14:paraId="5FC3D47D" w14:textId="77777777" w:rsidR="00DE347C" w:rsidRPr="00EE0850" w:rsidRDefault="00DE347C" w:rsidP="000C6220">
            <w:pPr>
              <w:spacing w:after="0" w:line="240" w:lineRule="auto"/>
              <w:jc w:val="right"/>
              <w:rPr>
                <w:szCs w:val="22"/>
                <w:lang w:eastAsia="en-CA"/>
              </w:rPr>
            </w:pPr>
            <w:r w:rsidRPr="00EE0850">
              <w:rPr>
                <w:szCs w:val="22"/>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76BB9D1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14:paraId="1685975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1E0B38A0" w14:textId="77777777" w:rsidR="00DE347C" w:rsidRPr="00EE0850" w:rsidRDefault="00DE347C" w:rsidP="000C6220">
            <w:pPr>
              <w:spacing w:after="0" w:line="240" w:lineRule="auto"/>
              <w:jc w:val="right"/>
              <w:rPr>
                <w:szCs w:val="22"/>
                <w:lang w:eastAsia="en-CA"/>
              </w:rPr>
            </w:pPr>
            <w:r w:rsidRPr="00EE0850">
              <w:rPr>
                <w:szCs w:val="22"/>
                <w:lang w:eastAsia="en-CA"/>
              </w:rPr>
              <w:t>335</w:t>
            </w:r>
          </w:p>
        </w:tc>
      </w:tr>
      <w:tr w:rsidR="00DE347C" w:rsidRPr="00EE0850" w14:paraId="47A48733"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2767DA9" w14:textId="77777777" w:rsidR="00DE347C" w:rsidRPr="00EE0850" w:rsidRDefault="00DE347C" w:rsidP="000C6220">
            <w:pPr>
              <w:spacing w:after="0" w:line="240" w:lineRule="auto"/>
              <w:rPr>
                <w:szCs w:val="22"/>
                <w:lang w:eastAsia="en-CA"/>
              </w:rPr>
            </w:pPr>
            <w:r w:rsidRPr="00EE0850">
              <w:rPr>
                <w:szCs w:val="22"/>
                <w:lang w:eastAsia="en-CA"/>
              </w:rPr>
              <w:t>China</w:t>
            </w:r>
          </w:p>
        </w:tc>
        <w:tc>
          <w:tcPr>
            <w:tcW w:w="1597" w:type="dxa"/>
            <w:tcBorders>
              <w:top w:val="nil"/>
              <w:left w:val="nil"/>
              <w:bottom w:val="single" w:sz="4" w:space="0" w:color="auto"/>
              <w:right w:val="single" w:sz="4" w:space="0" w:color="auto"/>
            </w:tcBorders>
            <w:shd w:val="clear" w:color="auto" w:fill="auto"/>
            <w:noWrap/>
            <w:vAlign w:val="center"/>
            <w:hideMark/>
          </w:tcPr>
          <w:p w14:paraId="66BF79AF" w14:textId="77777777" w:rsidR="00DE347C" w:rsidRPr="00EE0850" w:rsidRDefault="00DE347C" w:rsidP="000C6220">
            <w:pPr>
              <w:spacing w:after="0" w:line="240" w:lineRule="auto"/>
              <w:jc w:val="right"/>
              <w:rPr>
                <w:szCs w:val="22"/>
                <w:lang w:eastAsia="en-CA"/>
              </w:rPr>
            </w:pPr>
            <w:r w:rsidRPr="00EE0850">
              <w:rPr>
                <w:szCs w:val="22"/>
                <w:lang w:eastAsia="en-CA"/>
              </w:rPr>
              <w:t>7.921</w:t>
            </w:r>
          </w:p>
        </w:tc>
        <w:tc>
          <w:tcPr>
            <w:tcW w:w="1597" w:type="dxa"/>
            <w:tcBorders>
              <w:top w:val="nil"/>
              <w:left w:val="nil"/>
              <w:bottom w:val="single" w:sz="4" w:space="0" w:color="auto"/>
              <w:right w:val="single" w:sz="4" w:space="0" w:color="auto"/>
            </w:tcBorders>
            <w:shd w:val="clear" w:color="auto" w:fill="auto"/>
            <w:noWrap/>
            <w:vAlign w:val="center"/>
            <w:hideMark/>
          </w:tcPr>
          <w:p w14:paraId="5AAC1EBE" w14:textId="77777777" w:rsidR="00DE347C" w:rsidRPr="00EE0850" w:rsidRDefault="00DE347C" w:rsidP="000C6220">
            <w:pPr>
              <w:spacing w:after="0" w:line="240" w:lineRule="auto"/>
              <w:jc w:val="right"/>
              <w:rPr>
                <w:szCs w:val="22"/>
                <w:lang w:eastAsia="en-CA"/>
              </w:rPr>
            </w:pPr>
            <w:r w:rsidRPr="00EE0850">
              <w:rPr>
                <w:szCs w:val="22"/>
                <w:lang w:eastAsia="en-CA"/>
              </w:rPr>
              <w:t>14.636</w:t>
            </w:r>
          </w:p>
        </w:tc>
        <w:tc>
          <w:tcPr>
            <w:tcW w:w="1597" w:type="dxa"/>
            <w:tcBorders>
              <w:top w:val="nil"/>
              <w:left w:val="nil"/>
              <w:bottom w:val="single" w:sz="4" w:space="0" w:color="auto"/>
              <w:right w:val="single" w:sz="4" w:space="0" w:color="auto"/>
            </w:tcBorders>
            <w:shd w:val="clear" w:color="auto" w:fill="auto"/>
            <w:noWrap/>
            <w:vAlign w:val="center"/>
            <w:hideMark/>
          </w:tcPr>
          <w:p w14:paraId="182435A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257 728</w:t>
            </w:r>
          </w:p>
        </w:tc>
        <w:tc>
          <w:tcPr>
            <w:tcW w:w="1597" w:type="dxa"/>
            <w:tcBorders>
              <w:top w:val="nil"/>
              <w:left w:val="nil"/>
              <w:bottom w:val="single" w:sz="4" w:space="0" w:color="auto"/>
              <w:right w:val="single" w:sz="4" w:space="0" w:color="auto"/>
            </w:tcBorders>
            <w:shd w:val="clear" w:color="auto" w:fill="auto"/>
            <w:noWrap/>
            <w:vAlign w:val="center"/>
            <w:hideMark/>
          </w:tcPr>
          <w:p w14:paraId="402AAD8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273 296</w:t>
            </w:r>
          </w:p>
        </w:tc>
        <w:tc>
          <w:tcPr>
            <w:tcW w:w="1598" w:type="dxa"/>
            <w:tcBorders>
              <w:top w:val="nil"/>
              <w:left w:val="nil"/>
              <w:bottom w:val="single" w:sz="4" w:space="0" w:color="auto"/>
              <w:right w:val="single" w:sz="4" w:space="0" w:color="auto"/>
            </w:tcBorders>
            <w:shd w:val="clear" w:color="auto" w:fill="auto"/>
            <w:noWrap/>
            <w:vAlign w:val="center"/>
            <w:hideMark/>
          </w:tcPr>
          <w:p w14:paraId="404F9218" w14:textId="77777777" w:rsidR="00DE347C" w:rsidRPr="00EE0850" w:rsidRDefault="00DE347C" w:rsidP="000C6220">
            <w:pPr>
              <w:spacing w:after="0" w:line="240" w:lineRule="auto"/>
              <w:jc w:val="right"/>
              <w:rPr>
                <w:szCs w:val="22"/>
                <w:lang w:eastAsia="en-CA"/>
              </w:rPr>
            </w:pPr>
            <w:r w:rsidRPr="00EE0850">
              <w:rPr>
                <w:szCs w:val="22"/>
                <w:lang w:eastAsia="en-CA"/>
              </w:rPr>
              <w:t>531 024</w:t>
            </w:r>
          </w:p>
        </w:tc>
      </w:tr>
      <w:tr w:rsidR="00DE347C" w:rsidRPr="00EE0850" w14:paraId="3C56DB1C"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DE37943" w14:textId="77777777" w:rsidR="00DE347C" w:rsidRPr="00EE0850" w:rsidRDefault="00DE347C" w:rsidP="000C6220">
            <w:pPr>
              <w:spacing w:after="0" w:line="240" w:lineRule="auto"/>
              <w:rPr>
                <w:szCs w:val="22"/>
                <w:lang w:eastAsia="en-CA"/>
              </w:rPr>
            </w:pPr>
            <w:r w:rsidRPr="00EE0850">
              <w:rPr>
                <w:szCs w:val="22"/>
                <w:lang w:eastAsia="en-CA"/>
              </w:rPr>
              <w:t>Comoros</w:t>
            </w:r>
          </w:p>
        </w:tc>
        <w:tc>
          <w:tcPr>
            <w:tcW w:w="1597" w:type="dxa"/>
            <w:tcBorders>
              <w:top w:val="nil"/>
              <w:left w:val="nil"/>
              <w:bottom w:val="single" w:sz="4" w:space="0" w:color="auto"/>
              <w:right w:val="single" w:sz="4" w:space="0" w:color="auto"/>
            </w:tcBorders>
            <w:shd w:val="clear" w:color="auto" w:fill="auto"/>
            <w:noWrap/>
            <w:vAlign w:val="center"/>
            <w:hideMark/>
          </w:tcPr>
          <w:p w14:paraId="6AAFA8A0"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FE4DF2F"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A52FED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1D07662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3FE7D804"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79948F89"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B2089DA" w14:textId="77777777" w:rsidR="00DE347C" w:rsidRPr="00EE0850" w:rsidRDefault="00DE347C" w:rsidP="000C6220">
            <w:pPr>
              <w:spacing w:after="0" w:line="240" w:lineRule="auto"/>
              <w:rPr>
                <w:szCs w:val="22"/>
                <w:lang w:eastAsia="en-CA"/>
              </w:rPr>
            </w:pPr>
            <w:r w:rsidRPr="00EE0850">
              <w:rPr>
                <w:szCs w:val="22"/>
                <w:lang w:eastAsia="en-CA"/>
              </w:rPr>
              <w:t>Congo</w:t>
            </w:r>
          </w:p>
        </w:tc>
        <w:tc>
          <w:tcPr>
            <w:tcW w:w="1597" w:type="dxa"/>
            <w:tcBorders>
              <w:top w:val="nil"/>
              <w:left w:val="nil"/>
              <w:bottom w:val="single" w:sz="4" w:space="0" w:color="auto"/>
              <w:right w:val="single" w:sz="4" w:space="0" w:color="auto"/>
            </w:tcBorders>
            <w:shd w:val="clear" w:color="auto" w:fill="auto"/>
            <w:noWrap/>
            <w:vAlign w:val="center"/>
            <w:hideMark/>
          </w:tcPr>
          <w:p w14:paraId="5A555160" w14:textId="77777777" w:rsidR="00DE347C" w:rsidRPr="00EE0850" w:rsidRDefault="00DE347C" w:rsidP="000C6220">
            <w:pPr>
              <w:spacing w:after="0" w:line="240" w:lineRule="auto"/>
              <w:jc w:val="right"/>
              <w:rPr>
                <w:szCs w:val="22"/>
                <w:lang w:eastAsia="en-CA"/>
              </w:rPr>
            </w:pPr>
            <w:r w:rsidRPr="00EE0850">
              <w:rPr>
                <w:szCs w:val="22"/>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161FC058" w14:textId="77777777" w:rsidR="00DE347C" w:rsidRPr="00EE0850" w:rsidRDefault="00DE347C" w:rsidP="000C6220">
            <w:pPr>
              <w:spacing w:after="0" w:line="240" w:lineRule="auto"/>
              <w:jc w:val="right"/>
              <w:rPr>
                <w:szCs w:val="22"/>
                <w:lang w:eastAsia="en-CA"/>
              </w:rPr>
            </w:pPr>
            <w:r w:rsidRPr="00EE0850">
              <w:rPr>
                <w:szCs w:val="22"/>
                <w:lang w:eastAsia="en-CA"/>
              </w:rPr>
              <w:t>0.011</w:t>
            </w:r>
          </w:p>
        </w:tc>
        <w:tc>
          <w:tcPr>
            <w:tcW w:w="1597" w:type="dxa"/>
            <w:tcBorders>
              <w:top w:val="nil"/>
              <w:left w:val="nil"/>
              <w:bottom w:val="single" w:sz="4" w:space="0" w:color="auto"/>
              <w:right w:val="single" w:sz="4" w:space="0" w:color="auto"/>
            </w:tcBorders>
            <w:shd w:val="clear" w:color="auto" w:fill="auto"/>
            <w:noWrap/>
            <w:vAlign w:val="center"/>
            <w:hideMark/>
          </w:tcPr>
          <w:p w14:paraId="5B22BC1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195</w:t>
            </w:r>
          </w:p>
        </w:tc>
        <w:tc>
          <w:tcPr>
            <w:tcW w:w="1597" w:type="dxa"/>
            <w:tcBorders>
              <w:top w:val="nil"/>
              <w:left w:val="nil"/>
              <w:bottom w:val="single" w:sz="4" w:space="0" w:color="auto"/>
              <w:right w:val="single" w:sz="4" w:space="0" w:color="auto"/>
            </w:tcBorders>
            <w:shd w:val="clear" w:color="auto" w:fill="auto"/>
            <w:noWrap/>
            <w:vAlign w:val="center"/>
            <w:hideMark/>
          </w:tcPr>
          <w:p w14:paraId="5E96D38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207</w:t>
            </w:r>
          </w:p>
        </w:tc>
        <w:tc>
          <w:tcPr>
            <w:tcW w:w="1598" w:type="dxa"/>
            <w:tcBorders>
              <w:top w:val="nil"/>
              <w:left w:val="nil"/>
              <w:bottom w:val="single" w:sz="4" w:space="0" w:color="auto"/>
              <w:right w:val="single" w:sz="4" w:space="0" w:color="auto"/>
            </w:tcBorders>
            <w:shd w:val="clear" w:color="auto" w:fill="auto"/>
            <w:noWrap/>
            <w:vAlign w:val="center"/>
            <w:hideMark/>
          </w:tcPr>
          <w:p w14:paraId="5B3E2169" w14:textId="77777777" w:rsidR="00DE347C" w:rsidRPr="00EE0850" w:rsidRDefault="00DE347C" w:rsidP="000C6220">
            <w:pPr>
              <w:spacing w:after="0" w:line="240" w:lineRule="auto"/>
              <w:jc w:val="right"/>
              <w:rPr>
                <w:szCs w:val="22"/>
                <w:lang w:eastAsia="en-CA"/>
              </w:rPr>
            </w:pPr>
            <w:r w:rsidRPr="00EE0850">
              <w:rPr>
                <w:szCs w:val="22"/>
                <w:lang w:eastAsia="en-CA"/>
              </w:rPr>
              <w:t>402</w:t>
            </w:r>
          </w:p>
        </w:tc>
      </w:tr>
      <w:tr w:rsidR="00DE347C" w:rsidRPr="00EE0850" w14:paraId="09AAED9E"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353652B" w14:textId="77777777" w:rsidR="00DE347C" w:rsidRPr="00EE0850" w:rsidRDefault="00DE347C" w:rsidP="000C6220">
            <w:pPr>
              <w:spacing w:after="0" w:line="240" w:lineRule="auto"/>
              <w:rPr>
                <w:szCs w:val="22"/>
                <w:lang w:eastAsia="en-CA"/>
              </w:rPr>
            </w:pPr>
            <w:r w:rsidRPr="00EE0850">
              <w:rPr>
                <w:szCs w:val="22"/>
                <w:lang w:eastAsia="en-CA"/>
              </w:rPr>
              <w:t>Cote d’Ivoire</w:t>
            </w:r>
          </w:p>
        </w:tc>
        <w:tc>
          <w:tcPr>
            <w:tcW w:w="1597" w:type="dxa"/>
            <w:tcBorders>
              <w:top w:val="nil"/>
              <w:left w:val="nil"/>
              <w:bottom w:val="single" w:sz="4" w:space="0" w:color="auto"/>
              <w:right w:val="single" w:sz="4" w:space="0" w:color="auto"/>
            </w:tcBorders>
            <w:shd w:val="clear" w:color="auto" w:fill="auto"/>
            <w:noWrap/>
            <w:vAlign w:val="center"/>
            <w:hideMark/>
          </w:tcPr>
          <w:p w14:paraId="415CF9C3" w14:textId="77777777" w:rsidR="00DE347C" w:rsidRPr="00EE0850" w:rsidRDefault="00DE347C" w:rsidP="000C6220">
            <w:pPr>
              <w:spacing w:after="0" w:line="240" w:lineRule="auto"/>
              <w:jc w:val="right"/>
              <w:rPr>
                <w:szCs w:val="22"/>
                <w:lang w:eastAsia="en-CA"/>
              </w:rPr>
            </w:pPr>
            <w:r w:rsidRPr="00EE0850">
              <w:rPr>
                <w:szCs w:val="22"/>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26E69132" w14:textId="77777777" w:rsidR="00DE347C" w:rsidRPr="00EE0850" w:rsidRDefault="00DE347C" w:rsidP="000C6220">
            <w:pPr>
              <w:spacing w:after="0" w:line="240" w:lineRule="auto"/>
              <w:jc w:val="right"/>
              <w:rPr>
                <w:szCs w:val="22"/>
                <w:lang w:eastAsia="en-CA"/>
              </w:rPr>
            </w:pPr>
            <w:r w:rsidRPr="00EE0850">
              <w:rPr>
                <w:szCs w:val="22"/>
                <w:lang w:eastAsia="en-CA"/>
              </w:rPr>
              <w:t>0.017</w:t>
            </w:r>
          </w:p>
        </w:tc>
        <w:tc>
          <w:tcPr>
            <w:tcW w:w="1597" w:type="dxa"/>
            <w:tcBorders>
              <w:top w:val="nil"/>
              <w:left w:val="nil"/>
              <w:bottom w:val="single" w:sz="4" w:space="0" w:color="auto"/>
              <w:right w:val="single" w:sz="4" w:space="0" w:color="auto"/>
            </w:tcBorders>
            <w:shd w:val="clear" w:color="auto" w:fill="auto"/>
            <w:noWrap/>
            <w:vAlign w:val="center"/>
            <w:hideMark/>
          </w:tcPr>
          <w:p w14:paraId="765CFF7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293</w:t>
            </w:r>
          </w:p>
        </w:tc>
        <w:tc>
          <w:tcPr>
            <w:tcW w:w="1597" w:type="dxa"/>
            <w:tcBorders>
              <w:top w:val="nil"/>
              <w:left w:val="nil"/>
              <w:bottom w:val="single" w:sz="4" w:space="0" w:color="auto"/>
              <w:right w:val="single" w:sz="4" w:space="0" w:color="auto"/>
            </w:tcBorders>
            <w:shd w:val="clear" w:color="auto" w:fill="auto"/>
            <w:noWrap/>
            <w:vAlign w:val="center"/>
            <w:hideMark/>
          </w:tcPr>
          <w:p w14:paraId="68C1129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311</w:t>
            </w:r>
          </w:p>
        </w:tc>
        <w:tc>
          <w:tcPr>
            <w:tcW w:w="1598" w:type="dxa"/>
            <w:tcBorders>
              <w:top w:val="nil"/>
              <w:left w:val="nil"/>
              <w:bottom w:val="single" w:sz="4" w:space="0" w:color="auto"/>
              <w:right w:val="single" w:sz="4" w:space="0" w:color="auto"/>
            </w:tcBorders>
            <w:shd w:val="clear" w:color="auto" w:fill="auto"/>
            <w:noWrap/>
            <w:vAlign w:val="center"/>
            <w:hideMark/>
          </w:tcPr>
          <w:p w14:paraId="51F39BC0" w14:textId="77777777" w:rsidR="00DE347C" w:rsidRPr="00EE0850" w:rsidRDefault="00DE347C" w:rsidP="000C6220">
            <w:pPr>
              <w:spacing w:after="0" w:line="240" w:lineRule="auto"/>
              <w:jc w:val="right"/>
              <w:rPr>
                <w:szCs w:val="22"/>
                <w:lang w:eastAsia="en-CA"/>
              </w:rPr>
            </w:pPr>
            <w:r w:rsidRPr="00EE0850">
              <w:rPr>
                <w:szCs w:val="22"/>
                <w:lang w:eastAsia="en-CA"/>
              </w:rPr>
              <w:t>603</w:t>
            </w:r>
          </w:p>
        </w:tc>
      </w:tr>
      <w:tr w:rsidR="00DE347C" w:rsidRPr="00EE0850" w14:paraId="1296E10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D6A8A35" w14:textId="77777777" w:rsidR="00DE347C" w:rsidRPr="00EE0850" w:rsidRDefault="00DE347C" w:rsidP="000C6220">
            <w:pPr>
              <w:spacing w:after="0" w:line="240" w:lineRule="auto"/>
              <w:rPr>
                <w:szCs w:val="22"/>
                <w:lang w:eastAsia="en-CA"/>
              </w:rPr>
            </w:pPr>
            <w:r w:rsidRPr="00EE0850">
              <w:rPr>
                <w:szCs w:val="22"/>
                <w:lang w:eastAsia="en-CA"/>
              </w:rPr>
              <w:t>Croatia</w:t>
            </w:r>
          </w:p>
        </w:tc>
        <w:tc>
          <w:tcPr>
            <w:tcW w:w="1597" w:type="dxa"/>
            <w:tcBorders>
              <w:top w:val="nil"/>
              <w:left w:val="nil"/>
              <w:bottom w:val="single" w:sz="4" w:space="0" w:color="auto"/>
              <w:right w:val="single" w:sz="4" w:space="0" w:color="auto"/>
            </w:tcBorders>
            <w:shd w:val="clear" w:color="auto" w:fill="auto"/>
            <w:noWrap/>
            <w:vAlign w:val="center"/>
            <w:hideMark/>
          </w:tcPr>
          <w:p w14:paraId="7B44FBDA" w14:textId="77777777" w:rsidR="00DE347C" w:rsidRPr="00EE0850" w:rsidRDefault="00DE347C" w:rsidP="000C6220">
            <w:pPr>
              <w:spacing w:after="0" w:line="240" w:lineRule="auto"/>
              <w:jc w:val="right"/>
              <w:rPr>
                <w:szCs w:val="22"/>
                <w:lang w:eastAsia="en-CA"/>
              </w:rPr>
            </w:pPr>
            <w:r w:rsidRPr="00EE0850">
              <w:rPr>
                <w:szCs w:val="22"/>
                <w:lang w:eastAsia="en-CA"/>
              </w:rPr>
              <w:t>0.099</w:t>
            </w:r>
          </w:p>
        </w:tc>
        <w:tc>
          <w:tcPr>
            <w:tcW w:w="1597" w:type="dxa"/>
            <w:tcBorders>
              <w:top w:val="nil"/>
              <w:left w:val="nil"/>
              <w:bottom w:val="single" w:sz="4" w:space="0" w:color="auto"/>
              <w:right w:val="single" w:sz="4" w:space="0" w:color="auto"/>
            </w:tcBorders>
            <w:shd w:val="clear" w:color="auto" w:fill="auto"/>
            <w:noWrap/>
            <w:vAlign w:val="center"/>
            <w:hideMark/>
          </w:tcPr>
          <w:p w14:paraId="207EC9EA" w14:textId="77777777" w:rsidR="00DE347C" w:rsidRPr="00EE0850" w:rsidRDefault="00DE347C" w:rsidP="000C6220">
            <w:pPr>
              <w:spacing w:after="0" w:line="240" w:lineRule="auto"/>
              <w:jc w:val="right"/>
              <w:rPr>
                <w:szCs w:val="22"/>
                <w:lang w:eastAsia="en-CA"/>
              </w:rPr>
            </w:pPr>
            <w:r w:rsidRPr="00EE0850">
              <w:rPr>
                <w:szCs w:val="22"/>
                <w:lang w:eastAsia="en-CA"/>
              </w:rPr>
              <w:t>0.183</w:t>
            </w:r>
          </w:p>
        </w:tc>
        <w:tc>
          <w:tcPr>
            <w:tcW w:w="1597" w:type="dxa"/>
            <w:tcBorders>
              <w:top w:val="nil"/>
              <w:left w:val="nil"/>
              <w:bottom w:val="single" w:sz="4" w:space="0" w:color="auto"/>
              <w:right w:val="single" w:sz="4" w:space="0" w:color="auto"/>
            </w:tcBorders>
            <w:shd w:val="clear" w:color="auto" w:fill="auto"/>
            <w:noWrap/>
            <w:vAlign w:val="center"/>
            <w:hideMark/>
          </w:tcPr>
          <w:p w14:paraId="3B14E94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3 221</w:t>
            </w:r>
          </w:p>
        </w:tc>
        <w:tc>
          <w:tcPr>
            <w:tcW w:w="1597" w:type="dxa"/>
            <w:tcBorders>
              <w:top w:val="nil"/>
              <w:left w:val="nil"/>
              <w:bottom w:val="single" w:sz="4" w:space="0" w:color="auto"/>
              <w:right w:val="single" w:sz="4" w:space="0" w:color="auto"/>
            </w:tcBorders>
            <w:shd w:val="clear" w:color="auto" w:fill="auto"/>
            <w:noWrap/>
            <w:vAlign w:val="center"/>
            <w:hideMark/>
          </w:tcPr>
          <w:p w14:paraId="2C4534E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3 416</w:t>
            </w:r>
          </w:p>
        </w:tc>
        <w:tc>
          <w:tcPr>
            <w:tcW w:w="1598" w:type="dxa"/>
            <w:tcBorders>
              <w:top w:val="nil"/>
              <w:left w:val="nil"/>
              <w:bottom w:val="single" w:sz="4" w:space="0" w:color="auto"/>
              <w:right w:val="single" w:sz="4" w:space="0" w:color="auto"/>
            </w:tcBorders>
            <w:shd w:val="clear" w:color="auto" w:fill="auto"/>
            <w:noWrap/>
            <w:vAlign w:val="center"/>
            <w:hideMark/>
          </w:tcPr>
          <w:p w14:paraId="760AACDF" w14:textId="77777777" w:rsidR="00DE347C" w:rsidRPr="00EE0850" w:rsidRDefault="00DE347C" w:rsidP="000C6220">
            <w:pPr>
              <w:spacing w:after="0" w:line="240" w:lineRule="auto"/>
              <w:jc w:val="right"/>
              <w:rPr>
                <w:szCs w:val="22"/>
                <w:lang w:eastAsia="en-CA"/>
              </w:rPr>
            </w:pPr>
            <w:r w:rsidRPr="00EE0850">
              <w:rPr>
                <w:szCs w:val="22"/>
                <w:lang w:eastAsia="en-CA"/>
              </w:rPr>
              <w:t>6 637</w:t>
            </w:r>
          </w:p>
        </w:tc>
      </w:tr>
      <w:tr w:rsidR="00DE347C" w:rsidRPr="00EE0850" w14:paraId="06160D4E"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1426563" w14:textId="77777777" w:rsidR="00DE347C" w:rsidRPr="00EE0850" w:rsidRDefault="00DE347C" w:rsidP="000C6220">
            <w:pPr>
              <w:spacing w:after="0" w:line="240" w:lineRule="auto"/>
              <w:rPr>
                <w:szCs w:val="22"/>
                <w:lang w:eastAsia="en-CA"/>
              </w:rPr>
            </w:pPr>
            <w:r w:rsidRPr="00EE0850">
              <w:rPr>
                <w:szCs w:val="22"/>
                <w:lang w:eastAsia="en-CA"/>
              </w:rPr>
              <w:t>Cuba</w:t>
            </w:r>
          </w:p>
        </w:tc>
        <w:tc>
          <w:tcPr>
            <w:tcW w:w="1597" w:type="dxa"/>
            <w:tcBorders>
              <w:top w:val="nil"/>
              <w:left w:val="nil"/>
              <w:bottom w:val="single" w:sz="4" w:space="0" w:color="auto"/>
              <w:right w:val="single" w:sz="4" w:space="0" w:color="auto"/>
            </w:tcBorders>
            <w:shd w:val="clear" w:color="auto" w:fill="auto"/>
            <w:noWrap/>
            <w:vAlign w:val="center"/>
            <w:hideMark/>
          </w:tcPr>
          <w:p w14:paraId="2B385D22" w14:textId="77777777" w:rsidR="00DE347C" w:rsidRPr="00EE0850" w:rsidRDefault="00DE347C" w:rsidP="000C6220">
            <w:pPr>
              <w:spacing w:after="0" w:line="240" w:lineRule="auto"/>
              <w:jc w:val="right"/>
              <w:rPr>
                <w:szCs w:val="22"/>
                <w:lang w:eastAsia="en-CA"/>
              </w:rPr>
            </w:pPr>
            <w:r w:rsidRPr="00EE0850">
              <w:rPr>
                <w:szCs w:val="22"/>
                <w:lang w:eastAsia="en-CA"/>
              </w:rPr>
              <w:t>0.065</w:t>
            </w:r>
          </w:p>
        </w:tc>
        <w:tc>
          <w:tcPr>
            <w:tcW w:w="1597" w:type="dxa"/>
            <w:tcBorders>
              <w:top w:val="nil"/>
              <w:left w:val="nil"/>
              <w:bottom w:val="single" w:sz="4" w:space="0" w:color="auto"/>
              <w:right w:val="single" w:sz="4" w:space="0" w:color="auto"/>
            </w:tcBorders>
            <w:shd w:val="clear" w:color="auto" w:fill="auto"/>
            <w:noWrap/>
            <w:vAlign w:val="center"/>
            <w:hideMark/>
          </w:tcPr>
          <w:p w14:paraId="2C59B6D9" w14:textId="77777777" w:rsidR="00DE347C" w:rsidRPr="00EE0850" w:rsidRDefault="00DE347C" w:rsidP="000C6220">
            <w:pPr>
              <w:spacing w:after="0" w:line="240" w:lineRule="auto"/>
              <w:jc w:val="right"/>
              <w:rPr>
                <w:szCs w:val="22"/>
                <w:lang w:eastAsia="en-CA"/>
              </w:rPr>
            </w:pPr>
            <w:r w:rsidRPr="00EE0850">
              <w:rPr>
                <w:szCs w:val="22"/>
                <w:lang w:eastAsia="en-CA"/>
              </w:rPr>
              <w:t>0.120</w:t>
            </w:r>
          </w:p>
        </w:tc>
        <w:tc>
          <w:tcPr>
            <w:tcW w:w="1597" w:type="dxa"/>
            <w:tcBorders>
              <w:top w:val="nil"/>
              <w:left w:val="nil"/>
              <w:bottom w:val="single" w:sz="4" w:space="0" w:color="auto"/>
              <w:right w:val="single" w:sz="4" w:space="0" w:color="auto"/>
            </w:tcBorders>
            <w:shd w:val="clear" w:color="auto" w:fill="auto"/>
            <w:noWrap/>
            <w:vAlign w:val="center"/>
            <w:hideMark/>
          </w:tcPr>
          <w:p w14:paraId="08C85FF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2 115</w:t>
            </w:r>
          </w:p>
        </w:tc>
        <w:tc>
          <w:tcPr>
            <w:tcW w:w="1597" w:type="dxa"/>
            <w:tcBorders>
              <w:top w:val="nil"/>
              <w:left w:val="nil"/>
              <w:bottom w:val="single" w:sz="4" w:space="0" w:color="auto"/>
              <w:right w:val="single" w:sz="4" w:space="0" w:color="auto"/>
            </w:tcBorders>
            <w:shd w:val="clear" w:color="auto" w:fill="auto"/>
            <w:noWrap/>
            <w:vAlign w:val="center"/>
            <w:hideMark/>
          </w:tcPr>
          <w:p w14:paraId="0A16B5B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2 243</w:t>
            </w:r>
          </w:p>
        </w:tc>
        <w:tc>
          <w:tcPr>
            <w:tcW w:w="1598" w:type="dxa"/>
            <w:tcBorders>
              <w:top w:val="nil"/>
              <w:left w:val="nil"/>
              <w:bottom w:val="single" w:sz="4" w:space="0" w:color="auto"/>
              <w:right w:val="single" w:sz="4" w:space="0" w:color="auto"/>
            </w:tcBorders>
            <w:shd w:val="clear" w:color="auto" w:fill="auto"/>
            <w:noWrap/>
            <w:vAlign w:val="center"/>
            <w:hideMark/>
          </w:tcPr>
          <w:p w14:paraId="2444FFCC" w14:textId="77777777" w:rsidR="00DE347C" w:rsidRPr="00EE0850" w:rsidRDefault="00DE347C" w:rsidP="000C6220">
            <w:pPr>
              <w:spacing w:after="0" w:line="240" w:lineRule="auto"/>
              <w:jc w:val="right"/>
              <w:rPr>
                <w:szCs w:val="22"/>
                <w:lang w:eastAsia="en-CA"/>
              </w:rPr>
            </w:pPr>
            <w:r w:rsidRPr="00EE0850">
              <w:rPr>
                <w:szCs w:val="22"/>
                <w:lang w:eastAsia="en-CA"/>
              </w:rPr>
              <w:t>4 358</w:t>
            </w:r>
          </w:p>
        </w:tc>
      </w:tr>
      <w:tr w:rsidR="00DE347C" w:rsidRPr="00EE0850" w14:paraId="19838809"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70914CC" w14:textId="77777777" w:rsidR="00DE347C" w:rsidRPr="00EE0850" w:rsidRDefault="00DE347C" w:rsidP="000C6220">
            <w:pPr>
              <w:spacing w:after="0" w:line="240" w:lineRule="auto"/>
              <w:rPr>
                <w:szCs w:val="22"/>
                <w:lang w:eastAsia="en-CA"/>
              </w:rPr>
            </w:pPr>
            <w:r w:rsidRPr="00EE0850">
              <w:rPr>
                <w:szCs w:val="22"/>
                <w:lang w:eastAsia="en-CA"/>
              </w:rPr>
              <w:t>Czechia</w:t>
            </w:r>
          </w:p>
        </w:tc>
        <w:tc>
          <w:tcPr>
            <w:tcW w:w="1597" w:type="dxa"/>
            <w:tcBorders>
              <w:top w:val="nil"/>
              <w:left w:val="nil"/>
              <w:bottom w:val="single" w:sz="4" w:space="0" w:color="auto"/>
              <w:right w:val="single" w:sz="4" w:space="0" w:color="auto"/>
            </w:tcBorders>
            <w:shd w:val="clear" w:color="auto" w:fill="auto"/>
            <w:noWrap/>
            <w:vAlign w:val="center"/>
            <w:hideMark/>
          </w:tcPr>
          <w:p w14:paraId="526F9712" w14:textId="77777777" w:rsidR="00DE347C" w:rsidRPr="00EE0850" w:rsidRDefault="00DE347C" w:rsidP="000C6220">
            <w:pPr>
              <w:spacing w:after="0" w:line="240" w:lineRule="auto"/>
              <w:jc w:val="right"/>
              <w:rPr>
                <w:szCs w:val="22"/>
                <w:lang w:eastAsia="en-CA"/>
              </w:rPr>
            </w:pPr>
            <w:r w:rsidRPr="00EE0850">
              <w:rPr>
                <w:szCs w:val="22"/>
                <w:lang w:eastAsia="en-CA"/>
              </w:rPr>
              <w:t>0.344</w:t>
            </w:r>
          </w:p>
        </w:tc>
        <w:tc>
          <w:tcPr>
            <w:tcW w:w="1597" w:type="dxa"/>
            <w:tcBorders>
              <w:top w:val="nil"/>
              <w:left w:val="nil"/>
              <w:bottom w:val="single" w:sz="4" w:space="0" w:color="auto"/>
              <w:right w:val="single" w:sz="4" w:space="0" w:color="auto"/>
            </w:tcBorders>
            <w:shd w:val="clear" w:color="auto" w:fill="auto"/>
            <w:noWrap/>
            <w:vAlign w:val="center"/>
            <w:hideMark/>
          </w:tcPr>
          <w:p w14:paraId="1E0379E3" w14:textId="77777777" w:rsidR="00DE347C" w:rsidRPr="00EE0850" w:rsidRDefault="00DE347C" w:rsidP="000C6220">
            <w:pPr>
              <w:spacing w:after="0" w:line="240" w:lineRule="auto"/>
              <w:jc w:val="right"/>
              <w:rPr>
                <w:szCs w:val="22"/>
                <w:lang w:eastAsia="en-CA"/>
              </w:rPr>
            </w:pPr>
            <w:r w:rsidRPr="00EE0850">
              <w:rPr>
                <w:szCs w:val="22"/>
                <w:lang w:eastAsia="en-CA"/>
              </w:rPr>
              <w:t>0.636</w:t>
            </w:r>
          </w:p>
        </w:tc>
        <w:tc>
          <w:tcPr>
            <w:tcW w:w="1597" w:type="dxa"/>
            <w:tcBorders>
              <w:top w:val="nil"/>
              <w:left w:val="nil"/>
              <w:bottom w:val="single" w:sz="4" w:space="0" w:color="auto"/>
              <w:right w:val="single" w:sz="4" w:space="0" w:color="auto"/>
            </w:tcBorders>
            <w:shd w:val="clear" w:color="auto" w:fill="auto"/>
            <w:noWrap/>
            <w:vAlign w:val="center"/>
            <w:hideMark/>
          </w:tcPr>
          <w:p w14:paraId="0667C5F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11 193</w:t>
            </w:r>
          </w:p>
        </w:tc>
        <w:tc>
          <w:tcPr>
            <w:tcW w:w="1597" w:type="dxa"/>
            <w:tcBorders>
              <w:top w:val="nil"/>
              <w:left w:val="nil"/>
              <w:bottom w:val="single" w:sz="4" w:space="0" w:color="auto"/>
              <w:right w:val="single" w:sz="4" w:space="0" w:color="auto"/>
            </w:tcBorders>
            <w:shd w:val="clear" w:color="auto" w:fill="auto"/>
            <w:noWrap/>
            <w:vAlign w:val="center"/>
            <w:hideMark/>
          </w:tcPr>
          <w:p w14:paraId="56228007"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11 869</w:t>
            </w:r>
          </w:p>
        </w:tc>
        <w:tc>
          <w:tcPr>
            <w:tcW w:w="1598" w:type="dxa"/>
            <w:tcBorders>
              <w:top w:val="nil"/>
              <w:left w:val="nil"/>
              <w:bottom w:val="single" w:sz="4" w:space="0" w:color="auto"/>
              <w:right w:val="single" w:sz="4" w:space="0" w:color="auto"/>
            </w:tcBorders>
            <w:shd w:val="clear" w:color="auto" w:fill="auto"/>
            <w:noWrap/>
            <w:vAlign w:val="center"/>
            <w:hideMark/>
          </w:tcPr>
          <w:p w14:paraId="04966A95" w14:textId="77777777" w:rsidR="00DE347C" w:rsidRPr="00EE0850" w:rsidRDefault="00DE347C" w:rsidP="000C6220">
            <w:pPr>
              <w:spacing w:after="0" w:line="240" w:lineRule="auto"/>
              <w:jc w:val="right"/>
              <w:rPr>
                <w:szCs w:val="22"/>
                <w:lang w:eastAsia="en-CA"/>
              </w:rPr>
            </w:pPr>
            <w:r w:rsidRPr="00EE0850">
              <w:rPr>
                <w:szCs w:val="22"/>
                <w:lang w:eastAsia="en-CA"/>
              </w:rPr>
              <w:t>23 062</w:t>
            </w:r>
          </w:p>
        </w:tc>
      </w:tr>
      <w:tr w:rsidR="00DE347C" w:rsidRPr="00EE0850" w14:paraId="04DA9509"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60673B2" w14:textId="77777777" w:rsidR="00DE347C" w:rsidRPr="00EE0850" w:rsidRDefault="00DE347C" w:rsidP="000C6220">
            <w:pPr>
              <w:spacing w:after="0" w:line="240" w:lineRule="auto"/>
              <w:rPr>
                <w:szCs w:val="22"/>
                <w:lang w:eastAsia="en-CA"/>
              </w:rPr>
            </w:pPr>
            <w:r w:rsidRPr="00EE0850">
              <w:rPr>
                <w:szCs w:val="22"/>
                <w:lang w:eastAsia="en-CA"/>
              </w:rPr>
              <w:t>Democratic Republic of the Congo</w:t>
            </w:r>
          </w:p>
        </w:tc>
        <w:tc>
          <w:tcPr>
            <w:tcW w:w="1597" w:type="dxa"/>
            <w:tcBorders>
              <w:top w:val="nil"/>
              <w:left w:val="nil"/>
              <w:bottom w:val="single" w:sz="4" w:space="0" w:color="auto"/>
              <w:right w:val="single" w:sz="4" w:space="0" w:color="auto"/>
            </w:tcBorders>
            <w:shd w:val="clear" w:color="auto" w:fill="auto"/>
            <w:noWrap/>
            <w:vAlign w:val="center"/>
            <w:hideMark/>
          </w:tcPr>
          <w:p w14:paraId="209156DF" w14:textId="77777777" w:rsidR="00DE347C" w:rsidRPr="00EE0850" w:rsidRDefault="00DE347C" w:rsidP="000C6220">
            <w:pPr>
              <w:spacing w:after="0" w:line="240" w:lineRule="auto"/>
              <w:jc w:val="right"/>
              <w:rPr>
                <w:szCs w:val="22"/>
                <w:lang w:eastAsia="en-CA"/>
              </w:rPr>
            </w:pPr>
            <w:r w:rsidRPr="00EE0850">
              <w:rPr>
                <w:szCs w:val="22"/>
                <w:lang w:eastAsia="en-CA"/>
              </w:rPr>
              <w:t>0.008</w:t>
            </w:r>
          </w:p>
        </w:tc>
        <w:tc>
          <w:tcPr>
            <w:tcW w:w="1597" w:type="dxa"/>
            <w:tcBorders>
              <w:top w:val="nil"/>
              <w:left w:val="nil"/>
              <w:bottom w:val="single" w:sz="4" w:space="0" w:color="auto"/>
              <w:right w:val="single" w:sz="4" w:space="0" w:color="auto"/>
            </w:tcBorders>
            <w:shd w:val="clear" w:color="auto" w:fill="auto"/>
            <w:noWrap/>
            <w:vAlign w:val="center"/>
            <w:hideMark/>
          </w:tcPr>
          <w:p w14:paraId="02BE6F60"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5EC3587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0726B07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724CBC24" w14:textId="77777777" w:rsidR="00DE347C" w:rsidRPr="00EE0850" w:rsidRDefault="00DE347C" w:rsidP="000C6220">
            <w:pPr>
              <w:spacing w:after="0" w:line="240" w:lineRule="auto"/>
              <w:jc w:val="right"/>
              <w:rPr>
                <w:szCs w:val="22"/>
                <w:lang w:eastAsia="en-CA"/>
              </w:rPr>
            </w:pPr>
            <w:r w:rsidRPr="00EE0850">
              <w:rPr>
                <w:szCs w:val="22"/>
                <w:lang w:eastAsia="en-CA"/>
              </w:rPr>
              <w:t>363</w:t>
            </w:r>
          </w:p>
        </w:tc>
      </w:tr>
      <w:tr w:rsidR="00DE347C" w:rsidRPr="00EE0850" w14:paraId="54A9C89C"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09439BC" w14:textId="77777777" w:rsidR="00DE347C" w:rsidRPr="00EE0850" w:rsidRDefault="00DE347C" w:rsidP="000C6220">
            <w:pPr>
              <w:spacing w:after="0" w:line="240" w:lineRule="auto"/>
              <w:rPr>
                <w:szCs w:val="22"/>
                <w:lang w:eastAsia="en-CA"/>
              </w:rPr>
            </w:pPr>
            <w:r w:rsidRPr="00EE0850">
              <w:rPr>
                <w:szCs w:val="22"/>
                <w:lang w:eastAsia="en-CA"/>
              </w:rPr>
              <w:t>Denmark</w:t>
            </w:r>
          </w:p>
        </w:tc>
        <w:tc>
          <w:tcPr>
            <w:tcW w:w="1597" w:type="dxa"/>
            <w:tcBorders>
              <w:top w:val="nil"/>
              <w:left w:val="nil"/>
              <w:bottom w:val="single" w:sz="4" w:space="0" w:color="auto"/>
              <w:right w:val="single" w:sz="4" w:space="0" w:color="auto"/>
            </w:tcBorders>
            <w:shd w:val="clear" w:color="auto" w:fill="auto"/>
            <w:noWrap/>
            <w:vAlign w:val="center"/>
            <w:hideMark/>
          </w:tcPr>
          <w:p w14:paraId="6177B55D" w14:textId="77777777" w:rsidR="00DE347C" w:rsidRPr="00EE0850" w:rsidRDefault="00DE347C" w:rsidP="000C6220">
            <w:pPr>
              <w:spacing w:after="0" w:line="240" w:lineRule="auto"/>
              <w:jc w:val="right"/>
              <w:rPr>
                <w:szCs w:val="22"/>
                <w:lang w:eastAsia="en-CA"/>
              </w:rPr>
            </w:pPr>
            <w:r w:rsidRPr="00EE0850">
              <w:rPr>
                <w:szCs w:val="22"/>
                <w:lang w:eastAsia="en-CA"/>
              </w:rPr>
              <w:t>0.584</w:t>
            </w:r>
          </w:p>
        </w:tc>
        <w:tc>
          <w:tcPr>
            <w:tcW w:w="1597" w:type="dxa"/>
            <w:tcBorders>
              <w:top w:val="nil"/>
              <w:left w:val="nil"/>
              <w:bottom w:val="single" w:sz="4" w:space="0" w:color="auto"/>
              <w:right w:val="single" w:sz="4" w:space="0" w:color="auto"/>
            </w:tcBorders>
            <w:shd w:val="clear" w:color="auto" w:fill="auto"/>
            <w:noWrap/>
            <w:vAlign w:val="center"/>
            <w:hideMark/>
          </w:tcPr>
          <w:p w14:paraId="4875A958" w14:textId="77777777" w:rsidR="00DE347C" w:rsidRPr="00EE0850" w:rsidRDefault="00DE347C" w:rsidP="000C6220">
            <w:pPr>
              <w:spacing w:after="0" w:line="240" w:lineRule="auto"/>
              <w:jc w:val="right"/>
              <w:rPr>
                <w:szCs w:val="22"/>
                <w:lang w:eastAsia="en-CA"/>
              </w:rPr>
            </w:pPr>
            <w:r w:rsidRPr="00EE0850">
              <w:rPr>
                <w:szCs w:val="22"/>
                <w:lang w:eastAsia="en-CA"/>
              </w:rPr>
              <w:t>1.079</w:t>
            </w:r>
          </w:p>
        </w:tc>
        <w:tc>
          <w:tcPr>
            <w:tcW w:w="1597" w:type="dxa"/>
            <w:tcBorders>
              <w:top w:val="nil"/>
              <w:left w:val="nil"/>
              <w:bottom w:val="single" w:sz="4" w:space="0" w:color="auto"/>
              <w:right w:val="single" w:sz="4" w:space="0" w:color="auto"/>
            </w:tcBorders>
            <w:shd w:val="clear" w:color="auto" w:fill="auto"/>
            <w:noWrap/>
            <w:vAlign w:val="center"/>
            <w:hideMark/>
          </w:tcPr>
          <w:p w14:paraId="64EE78C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19 002</w:t>
            </w:r>
          </w:p>
        </w:tc>
        <w:tc>
          <w:tcPr>
            <w:tcW w:w="1597" w:type="dxa"/>
            <w:tcBorders>
              <w:top w:val="nil"/>
              <w:left w:val="nil"/>
              <w:bottom w:val="single" w:sz="4" w:space="0" w:color="auto"/>
              <w:right w:val="single" w:sz="4" w:space="0" w:color="auto"/>
            </w:tcBorders>
            <w:shd w:val="clear" w:color="auto" w:fill="auto"/>
            <w:noWrap/>
            <w:vAlign w:val="center"/>
            <w:hideMark/>
          </w:tcPr>
          <w:p w14:paraId="2B9C1BAC"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20 150</w:t>
            </w:r>
          </w:p>
        </w:tc>
        <w:tc>
          <w:tcPr>
            <w:tcW w:w="1598" w:type="dxa"/>
            <w:tcBorders>
              <w:top w:val="nil"/>
              <w:left w:val="nil"/>
              <w:bottom w:val="single" w:sz="4" w:space="0" w:color="auto"/>
              <w:right w:val="single" w:sz="4" w:space="0" w:color="auto"/>
            </w:tcBorders>
            <w:shd w:val="clear" w:color="auto" w:fill="auto"/>
            <w:noWrap/>
            <w:vAlign w:val="center"/>
            <w:hideMark/>
          </w:tcPr>
          <w:p w14:paraId="1EDE63DD" w14:textId="77777777" w:rsidR="00DE347C" w:rsidRPr="00EE0850" w:rsidRDefault="00DE347C" w:rsidP="000C6220">
            <w:pPr>
              <w:spacing w:after="0" w:line="240" w:lineRule="auto"/>
              <w:jc w:val="right"/>
              <w:rPr>
                <w:szCs w:val="22"/>
                <w:lang w:eastAsia="en-CA"/>
              </w:rPr>
            </w:pPr>
            <w:r w:rsidRPr="00EE0850">
              <w:rPr>
                <w:szCs w:val="22"/>
                <w:lang w:eastAsia="en-CA"/>
              </w:rPr>
              <w:t>39 151</w:t>
            </w:r>
          </w:p>
        </w:tc>
      </w:tr>
      <w:tr w:rsidR="00DE347C" w:rsidRPr="00EE0850" w14:paraId="3732788E"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081F2C6" w14:textId="77777777" w:rsidR="00DE347C" w:rsidRPr="00EE0850" w:rsidRDefault="00DE347C" w:rsidP="000C6220">
            <w:pPr>
              <w:spacing w:after="0" w:line="240" w:lineRule="auto"/>
              <w:rPr>
                <w:szCs w:val="22"/>
                <w:lang w:eastAsia="en-CA"/>
              </w:rPr>
            </w:pPr>
            <w:r w:rsidRPr="00EE0850">
              <w:rPr>
                <w:szCs w:val="22"/>
                <w:lang w:eastAsia="en-CA"/>
              </w:rPr>
              <w:t>Djibouti</w:t>
            </w:r>
          </w:p>
        </w:tc>
        <w:tc>
          <w:tcPr>
            <w:tcW w:w="1597" w:type="dxa"/>
            <w:tcBorders>
              <w:top w:val="nil"/>
              <w:left w:val="nil"/>
              <w:bottom w:val="single" w:sz="4" w:space="0" w:color="auto"/>
              <w:right w:val="single" w:sz="4" w:space="0" w:color="auto"/>
            </w:tcBorders>
            <w:shd w:val="clear" w:color="auto" w:fill="auto"/>
            <w:noWrap/>
            <w:vAlign w:val="center"/>
            <w:hideMark/>
          </w:tcPr>
          <w:p w14:paraId="644B5132"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3876DF01"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4355FC2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4B77FB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1EAB92FB"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4DFA4896"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647C378" w14:textId="77777777" w:rsidR="00DE347C" w:rsidRPr="00EE0850" w:rsidRDefault="00DE347C" w:rsidP="000C6220">
            <w:pPr>
              <w:spacing w:after="0" w:line="240" w:lineRule="auto"/>
              <w:rPr>
                <w:szCs w:val="22"/>
                <w:lang w:eastAsia="en-CA"/>
              </w:rPr>
            </w:pPr>
            <w:r w:rsidRPr="00EE0850">
              <w:rPr>
                <w:szCs w:val="22"/>
                <w:lang w:eastAsia="en-CA"/>
              </w:rPr>
              <w:t>Dominican Republic</w:t>
            </w:r>
          </w:p>
        </w:tc>
        <w:tc>
          <w:tcPr>
            <w:tcW w:w="1597" w:type="dxa"/>
            <w:tcBorders>
              <w:top w:val="nil"/>
              <w:left w:val="nil"/>
              <w:bottom w:val="single" w:sz="4" w:space="0" w:color="auto"/>
              <w:right w:val="single" w:sz="4" w:space="0" w:color="auto"/>
            </w:tcBorders>
            <w:shd w:val="clear" w:color="auto" w:fill="auto"/>
            <w:noWrap/>
            <w:vAlign w:val="center"/>
            <w:hideMark/>
          </w:tcPr>
          <w:p w14:paraId="2A228AF1" w14:textId="77777777" w:rsidR="00DE347C" w:rsidRPr="00EE0850" w:rsidRDefault="00DE347C" w:rsidP="000C6220">
            <w:pPr>
              <w:spacing w:after="0" w:line="240" w:lineRule="auto"/>
              <w:jc w:val="right"/>
              <w:rPr>
                <w:szCs w:val="22"/>
                <w:lang w:eastAsia="en-CA"/>
              </w:rPr>
            </w:pPr>
            <w:r w:rsidRPr="00EE0850">
              <w:rPr>
                <w:szCs w:val="22"/>
                <w:lang w:eastAsia="en-CA"/>
              </w:rPr>
              <w:t>0.046</w:t>
            </w:r>
          </w:p>
        </w:tc>
        <w:tc>
          <w:tcPr>
            <w:tcW w:w="1597" w:type="dxa"/>
            <w:tcBorders>
              <w:top w:val="nil"/>
              <w:left w:val="nil"/>
              <w:bottom w:val="single" w:sz="4" w:space="0" w:color="auto"/>
              <w:right w:val="single" w:sz="4" w:space="0" w:color="auto"/>
            </w:tcBorders>
            <w:shd w:val="clear" w:color="auto" w:fill="auto"/>
            <w:noWrap/>
            <w:vAlign w:val="center"/>
            <w:hideMark/>
          </w:tcPr>
          <w:p w14:paraId="0A3909CF" w14:textId="77777777" w:rsidR="00DE347C" w:rsidRPr="00EE0850" w:rsidRDefault="00DE347C" w:rsidP="000C6220">
            <w:pPr>
              <w:spacing w:after="0" w:line="240" w:lineRule="auto"/>
              <w:jc w:val="right"/>
              <w:rPr>
                <w:szCs w:val="22"/>
                <w:lang w:eastAsia="en-CA"/>
              </w:rPr>
            </w:pPr>
            <w:r w:rsidRPr="00EE0850">
              <w:rPr>
                <w:szCs w:val="22"/>
                <w:lang w:eastAsia="en-CA"/>
              </w:rPr>
              <w:t>0.085</w:t>
            </w:r>
          </w:p>
        </w:tc>
        <w:tc>
          <w:tcPr>
            <w:tcW w:w="1597" w:type="dxa"/>
            <w:tcBorders>
              <w:top w:val="nil"/>
              <w:left w:val="nil"/>
              <w:bottom w:val="single" w:sz="4" w:space="0" w:color="auto"/>
              <w:right w:val="single" w:sz="4" w:space="0" w:color="auto"/>
            </w:tcBorders>
            <w:shd w:val="clear" w:color="auto" w:fill="auto"/>
            <w:noWrap/>
            <w:vAlign w:val="center"/>
            <w:hideMark/>
          </w:tcPr>
          <w:p w14:paraId="4939FDE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1 497</w:t>
            </w:r>
          </w:p>
        </w:tc>
        <w:tc>
          <w:tcPr>
            <w:tcW w:w="1597" w:type="dxa"/>
            <w:tcBorders>
              <w:top w:val="nil"/>
              <w:left w:val="nil"/>
              <w:bottom w:val="single" w:sz="4" w:space="0" w:color="auto"/>
              <w:right w:val="single" w:sz="4" w:space="0" w:color="auto"/>
            </w:tcBorders>
            <w:shd w:val="clear" w:color="auto" w:fill="auto"/>
            <w:noWrap/>
            <w:vAlign w:val="center"/>
            <w:hideMark/>
          </w:tcPr>
          <w:p w14:paraId="50CE472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1 587</w:t>
            </w:r>
          </w:p>
        </w:tc>
        <w:tc>
          <w:tcPr>
            <w:tcW w:w="1598" w:type="dxa"/>
            <w:tcBorders>
              <w:top w:val="nil"/>
              <w:left w:val="nil"/>
              <w:bottom w:val="single" w:sz="4" w:space="0" w:color="auto"/>
              <w:right w:val="single" w:sz="4" w:space="0" w:color="auto"/>
            </w:tcBorders>
            <w:shd w:val="clear" w:color="auto" w:fill="auto"/>
            <w:noWrap/>
            <w:vAlign w:val="center"/>
            <w:hideMark/>
          </w:tcPr>
          <w:p w14:paraId="148BB061" w14:textId="77777777" w:rsidR="00DE347C" w:rsidRPr="00EE0850" w:rsidRDefault="00DE347C" w:rsidP="000C6220">
            <w:pPr>
              <w:spacing w:after="0" w:line="240" w:lineRule="auto"/>
              <w:jc w:val="right"/>
              <w:rPr>
                <w:szCs w:val="22"/>
                <w:lang w:eastAsia="en-CA"/>
              </w:rPr>
            </w:pPr>
            <w:r w:rsidRPr="00EE0850">
              <w:rPr>
                <w:szCs w:val="22"/>
                <w:lang w:eastAsia="en-CA"/>
              </w:rPr>
              <w:t>3 084</w:t>
            </w:r>
          </w:p>
        </w:tc>
      </w:tr>
      <w:tr w:rsidR="00DE347C" w:rsidRPr="00EE0850" w14:paraId="308998D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5BF8A0C" w14:textId="77777777" w:rsidR="00DE347C" w:rsidRPr="00EE0850" w:rsidRDefault="00DE347C" w:rsidP="000C6220">
            <w:pPr>
              <w:spacing w:after="0" w:line="240" w:lineRule="auto"/>
              <w:rPr>
                <w:szCs w:val="22"/>
                <w:lang w:eastAsia="en-CA"/>
              </w:rPr>
            </w:pPr>
            <w:r w:rsidRPr="00EE0850">
              <w:rPr>
                <w:szCs w:val="22"/>
                <w:lang w:eastAsia="en-CA"/>
              </w:rPr>
              <w:t>Ecuador</w:t>
            </w:r>
          </w:p>
        </w:tc>
        <w:tc>
          <w:tcPr>
            <w:tcW w:w="1597" w:type="dxa"/>
            <w:tcBorders>
              <w:top w:val="nil"/>
              <w:left w:val="nil"/>
              <w:bottom w:val="single" w:sz="4" w:space="0" w:color="auto"/>
              <w:right w:val="single" w:sz="4" w:space="0" w:color="auto"/>
            </w:tcBorders>
            <w:shd w:val="clear" w:color="auto" w:fill="auto"/>
            <w:noWrap/>
            <w:vAlign w:val="center"/>
            <w:hideMark/>
          </w:tcPr>
          <w:p w14:paraId="701FA2E2" w14:textId="77777777" w:rsidR="00DE347C" w:rsidRPr="00EE0850" w:rsidRDefault="00DE347C" w:rsidP="000C6220">
            <w:pPr>
              <w:spacing w:after="0" w:line="240" w:lineRule="auto"/>
              <w:jc w:val="right"/>
              <w:rPr>
                <w:szCs w:val="22"/>
                <w:lang w:eastAsia="en-CA"/>
              </w:rPr>
            </w:pPr>
            <w:r w:rsidRPr="00EE0850">
              <w:rPr>
                <w:szCs w:val="22"/>
                <w:lang w:eastAsia="en-CA"/>
              </w:rPr>
              <w:t>0.067</w:t>
            </w:r>
          </w:p>
        </w:tc>
        <w:tc>
          <w:tcPr>
            <w:tcW w:w="1597" w:type="dxa"/>
            <w:tcBorders>
              <w:top w:val="nil"/>
              <w:left w:val="nil"/>
              <w:bottom w:val="single" w:sz="4" w:space="0" w:color="auto"/>
              <w:right w:val="single" w:sz="4" w:space="0" w:color="auto"/>
            </w:tcBorders>
            <w:shd w:val="clear" w:color="auto" w:fill="auto"/>
            <w:noWrap/>
            <w:vAlign w:val="center"/>
            <w:hideMark/>
          </w:tcPr>
          <w:p w14:paraId="08B89E9B" w14:textId="77777777" w:rsidR="00DE347C" w:rsidRPr="00EE0850" w:rsidRDefault="00DE347C" w:rsidP="000C6220">
            <w:pPr>
              <w:spacing w:after="0" w:line="240" w:lineRule="auto"/>
              <w:jc w:val="right"/>
              <w:rPr>
                <w:szCs w:val="22"/>
                <w:lang w:eastAsia="en-CA"/>
              </w:rPr>
            </w:pPr>
            <w:r w:rsidRPr="00EE0850">
              <w:rPr>
                <w:szCs w:val="22"/>
                <w:lang w:eastAsia="en-CA"/>
              </w:rPr>
              <w:t>0.124</w:t>
            </w:r>
          </w:p>
        </w:tc>
        <w:tc>
          <w:tcPr>
            <w:tcW w:w="1597" w:type="dxa"/>
            <w:tcBorders>
              <w:top w:val="nil"/>
              <w:left w:val="nil"/>
              <w:bottom w:val="single" w:sz="4" w:space="0" w:color="auto"/>
              <w:right w:val="single" w:sz="4" w:space="0" w:color="auto"/>
            </w:tcBorders>
            <w:shd w:val="clear" w:color="auto" w:fill="auto"/>
            <w:noWrap/>
            <w:vAlign w:val="center"/>
            <w:hideMark/>
          </w:tcPr>
          <w:p w14:paraId="2DA9665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2 180</w:t>
            </w:r>
          </w:p>
        </w:tc>
        <w:tc>
          <w:tcPr>
            <w:tcW w:w="1597" w:type="dxa"/>
            <w:tcBorders>
              <w:top w:val="nil"/>
              <w:left w:val="nil"/>
              <w:bottom w:val="single" w:sz="4" w:space="0" w:color="auto"/>
              <w:right w:val="single" w:sz="4" w:space="0" w:color="auto"/>
            </w:tcBorders>
            <w:shd w:val="clear" w:color="auto" w:fill="auto"/>
            <w:noWrap/>
            <w:vAlign w:val="center"/>
            <w:hideMark/>
          </w:tcPr>
          <w:p w14:paraId="56C8F79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2 312</w:t>
            </w:r>
          </w:p>
        </w:tc>
        <w:tc>
          <w:tcPr>
            <w:tcW w:w="1598" w:type="dxa"/>
            <w:tcBorders>
              <w:top w:val="nil"/>
              <w:left w:val="nil"/>
              <w:bottom w:val="single" w:sz="4" w:space="0" w:color="auto"/>
              <w:right w:val="single" w:sz="4" w:space="0" w:color="auto"/>
            </w:tcBorders>
            <w:shd w:val="clear" w:color="auto" w:fill="auto"/>
            <w:noWrap/>
            <w:vAlign w:val="center"/>
            <w:hideMark/>
          </w:tcPr>
          <w:p w14:paraId="76D04F92" w14:textId="77777777" w:rsidR="00DE347C" w:rsidRPr="00EE0850" w:rsidRDefault="00DE347C" w:rsidP="000C6220">
            <w:pPr>
              <w:spacing w:after="0" w:line="240" w:lineRule="auto"/>
              <w:jc w:val="right"/>
              <w:rPr>
                <w:szCs w:val="22"/>
                <w:lang w:eastAsia="en-CA"/>
              </w:rPr>
            </w:pPr>
            <w:r w:rsidRPr="00EE0850">
              <w:rPr>
                <w:szCs w:val="22"/>
                <w:lang w:eastAsia="en-CA"/>
              </w:rPr>
              <w:t>4 492</w:t>
            </w:r>
          </w:p>
        </w:tc>
      </w:tr>
      <w:tr w:rsidR="00DE347C" w:rsidRPr="00EE0850" w14:paraId="39B4ACCD"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9B8384F" w14:textId="77777777" w:rsidR="00DE347C" w:rsidRPr="00EE0850" w:rsidRDefault="00DE347C" w:rsidP="000C6220">
            <w:pPr>
              <w:spacing w:after="0" w:line="240" w:lineRule="auto"/>
              <w:rPr>
                <w:szCs w:val="22"/>
                <w:lang w:eastAsia="en-CA"/>
              </w:rPr>
            </w:pPr>
            <w:r w:rsidRPr="00EE0850">
              <w:rPr>
                <w:szCs w:val="22"/>
                <w:lang w:eastAsia="en-CA"/>
              </w:rPr>
              <w:t>Egypt</w:t>
            </w:r>
          </w:p>
        </w:tc>
        <w:tc>
          <w:tcPr>
            <w:tcW w:w="1597" w:type="dxa"/>
            <w:tcBorders>
              <w:top w:val="nil"/>
              <w:left w:val="nil"/>
              <w:bottom w:val="single" w:sz="4" w:space="0" w:color="auto"/>
              <w:right w:val="single" w:sz="4" w:space="0" w:color="auto"/>
            </w:tcBorders>
            <w:shd w:val="clear" w:color="auto" w:fill="auto"/>
            <w:noWrap/>
            <w:vAlign w:val="center"/>
            <w:hideMark/>
          </w:tcPr>
          <w:p w14:paraId="1B54F2E3" w14:textId="77777777" w:rsidR="00DE347C" w:rsidRPr="00EE0850" w:rsidRDefault="00DE347C" w:rsidP="000C6220">
            <w:pPr>
              <w:spacing w:after="0" w:line="240" w:lineRule="auto"/>
              <w:jc w:val="right"/>
              <w:rPr>
                <w:szCs w:val="22"/>
                <w:lang w:eastAsia="en-CA"/>
              </w:rPr>
            </w:pPr>
            <w:r w:rsidRPr="00EE0850">
              <w:rPr>
                <w:szCs w:val="22"/>
                <w:lang w:eastAsia="en-CA"/>
              </w:rPr>
              <w:t>0.152</w:t>
            </w:r>
          </w:p>
        </w:tc>
        <w:tc>
          <w:tcPr>
            <w:tcW w:w="1597" w:type="dxa"/>
            <w:tcBorders>
              <w:top w:val="nil"/>
              <w:left w:val="nil"/>
              <w:bottom w:val="single" w:sz="4" w:space="0" w:color="auto"/>
              <w:right w:val="single" w:sz="4" w:space="0" w:color="auto"/>
            </w:tcBorders>
            <w:shd w:val="clear" w:color="auto" w:fill="auto"/>
            <w:noWrap/>
            <w:vAlign w:val="center"/>
            <w:hideMark/>
          </w:tcPr>
          <w:p w14:paraId="24F6AD2F" w14:textId="77777777" w:rsidR="00DE347C" w:rsidRPr="00EE0850" w:rsidRDefault="00DE347C" w:rsidP="000C6220">
            <w:pPr>
              <w:spacing w:after="0" w:line="240" w:lineRule="auto"/>
              <w:jc w:val="right"/>
              <w:rPr>
                <w:szCs w:val="22"/>
                <w:lang w:eastAsia="en-CA"/>
              </w:rPr>
            </w:pPr>
            <w:r w:rsidRPr="00EE0850">
              <w:rPr>
                <w:szCs w:val="22"/>
                <w:lang w:eastAsia="en-CA"/>
              </w:rPr>
              <w:t>0.281</w:t>
            </w:r>
          </w:p>
        </w:tc>
        <w:tc>
          <w:tcPr>
            <w:tcW w:w="1597" w:type="dxa"/>
            <w:tcBorders>
              <w:top w:val="nil"/>
              <w:left w:val="nil"/>
              <w:bottom w:val="single" w:sz="4" w:space="0" w:color="auto"/>
              <w:right w:val="single" w:sz="4" w:space="0" w:color="auto"/>
            </w:tcBorders>
            <w:shd w:val="clear" w:color="auto" w:fill="auto"/>
            <w:noWrap/>
            <w:vAlign w:val="center"/>
            <w:hideMark/>
          </w:tcPr>
          <w:p w14:paraId="265E98D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4 946</w:t>
            </w:r>
          </w:p>
        </w:tc>
        <w:tc>
          <w:tcPr>
            <w:tcW w:w="1597" w:type="dxa"/>
            <w:tcBorders>
              <w:top w:val="nil"/>
              <w:left w:val="nil"/>
              <w:bottom w:val="single" w:sz="4" w:space="0" w:color="auto"/>
              <w:right w:val="single" w:sz="4" w:space="0" w:color="auto"/>
            </w:tcBorders>
            <w:shd w:val="clear" w:color="auto" w:fill="auto"/>
            <w:noWrap/>
            <w:vAlign w:val="center"/>
            <w:hideMark/>
          </w:tcPr>
          <w:p w14:paraId="1619ABB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5 244</w:t>
            </w:r>
          </w:p>
        </w:tc>
        <w:tc>
          <w:tcPr>
            <w:tcW w:w="1598" w:type="dxa"/>
            <w:tcBorders>
              <w:top w:val="nil"/>
              <w:left w:val="nil"/>
              <w:bottom w:val="single" w:sz="4" w:space="0" w:color="auto"/>
              <w:right w:val="single" w:sz="4" w:space="0" w:color="auto"/>
            </w:tcBorders>
            <w:shd w:val="clear" w:color="auto" w:fill="auto"/>
            <w:noWrap/>
            <w:vAlign w:val="center"/>
            <w:hideMark/>
          </w:tcPr>
          <w:p w14:paraId="71DCABB8" w14:textId="77777777" w:rsidR="00DE347C" w:rsidRPr="00EE0850" w:rsidRDefault="00DE347C" w:rsidP="000C6220">
            <w:pPr>
              <w:spacing w:after="0" w:line="240" w:lineRule="auto"/>
              <w:jc w:val="right"/>
              <w:rPr>
                <w:szCs w:val="22"/>
                <w:lang w:eastAsia="en-CA"/>
              </w:rPr>
            </w:pPr>
            <w:r w:rsidRPr="00EE0850">
              <w:rPr>
                <w:szCs w:val="22"/>
                <w:lang w:eastAsia="en-CA"/>
              </w:rPr>
              <w:t>10 190</w:t>
            </w:r>
          </w:p>
        </w:tc>
      </w:tr>
      <w:tr w:rsidR="00DE347C" w:rsidRPr="00EE0850" w14:paraId="3112AE06"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3561128" w14:textId="77777777" w:rsidR="00DE347C" w:rsidRPr="00EE0850" w:rsidRDefault="00DE347C" w:rsidP="000C6220">
            <w:pPr>
              <w:spacing w:after="0" w:line="240" w:lineRule="auto"/>
              <w:rPr>
                <w:szCs w:val="22"/>
                <w:lang w:eastAsia="en-CA"/>
              </w:rPr>
            </w:pPr>
            <w:proofErr w:type="spellStart"/>
            <w:r w:rsidRPr="00EE0850">
              <w:rPr>
                <w:szCs w:val="22"/>
                <w:lang w:eastAsia="en-CA"/>
              </w:rPr>
              <w:t>Eswatini</w:t>
            </w:r>
            <w:proofErr w:type="spellEnd"/>
          </w:p>
        </w:tc>
        <w:tc>
          <w:tcPr>
            <w:tcW w:w="1597" w:type="dxa"/>
            <w:tcBorders>
              <w:top w:val="nil"/>
              <w:left w:val="nil"/>
              <w:bottom w:val="single" w:sz="4" w:space="0" w:color="auto"/>
              <w:right w:val="single" w:sz="4" w:space="0" w:color="auto"/>
            </w:tcBorders>
            <w:shd w:val="clear" w:color="auto" w:fill="auto"/>
            <w:noWrap/>
            <w:vAlign w:val="center"/>
            <w:hideMark/>
          </w:tcPr>
          <w:p w14:paraId="77DD1FD1"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91A9187"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0B4DEAF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473B05F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3E612D46" w14:textId="77777777" w:rsidR="00DE347C" w:rsidRPr="00EE0850" w:rsidRDefault="00DE347C" w:rsidP="000C6220">
            <w:pPr>
              <w:spacing w:after="0" w:line="240" w:lineRule="auto"/>
              <w:jc w:val="right"/>
              <w:rPr>
                <w:szCs w:val="22"/>
                <w:lang w:eastAsia="en-CA"/>
              </w:rPr>
            </w:pPr>
            <w:r w:rsidRPr="00EE0850">
              <w:rPr>
                <w:szCs w:val="22"/>
                <w:lang w:eastAsia="en-CA"/>
              </w:rPr>
              <w:t>134</w:t>
            </w:r>
          </w:p>
        </w:tc>
      </w:tr>
      <w:tr w:rsidR="00DE347C" w:rsidRPr="00EE0850" w14:paraId="0887AA6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4AADC9E" w14:textId="77777777" w:rsidR="00DE347C" w:rsidRPr="00EE0850" w:rsidRDefault="00DE347C" w:rsidP="000C6220">
            <w:pPr>
              <w:spacing w:after="0" w:line="240" w:lineRule="auto"/>
              <w:rPr>
                <w:szCs w:val="22"/>
                <w:lang w:eastAsia="en-CA"/>
              </w:rPr>
            </w:pPr>
            <w:r w:rsidRPr="00EE0850">
              <w:rPr>
                <w:szCs w:val="22"/>
                <w:lang w:eastAsia="en-CA"/>
              </w:rPr>
              <w:t>Ethiopia</w:t>
            </w:r>
          </w:p>
        </w:tc>
        <w:tc>
          <w:tcPr>
            <w:tcW w:w="1597" w:type="dxa"/>
            <w:tcBorders>
              <w:top w:val="nil"/>
              <w:left w:val="nil"/>
              <w:bottom w:val="single" w:sz="4" w:space="0" w:color="auto"/>
              <w:right w:val="single" w:sz="4" w:space="0" w:color="auto"/>
            </w:tcBorders>
            <w:shd w:val="clear" w:color="auto" w:fill="auto"/>
            <w:noWrap/>
            <w:vAlign w:val="center"/>
            <w:hideMark/>
          </w:tcPr>
          <w:p w14:paraId="19DE7B55"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072E2EDE"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11C8BCF7"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5D05F9B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4948CA5A" w14:textId="77777777" w:rsidR="00DE347C" w:rsidRPr="00EE0850" w:rsidRDefault="00DE347C" w:rsidP="000C6220">
            <w:pPr>
              <w:spacing w:after="0" w:line="240" w:lineRule="auto"/>
              <w:jc w:val="right"/>
              <w:rPr>
                <w:szCs w:val="22"/>
                <w:lang w:eastAsia="en-CA"/>
              </w:rPr>
            </w:pPr>
            <w:r w:rsidRPr="00EE0850">
              <w:rPr>
                <w:szCs w:val="22"/>
                <w:lang w:eastAsia="en-CA"/>
              </w:rPr>
              <w:t>363</w:t>
            </w:r>
          </w:p>
        </w:tc>
      </w:tr>
      <w:tr w:rsidR="00DE347C" w:rsidRPr="00EE0850" w14:paraId="39F4CD0D"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79FE9E2" w14:textId="77777777" w:rsidR="00DE347C" w:rsidRPr="00EE0850" w:rsidRDefault="00DE347C" w:rsidP="000C6220">
            <w:pPr>
              <w:spacing w:after="0" w:line="240" w:lineRule="auto"/>
              <w:rPr>
                <w:szCs w:val="22"/>
                <w:lang w:eastAsia="en-CA"/>
              </w:rPr>
            </w:pPr>
            <w:r w:rsidRPr="00EE0850">
              <w:rPr>
                <w:szCs w:val="22"/>
                <w:lang w:eastAsia="en-CA"/>
              </w:rPr>
              <w:t>European Union</w:t>
            </w:r>
          </w:p>
        </w:tc>
        <w:tc>
          <w:tcPr>
            <w:tcW w:w="1597" w:type="dxa"/>
            <w:tcBorders>
              <w:top w:val="nil"/>
              <w:left w:val="nil"/>
              <w:bottom w:val="single" w:sz="4" w:space="0" w:color="auto"/>
              <w:right w:val="single" w:sz="4" w:space="0" w:color="auto"/>
            </w:tcBorders>
            <w:shd w:val="clear" w:color="auto" w:fill="auto"/>
            <w:noWrap/>
            <w:vAlign w:val="center"/>
            <w:hideMark/>
          </w:tcPr>
          <w:p w14:paraId="2CDC681B" w14:textId="77777777" w:rsidR="00DE347C" w:rsidRPr="00EE0850" w:rsidRDefault="00DE347C" w:rsidP="000C6220">
            <w:pPr>
              <w:spacing w:after="0" w:line="240" w:lineRule="auto"/>
              <w:jc w:val="right"/>
              <w:rPr>
                <w:szCs w:val="22"/>
                <w:lang w:eastAsia="en-CA"/>
              </w:rPr>
            </w:pPr>
            <w:r w:rsidRPr="00EE0850">
              <w:rPr>
                <w:szCs w:val="22"/>
                <w:lang w:eastAsia="en-CA"/>
              </w:rPr>
              <w:t>0.000</w:t>
            </w:r>
          </w:p>
        </w:tc>
        <w:tc>
          <w:tcPr>
            <w:tcW w:w="1597" w:type="dxa"/>
            <w:tcBorders>
              <w:top w:val="nil"/>
              <w:left w:val="nil"/>
              <w:bottom w:val="single" w:sz="4" w:space="0" w:color="auto"/>
              <w:right w:val="single" w:sz="4" w:space="0" w:color="auto"/>
            </w:tcBorders>
            <w:shd w:val="clear" w:color="auto" w:fill="auto"/>
            <w:noWrap/>
            <w:vAlign w:val="center"/>
            <w:hideMark/>
          </w:tcPr>
          <w:p w14:paraId="1E92A7F5" w14:textId="77777777" w:rsidR="00DE347C" w:rsidRPr="00EE0850" w:rsidRDefault="00DE347C" w:rsidP="000C6220">
            <w:pPr>
              <w:spacing w:after="0" w:line="240" w:lineRule="auto"/>
              <w:jc w:val="right"/>
              <w:rPr>
                <w:szCs w:val="22"/>
                <w:lang w:eastAsia="en-CA"/>
              </w:rPr>
            </w:pPr>
            <w:r w:rsidRPr="00EE0850">
              <w:rPr>
                <w:szCs w:val="22"/>
                <w:lang w:eastAsia="en-CA"/>
              </w:rPr>
              <w:t>2.500</w:t>
            </w:r>
          </w:p>
        </w:tc>
        <w:tc>
          <w:tcPr>
            <w:tcW w:w="1597" w:type="dxa"/>
            <w:tcBorders>
              <w:top w:val="nil"/>
              <w:left w:val="nil"/>
              <w:bottom w:val="single" w:sz="4" w:space="0" w:color="auto"/>
              <w:right w:val="single" w:sz="4" w:space="0" w:color="auto"/>
            </w:tcBorders>
            <w:shd w:val="clear" w:color="auto" w:fill="auto"/>
            <w:noWrap/>
            <w:vAlign w:val="center"/>
            <w:hideMark/>
          </w:tcPr>
          <w:p w14:paraId="7B4214C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44 024</w:t>
            </w:r>
          </w:p>
        </w:tc>
        <w:tc>
          <w:tcPr>
            <w:tcW w:w="1597" w:type="dxa"/>
            <w:tcBorders>
              <w:top w:val="nil"/>
              <w:left w:val="nil"/>
              <w:bottom w:val="single" w:sz="4" w:space="0" w:color="auto"/>
              <w:right w:val="single" w:sz="4" w:space="0" w:color="auto"/>
            </w:tcBorders>
            <w:shd w:val="clear" w:color="auto" w:fill="auto"/>
            <w:noWrap/>
            <w:vAlign w:val="center"/>
            <w:hideMark/>
          </w:tcPr>
          <w:p w14:paraId="3125028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46 683</w:t>
            </w:r>
          </w:p>
        </w:tc>
        <w:tc>
          <w:tcPr>
            <w:tcW w:w="1598" w:type="dxa"/>
            <w:tcBorders>
              <w:top w:val="nil"/>
              <w:left w:val="nil"/>
              <w:bottom w:val="single" w:sz="4" w:space="0" w:color="auto"/>
              <w:right w:val="single" w:sz="4" w:space="0" w:color="auto"/>
            </w:tcBorders>
            <w:shd w:val="clear" w:color="auto" w:fill="auto"/>
            <w:noWrap/>
            <w:vAlign w:val="center"/>
            <w:hideMark/>
          </w:tcPr>
          <w:p w14:paraId="73DE8081" w14:textId="77777777" w:rsidR="00DE347C" w:rsidRPr="00EE0850" w:rsidRDefault="00DE347C" w:rsidP="000C6220">
            <w:pPr>
              <w:spacing w:after="0" w:line="240" w:lineRule="auto"/>
              <w:jc w:val="right"/>
              <w:rPr>
                <w:szCs w:val="22"/>
                <w:lang w:eastAsia="en-CA"/>
              </w:rPr>
            </w:pPr>
            <w:r w:rsidRPr="00EE0850">
              <w:rPr>
                <w:szCs w:val="22"/>
                <w:lang w:eastAsia="en-CA"/>
              </w:rPr>
              <w:t>90 708</w:t>
            </w:r>
          </w:p>
        </w:tc>
      </w:tr>
      <w:tr w:rsidR="00DE347C" w:rsidRPr="00EE0850" w14:paraId="17FD2EA4"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F6B2CAF" w14:textId="77777777" w:rsidR="00DE347C" w:rsidRPr="00EE0850" w:rsidRDefault="00DE347C" w:rsidP="000C6220">
            <w:pPr>
              <w:spacing w:after="0" w:line="240" w:lineRule="auto"/>
              <w:rPr>
                <w:szCs w:val="22"/>
                <w:lang w:eastAsia="en-CA"/>
              </w:rPr>
            </w:pPr>
            <w:r w:rsidRPr="00EE0850">
              <w:rPr>
                <w:szCs w:val="22"/>
                <w:lang w:eastAsia="en-CA"/>
              </w:rPr>
              <w:t>Fiji</w:t>
            </w:r>
          </w:p>
        </w:tc>
        <w:tc>
          <w:tcPr>
            <w:tcW w:w="1597" w:type="dxa"/>
            <w:tcBorders>
              <w:top w:val="nil"/>
              <w:left w:val="nil"/>
              <w:bottom w:val="single" w:sz="4" w:space="0" w:color="auto"/>
              <w:right w:val="single" w:sz="4" w:space="0" w:color="auto"/>
            </w:tcBorders>
            <w:shd w:val="clear" w:color="auto" w:fill="auto"/>
            <w:noWrap/>
            <w:vAlign w:val="center"/>
            <w:hideMark/>
          </w:tcPr>
          <w:p w14:paraId="4D9E21EC" w14:textId="77777777" w:rsidR="00DE347C" w:rsidRPr="00EE0850" w:rsidRDefault="00DE347C" w:rsidP="000C6220">
            <w:pPr>
              <w:spacing w:after="0" w:line="240" w:lineRule="auto"/>
              <w:jc w:val="right"/>
              <w:rPr>
                <w:szCs w:val="22"/>
                <w:lang w:eastAsia="en-CA"/>
              </w:rPr>
            </w:pPr>
            <w:r w:rsidRPr="00EE0850">
              <w:rPr>
                <w:szCs w:val="22"/>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46882763" w14:textId="77777777" w:rsidR="00DE347C" w:rsidRPr="00EE0850" w:rsidRDefault="00DE347C" w:rsidP="000C6220">
            <w:pPr>
              <w:spacing w:after="0" w:line="240" w:lineRule="auto"/>
              <w:jc w:val="right"/>
              <w:rPr>
                <w:szCs w:val="22"/>
                <w:lang w:eastAsia="en-CA"/>
              </w:rPr>
            </w:pPr>
            <w:r w:rsidRPr="00EE0850">
              <w:rPr>
                <w:szCs w:val="22"/>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705BD3D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0DDA8E8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149AF6DD" w14:textId="77777777" w:rsidR="00DE347C" w:rsidRPr="00EE0850" w:rsidRDefault="00DE347C" w:rsidP="000C6220">
            <w:pPr>
              <w:spacing w:after="0" w:line="240" w:lineRule="auto"/>
              <w:jc w:val="right"/>
              <w:rPr>
                <w:szCs w:val="22"/>
                <w:lang w:eastAsia="en-CA"/>
              </w:rPr>
            </w:pPr>
            <w:r w:rsidRPr="00EE0850">
              <w:rPr>
                <w:szCs w:val="22"/>
                <w:lang w:eastAsia="en-CA"/>
              </w:rPr>
              <w:t>201</w:t>
            </w:r>
          </w:p>
        </w:tc>
      </w:tr>
      <w:tr w:rsidR="00DE347C" w:rsidRPr="00EE0850" w14:paraId="2A07238F"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6F2FF73" w14:textId="77777777" w:rsidR="00DE347C" w:rsidRPr="00EE0850" w:rsidRDefault="00DE347C" w:rsidP="000C6220">
            <w:pPr>
              <w:spacing w:after="0" w:line="240" w:lineRule="auto"/>
              <w:rPr>
                <w:szCs w:val="22"/>
                <w:lang w:eastAsia="en-CA"/>
              </w:rPr>
            </w:pPr>
            <w:r w:rsidRPr="00EE0850">
              <w:rPr>
                <w:szCs w:val="22"/>
                <w:lang w:eastAsia="en-CA"/>
              </w:rPr>
              <w:t>Finland</w:t>
            </w:r>
          </w:p>
        </w:tc>
        <w:tc>
          <w:tcPr>
            <w:tcW w:w="1597" w:type="dxa"/>
            <w:tcBorders>
              <w:top w:val="nil"/>
              <w:left w:val="nil"/>
              <w:bottom w:val="single" w:sz="4" w:space="0" w:color="auto"/>
              <w:right w:val="single" w:sz="4" w:space="0" w:color="auto"/>
            </w:tcBorders>
            <w:shd w:val="clear" w:color="auto" w:fill="auto"/>
            <w:noWrap/>
            <w:vAlign w:val="center"/>
            <w:hideMark/>
          </w:tcPr>
          <w:p w14:paraId="133ECF9F" w14:textId="77777777" w:rsidR="00DE347C" w:rsidRPr="00EE0850" w:rsidRDefault="00DE347C" w:rsidP="000C6220">
            <w:pPr>
              <w:spacing w:after="0" w:line="240" w:lineRule="auto"/>
              <w:jc w:val="right"/>
              <w:rPr>
                <w:szCs w:val="22"/>
                <w:lang w:eastAsia="en-CA"/>
              </w:rPr>
            </w:pPr>
            <w:r w:rsidRPr="00EE0850">
              <w:rPr>
                <w:szCs w:val="22"/>
                <w:lang w:eastAsia="en-CA"/>
              </w:rPr>
              <w:t>0.456</w:t>
            </w:r>
          </w:p>
        </w:tc>
        <w:tc>
          <w:tcPr>
            <w:tcW w:w="1597" w:type="dxa"/>
            <w:tcBorders>
              <w:top w:val="nil"/>
              <w:left w:val="nil"/>
              <w:bottom w:val="single" w:sz="4" w:space="0" w:color="auto"/>
              <w:right w:val="single" w:sz="4" w:space="0" w:color="auto"/>
            </w:tcBorders>
            <w:shd w:val="clear" w:color="auto" w:fill="auto"/>
            <w:noWrap/>
            <w:vAlign w:val="center"/>
            <w:hideMark/>
          </w:tcPr>
          <w:p w14:paraId="6BAFCF5D" w14:textId="77777777" w:rsidR="00DE347C" w:rsidRPr="00EE0850" w:rsidRDefault="00DE347C" w:rsidP="000C6220">
            <w:pPr>
              <w:spacing w:after="0" w:line="240" w:lineRule="auto"/>
              <w:jc w:val="right"/>
              <w:rPr>
                <w:szCs w:val="22"/>
                <w:lang w:eastAsia="en-CA"/>
              </w:rPr>
            </w:pPr>
            <w:r w:rsidRPr="00EE0850">
              <w:rPr>
                <w:szCs w:val="22"/>
                <w:lang w:eastAsia="en-CA"/>
              </w:rPr>
              <w:t>0.843</w:t>
            </w:r>
          </w:p>
        </w:tc>
        <w:tc>
          <w:tcPr>
            <w:tcW w:w="1597" w:type="dxa"/>
            <w:tcBorders>
              <w:top w:val="nil"/>
              <w:left w:val="nil"/>
              <w:bottom w:val="single" w:sz="4" w:space="0" w:color="auto"/>
              <w:right w:val="single" w:sz="4" w:space="0" w:color="auto"/>
            </w:tcBorders>
            <w:shd w:val="clear" w:color="auto" w:fill="auto"/>
            <w:noWrap/>
            <w:vAlign w:val="center"/>
            <w:hideMark/>
          </w:tcPr>
          <w:p w14:paraId="52B3235C"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14 837</w:t>
            </w:r>
          </w:p>
        </w:tc>
        <w:tc>
          <w:tcPr>
            <w:tcW w:w="1597" w:type="dxa"/>
            <w:tcBorders>
              <w:top w:val="nil"/>
              <w:left w:val="nil"/>
              <w:bottom w:val="single" w:sz="4" w:space="0" w:color="auto"/>
              <w:right w:val="single" w:sz="4" w:space="0" w:color="auto"/>
            </w:tcBorders>
            <w:shd w:val="clear" w:color="auto" w:fill="auto"/>
            <w:noWrap/>
            <w:vAlign w:val="center"/>
            <w:hideMark/>
          </w:tcPr>
          <w:p w14:paraId="3D6074F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15 733</w:t>
            </w:r>
          </w:p>
        </w:tc>
        <w:tc>
          <w:tcPr>
            <w:tcW w:w="1598" w:type="dxa"/>
            <w:tcBorders>
              <w:top w:val="nil"/>
              <w:left w:val="nil"/>
              <w:bottom w:val="single" w:sz="4" w:space="0" w:color="auto"/>
              <w:right w:val="single" w:sz="4" w:space="0" w:color="auto"/>
            </w:tcBorders>
            <w:shd w:val="clear" w:color="auto" w:fill="auto"/>
            <w:noWrap/>
            <w:vAlign w:val="center"/>
            <w:hideMark/>
          </w:tcPr>
          <w:p w14:paraId="3872DFF9" w14:textId="77777777" w:rsidR="00DE347C" w:rsidRPr="00EE0850" w:rsidRDefault="00DE347C" w:rsidP="000C6220">
            <w:pPr>
              <w:spacing w:after="0" w:line="240" w:lineRule="auto"/>
              <w:jc w:val="right"/>
              <w:rPr>
                <w:szCs w:val="22"/>
                <w:lang w:eastAsia="en-CA"/>
              </w:rPr>
            </w:pPr>
            <w:r w:rsidRPr="00EE0850">
              <w:rPr>
                <w:szCs w:val="22"/>
                <w:lang w:eastAsia="en-CA"/>
              </w:rPr>
              <w:t>30 570</w:t>
            </w:r>
          </w:p>
        </w:tc>
      </w:tr>
      <w:tr w:rsidR="00DE347C" w:rsidRPr="00EE0850" w14:paraId="1AB933CA"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EEBDF17" w14:textId="77777777" w:rsidR="00DE347C" w:rsidRPr="00EE0850" w:rsidRDefault="00DE347C" w:rsidP="000C6220">
            <w:pPr>
              <w:spacing w:after="0" w:line="240" w:lineRule="auto"/>
              <w:rPr>
                <w:szCs w:val="22"/>
                <w:lang w:eastAsia="en-CA"/>
              </w:rPr>
            </w:pPr>
            <w:r w:rsidRPr="00EE0850">
              <w:rPr>
                <w:szCs w:val="22"/>
                <w:lang w:eastAsia="en-CA"/>
              </w:rPr>
              <w:t>France</w:t>
            </w:r>
          </w:p>
        </w:tc>
        <w:tc>
          <w:tcPr>
            <w:tcW w:w="1597" w:type="dxa"/>
            <w:tcBorders>
              <w:top w:val="nil"/>
              <w:left w:val="nil"/>
              <w:bottom w:val="single" w:sz="4" w:space="0" w:color="auto"/>
              <w:right w:val="single" w:sz="4" w:space="0" w:color="auto"/>
            </w:tcBorders>
            <w:shd w:val="clear" w:color="auto" w:fill="auto"/>
            <w:noWrap/>
            <w:vAlign w:val="center"/>
            <w:hideMark/>
          </w:tcPr>
          <w:p w14:paraId="69DA73C2" w14:textId="77777777" w:rsidR="00DE347C" w:rsidRPr="00EE0850" w:rsidRDefault="00DE347C" w:rsidP="000C6220">
            <w:pPr>
              <w:spacing w:after="0" w:line="240" w:lineRule="auto"/>
              <w:jc w:val="right"/>
              <w:rPr>
                <w:szCs w:val="22"/>
                <w:lang w:eastAsia="en-CA"/>
              </w:rPr>
            </w:pPr>
            <w:r w:rsidRPr="00EE0850">
              <w:rPr>
                <w:szCs w:val="22"/>
                <w:lang w:eastAsia="en-CA"/>
              </w:rPr>
              <w:t>4.859</w:t>
            </w:r>
          </w:p>
        </w:tc>
        <w:tc>
          <w:tcPr>
            <w:tcW w:w="1597" w:type="dxa"/>
            <w:tcBorders>
              <w:top w:val="nil"/>
              <w:left w:val="nil"/>
              <w:bottom w:val="single" w:sz="4" w:space="0" w:color="auto"/>
              <w:right w:val="single" w:sz="4" w:space="0" w:color="auto"/>
            </w:tcBorders>
            <w:shd w:val="clear" w:color="auto" w:fill="auto"/>
            <w:noWrap/>
            <w:vAlign w:val="center"/>
            <w:hideMark/>
          </w:tcPr>
          <w:p w14:paraId="7C97C3CC" w14:textId="77777777" w:rsidR="00DE347C" w:rsidRPr="00EE0850" w:rsidRDefault="00DE347C" w:rsidP="000C6220">
            <w:pPr>
              <w:spacing w:after="0" w:line="240" w:lineRule="auto"/>
              <w:jc w:val="right"/>
              <w:rPr>
                <w:szCs w:val="22"/>
                <w:lang w:eastAsia="en-CA"/>
              </w:rPr>
            </w:pPr>
            <w:r w:rsidRPr="00EE0850">
              <w:rPr>
                <w:szCs w:val="22"/>
                <w:lang w:eastAsia="en-CA"/>
              </w:rPr>
              <w:t>8.978</w:t>
            </w:r>
          </w:p>
        </w:tc>
        <w:tc>
          <w:tcPr>
            <w:tcW w:w="1597" w:type="dxa"/>
            <w:tcBorders>
              <w:top w:val="nil"/>
              <w:left w:val="nil"/>
              <w:bottom w:val="single" w:sz="4" w:space="0" w:color="auto"/>
              <w:right w:val="single" w:sz="4" w:space="0" w:color="auto"/>
            </w:tcBorders>
            <w:shd w:val="clear" w:color="auto" w:fill="auto"/>
            <w:noWrap/>
            <w:vAlign w:val="center"/>
            <w:hideMark/>
          </w:tcPr>
          <w:p w14:paraId="653F5FA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158 099</w:t>
            </w:r>
          </w:p>
        </w:tc>
        <w:tc>
          <w:tcPr>
            <w:tcW w:w="1597" w:type="dxa"/>
            <w:tcBorders>
              <w:top w:val="nil"/>
              <w:left w:val="nil"/>
              <w:bottom w:val="single" w:sz="4" w:space="0" w:color="auto"/>
              <w:right w:val="single" w:sz="4" w:space="0" w:color="auto"/>
            </w:tcBorders>
            <w:shd w:val="clear" w:color="auto" w:fill="auto"/>
            <w:noWrap/>
            <w:vAlign w:val="center"/>
            <w:hideMark/>
          </w:tcPr>
          <w:p w14:paraId="4B45249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167 649</w:t>
            </w:r>
          </w:p>
        </w:tc>
        <w:tc>
          <w:tcPr>
            <w:tcW w:w="1598" w:type="dxa"/>
            <w:tcBorders>
              <w:top w:val="nil"/>
              <w:left w:val="nil"/>
              <w:bottom w:val="single" w:sz="4" w:space="0" w:color="auto"/>
              <w:right w:val="single" w:sz="4" w:space="0" w:color="auto"/>
            </w:tcBorders>
            <w:shd w:val="clear" w:color="auto" w:fill="auto"/>
            <w:noWrap/>
            <w:vAlign w:val="center"/>
            <w:hideMark/>
          </w:tcPr>
          <w:p w14:paraId="3698B088" w14:textId="77777777" w:rsidR="00DE347C" w:rsidRPr="00EE0850" w:rsidRDefault="00DE347C" w:rsidP="000C6220">
            <w:pPr>
              <w:spacing w:after="0" w:line="240" w:lineRule="auto"/>
              <w:jc w:val="right"/>
              <w:rPr>
                <w:szCs w:val="22"/>
                <w:lang w:eastAsia="en-CA"/>
              </w:rPr>
            </w:pPr>
            <w:r w:rsidRPr="00EE0850">
              <w:rPr>
                <w:szCs w:val="22"/>
                <w:lang w:eastAsia="en-CA"/>
              </w:rPr>
              <w:t>325 747</w:t>
            </w:r>
          </w:p>
        </w:tc>
      </w:tr>
      <w:tr w:rsidR="00DE347C" w:rsidRPr="00EE0850" w14:paraId="52F42BCF" w14:textId="77777777" w:rsidTr="00DE347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492D1" w14:textId="77777777" w:rsidR="00DE347C" w:rsidRPr="00EE0850" w:rsidRDefault="00DE347C" w:rsidP="000C6220">
            <w:pPr>
              <w:spacing w:after="0" w:line="240" w:lineRule="auto"/>
              <w:rPr>
                <w:szCs w:val="22"/>
                <w:lang w:eastAsia="en-CA"/>
              </w:rPr>
            </w:pPr>
            <w:r w:rsidRPr="00EE0850">
              <w:rPr>
                <w:szCs w:val="22"/>
                <w:lang w:eastAsia="en-CA"/>
              </w:rPr>
              <w:t>Gabon</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20812BE0" w14:textId="77777777" w:rsidR="00DE347C" w:rsidRPr="00EE0850" w:rsidRDefault="00DE347C" w:rsidP="000C6220">
            <w:pPr>
              <w:spacing w:after="0" w:line="240" w:lineRule="auto"/>
              <w:jc w:val="right"/>
              <w:rPr>
                <w:szCs w:val="22"/>
                <w:lang w:eastAsia="en-CA"/>
              </w:rPr>
            </w:pPr>
            <w:r w:rsidRPr="00EE0850">
              <w:rPr>
                <w:szCs w:val="22"/>
                <w:lang w:eastAsia="en-CA"/>
              </w:rPr>
              <w:t>0.017</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67D02F3" w14:textId="77777777" w:rsidR="00DE347C" w:rsidRPr="00EE0850" w:rsidRDefault="00DE347C" w:rsidP="000C6220">
            <w:pPr>
              <w:spacing w:after="0" w:line="240" w:lineRule="auto"/>
              <w:jc w:val="right"/>
              <w:rPr>
                <w:szCs w:val="22"/>
                <w:lang w:eastAsia="en-CA"/>
              </w:rPr>
            </w:pPr>
            <w:r w:rsidRPr="00EE0850">
              <w:rPr>
                <w:szCs w:val="22"/>
                <w:lang w:eastAsia="en-CA"/>
              </w:rPr>
              <w:t>0.031</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4E6DE3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553</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7E70DA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587</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36040302" w14:textId="77777777" w:rsidR="00DE347C" w:rsidRPr="00EE0850" w:rsidRDefault="00DE347C" w:rsidP="000C6220">
            <w:pPr>
              <w:spacing w:after="0" w:line="240" w:lineRule="auto"/>
              <w:jc w:val="right"/>
              <w:rPr>
                <w:szCs w:val="22"/>
                <w:lang w:eastAsia="en-CA"/>
              </w:rPr>
            </w:pPr>
            <w:r w:rsidRPr="00EE0850">
              <w:rPr>
                <w:szCs w:val="22"/>
                <w:lang w:eastAsia="en-CA"/>
              </w:rPr>
              <w:t>1 140</w:t>
            </w:r>
          </w:p>
        </w:tc>
      </w:tr>
      <w:tr w:rsidR="00DE347C" w:rsidRPr="00EE0850" w14:paraId="0E4232BB"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C4173FF" w14:textId="77777777" w:rsidR="00DE347C" w:rsidRPr="00EE0850" w:rsidRDefault="00DE347C" w:rsidP="000C6220">
            <w:pPr>
              <w:spacing w:after="0" w:line="240" w:lineRule="auto"/>
              <w:rPr>
                <w:szCs w:val="22"/>
                <w:lang w:eastAsia="en-CA"/>
              </w:rPr>
            </w:pPr>
            <w:r w:rsidRPr="00EE0850">
              <w:rPr>
                <w:szCs w:val="22"/>
                <w:lang w:eastAsia="en-CA"/>
              </w:rPr>
              <w:t>Gambia</w:t>
            </w:r>
          </w:p>
        </w:tc>
        <w:tc>
          <w:tcPr>
            <w:tcW w:w="1597" w:type="dxa"/>
            <w:tcBorders>
              <w:top w:val="nil"/>
              <w:left w:val="nil"/>
              <w:bottom w:val="single" w:sz="4" w:space="0" w:color="auto"/>
              <w:right w:val="single" w:sz="4" w:space="0" w:color="auto"/>
            </w:tcBorders>
            <w:shd w:val="clear" w:color="auto" w:fill="auto"/>
            <w:noWrap/>
            <w:vAlign w:val="center"/>
            <w:hideMark/>
          </w:tcPr>
          <w:p w14:paraId="760BE8A2"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41E87760"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E3886B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9945F4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3C1860B1"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5134A31F"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CA0EDE7" w14:textId="77777777" w:rsidR="00DE347C" w:rsidRPr="00EE0850" w:rsidRDefault="00DE347C" w:rsidP="000C6220">
            <w:pPr>
              <w:spacing w:after="0" w:line="240" w:lineRule="auto"/>
              <w:rPr>
                <w:szCs w:val="22"/>
                <w:lang w:eastAsia="en-CA"/>
              </w:rPr>
            </w:pPr>
            <w:r w:rsidRPr="00EE0850">
              <w:rPr>
                <w:szCs w:val="22"/>
                <w:lang w:eastAsia="en-CA"/>
              </w:rPr>
              <w:t>Germany</w:t>
            </w:r>
          </w:p>
        </w:tc>
        <w:tc>
          <w:tcPr>
            <w:tcW w:w="1597" w:type="dxa"/>
            <w:tcBorders>
              <w:top w:val="nil"/>
              <w:left w:val="nil"/>
              <w:bottom w:val="single" w:sz="4" w:space="0" w:color="auto"/>
              <w:right w:val="single" w:sz="4" w:space="0" w:color="auto"/>
            </w:tcBorders>
            <w:shd w:val="clear" w:color="auto" w:fill="auto"/>
            <w:noWrap/>
            <w:vAlign w:val="center"/>
            <w:hideMark/>
          </w:tcPr>
          <w:p w14:paraId="64D372B5" w14:textId="77777777" w:rsidR="00DE347C" w:rsidRPr="00EE0850" w:rsidRDefault="00DE347C" w:rsidP="000C6220">
            <w:pPr>
              <w:spacing w:after="0" w:line="240" w:lineRule="auto"/>
              <w:jc w:val="right"/>
              <w:rPr>
                <w:szCs w:val="22"/>
                <w:lang w:eastAsia="en-CA"/>
              </w:rPr>
            </w:pPr>
            <w:r w:rsidRPr="00EE0850">
              <w:rPr>
                <w:szCs w:val="22"/>
                <w:lang w:eastAsia="en-CA"/>
              </w:rPr>
              <w:t>6.389</w:t>
            </w:r>
          </w:p>
        </w:tc>
        <w:tc>
          <w:tcPr>
            <w:tcW w:w="1597" w:type="dxa"/>
            <w:tcBorders>
              <w:top w:val="nil"/>
              <w:left w:val="nil"/>
              <w:bottom w:val="single" w:sz="4" w:space="0" w:color="auto"/>
              <w:right w:val="single" w:sz="4" w:space="0" w:color="auto"/>
            </w:tcBorders>
            <w:shd w:val="clear" w:color="auto" w:fill="auto"/>
            <w:noWrap/>
            <w:vAlign w:val="center"/>
            <w:hideMark/>
          </w:tcPr>
          <w:p w14:paraId="1EE48803" w14:textId="77777777" w:rsidR="00DE347C" w:rsidRPr="00EE0850" w:rsidRDefault="00DE347C" w:rsidP="000C6220">
            <w:pPr>
              <w:spacing w:after="0" w:line="240" w:lineRule="auto"/>
              <w:jc w:val="right"/>
              <w:rPr>
                <w:szCs w:val="22"/>
                <w:lang w:eastAsia="en-CA"/>
              </w:rPr>
            </w:pPr>
            <w:r w:rsidRPr="00EE0850">
              <w:rPr>
                <w:szCs w:val="22"/>
                <w:lang w:eastAsia="en-CA"/>
              </w:rPr>
              <w:t>11.805</w:t>
            </w:r>
          </w:p>
        </w:tc>
        <w:tc>
          <w:tcPr>
            <w:tcW w:w="1597" w:type="dxa"/>
            <w:tcBorders>
              <w:top w:val="nil"/>
              <w:left w:val="nil"/>
              <w:bottom w:val="single" w:sz="4" w:space="0" w:color="auto"/>
              <w:right w:val="single" w:sz="4" w:space="0" w:color="auto"/>
            </w:tcBorders>
            <w:shd w:val="clear" w:color="auto" w:fill="auto"/>
            <w:noWrap/>
            <w:vAlign w:val="center"/>
            <w:hideMark/>
          </w:tcPr>
          <w:p w14:paraId="4042910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207 881</w:t>
            </w:r>
          </w:p>
        </w:tc>
        <w:tc>
          <w:tcPr>
            <w:tcW w:w="1597" w:type="dxa"/>
            <w:tcBorders>
              <w:top w:val="nil"/>
              <w:left w:val="nil"/>
              <w:bottom w:val="single" w:sz="4" w:space="0" w:color="auto"/>
              <w:right w:val="single" w:sz="4" w:space="0" w:color="auto"/>
            </w:tcBorders>
            <w:shd w:val="clear" w:color="auto" w:fill="auto"/>
            <w:noWrap/>
            <w:vAlign w:val="center"/>
            <w:hideMark/>
          </w:tcPr>
          <w:p w14:paraId="54C2FE1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220 438</w:t>
            </w:r>
          </w:p>
        </w:tc>
        <w:tc>
          <w:tcPr>
            <w:tcW w:w="1598" w:type="dxa"/>
            <w:tcBorders>
              <w:top w:val="nil"/>
              <w:left w:val="nil"/>
              <w:bottom w:val="single" w:sz="4" w:space="0" w:color="auto"/>
              <w:right w:val="single" w:sz="4" w:space="0" w:color="auto"/>
            </w:tcBorders>
            <w:shd w:val="clear" w:color="auto" w:fill="auto"/>
            <w:noWrap/>
            <w:vAlign w:val="center"/>
            <w:hideMark/>
          </w:tcPr>
          <w:p w14:paraId="579A301D" w14:textId="77777777" w:rsidR="00DE347C" w:rsidRPr="00EE0850" w:rsidRDefault="00DE347C" w:rsidP="000C6220">
            <w:pPr>
              <w:spacing w:after="0" w:line="240" w:lineRule="auto"/>
              <w:jc w:val="right"/>
              <w:rPr>
                <w:szCs w:val="22"/>
                <w:lang w:eastAsia="en-CA"/>
              </w:rPr>
            </w:pPr>
            <w:r w:rsidRPr="00EE0850">
              <w:rPr>
                <w:szCs w:val="22"/>
                <w:lang w:eastAsia="en-CA"/>
              </w:rPr>
              <w:t>428 319</w:t>
            </w:r>
          </w:p>
        </w:tc>
      </w:tr>
      <w:tr w:rsidR="00DE347C" w:rsidRPr="00EE0850" w14:paraId="48528418"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B62CD40" w14:textId="77777777" w:rsidR="00DE347C" w:rsidRPr="00EE0850" w:rsidRDefault="00DE347C" w:rsidP="000C6220">
            <w:pPr>
              <w:spacing w:after="0" w:line="240" w:lineRule="auto"/>
              <w:rPr>
                <w:szCs w:val="22"/>
                <w:lang w:eastAsia="en-CA"/>
              </w:rPr>
            </w:pPr>
            <w:r w:rsidRPr="00EE0850">
              <w:rPr>
                <w:szCs w:val="22"/>
                <w:lang w:eastAsia="en-CA"/>
              </w:rPr>
              <w:t>Guatemala</w:t>
            </w:r>
          </w:p>
        </w:tc>
        <w:tc>
          <w:tcPr>
            <w:tcW w:w="1597" w:type="dxa"/>
            <w:tcBorders>
              <w:top w:val="nil"/>
              <w:left w:val="nil"/>
              <w:bottom w:val="single" w:sz="4" w:space="0" w:color="auto"/>
              <w:right w:val="single" w:sz="4" w:space="0" w:color="auto"/>
            </w:tcBorders>
            <w:shd w:val="clear" w:color="auto" w:fill="auto"/>
            <w:noWrap/>
            <w:vAlign w:val="center"/>
            <w:hideMark/>
          </w:tcPr>
          <w:p w14:paraId="48690D28" w14:textId="77777777" w:rsidR="00DE347C" w:rsidRPr="00EE0850" w:rsidRDefault="00DE347C" w:rsidP="000C6220">
            <w:pPr>
              <w:spacing w:after="0" w:line="240" w:lineRule="auto"/>
              <w:jc w:val="right"/>
              <w:rPr>
                <w:szCs w:val="22"/>
                <w:lang w:eastAsia="en-CA"/>
              </w:rPr>
            </w:pPr>
            <w:r w:rsidRPr="00EE0850">
              <w:rPr>
                <w:szCs w:val="22"/>
                <w:lang w:eastAsia="en-CA"/>
              </w:rPr>
              <w:t>0.028</w:t>
            </w:r>
          </w:p>
        </w:tc>
        <w:tc>
          <w:tcPr>
            <w:tcW w:w="1597" w:type="dxa"/>
            <w:tcBorders>
              <w:top w:val="nil"/>
              <w:left w:val="nil"/>
              <w:bottom w:val="single" w:sz="4" w:space="0" w:color="auto"/>
              <w:right w:val="single" w:sz="4" w:space="0" w:color="auto"/>
            </w:tcBorders>
            <w:shd w:val="clear" w:color="auto" w:fill="auto"/>
            <w:noWrap/>
            <w:vAlign w:val="center"/>
            <w:hideMark/>
          </w:tcPr>
          <w:p w14:paraId="012A8995" w14:textId="77777777" w:rsidR="00DE347C" w:rsidRPr="00EE0850" w:rsidRDefault="00DE347C" w:rsidP="000C6220">
            <w:pPr>
              <w:spacing w:after="0" w:line="240" w:lineRule="auto"/>
              <w:jc w:val="right"/>
              <w:rPr>
                <w:szCs w:val="22"/>
                <w:lang w:eastAsia="en-CA"/>
              </w:rPr>
            </w:pPr>
            <w:r w:rsidRPr="00EE0850">
              <w:rPr>
                <w:szCs w:val="22"/>
                <w:lang w:eastAsia="en-CA"/>
              </w:rPr>
              <w:t>0.052</w:t>
            </w:r>
          </w:p>
        </w:tc>
        <w:tc>
          <w:tcPr>
            <w:tcW w:w="1597" w:type="dxa"/>
            <w:tcBorders>
              <w:top w:val="nil"/>
              <w:left w:val="nil"/>
              <w:bottom w:val="single" w:sz="4" w:space="0" w:color="auto"/>
              <w:right w:val="single" w:sz="4" w:space="0" w:color="auto"/>
            </w:tcBorders>
            <w:shd w:val="clear" w:color="auto" w:fill="auto"/>
            <w:noWrap/>
            <w:vAlign w:val="center"/>
            <w:hideMark/>
          </w:tcPr>
          <w:p w14:paraId="57ECC8A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911</w:t>
            </w:r>
          </w:p>
        </w:tc>
        <w:tc>
          <w:tcPr>
            <w:tcW w:w="1597" w:type="dxa"/>
            <w:tcBorders>
              <w:top w:val="nil"/>
              <w:left w:val="nil"/>
              <w:bottom w:val="single" w:sz="4" w:space="0" w:color="auto"/>
              <w:right w:val="single" w:sz="4" w:space="0" w:color="auto"/>
            </w:tcBorders>
            <w:shd w:val="clear" w:color="auto" w:fill="auto"/>
            <w:noWrap/>
            <w:vAlign w:val="center"/>
            <w:hideMark/>
          </w:tcPr>
          <w:p w14:paraId="31D9CED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966</w:t>
            </w:r>
          </w:p>
        </w:tc>
        <w:tc>
          <w:tcPr>
            <w:tcW w:w="1598" w:type="dxa"/>
            <w:tcBorders>
              <w:top w:val="nil"/>
              <w:left w:val="nil"/>
              <w:bottom w:val="single" w:sz="4" w:space="0" w:color="auto"/>
              <w:right w:val="single" w:sz="4" w:space="0" w:color="auto"/>
            </w:tcBorders>
            <w:shd w:val="clear" w:color="auto" w:fill="auto"/>
            <w:noWrap/>
            <w:vAlign w:val="center"/>
            <w:hideMark/>
          </w:tcPr>
          <w:p w14:paraId="0BE0C0D6" w14:textId="77777777" w:rsidR="00DE347C" w:rsidRPr="00EE0850" w:rsidRDefault="00DE347C" w:rsidP="000C6220">
            <w:pPr>
              <w:spacing w:after="0" w:line="240" w:lineRule="auto"/>
              <w:jc w:val="right"/>
              <w:rPr>
                <w:szCs w:val="22"/>
                <w:lang w:eastAsia="en-CA"/>
              </w:rPr>
            </w:pPr>
            <w:r w:rsidRPr="00EE0850">
              <w:rPr>
                <w:szCs w:val="22"/>
                <w:lang w:eastAsia="en-CA"/>
              </w:rPr>
              <w:t>1 877</w:t>
            </w:r>
          </w:p>
        </w:tc>
      </w:tr>
      <w:tr w:rsidR="00DE347C" w:rsidRPr="00EE0850" w14:paraId="6DE92119"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0A268F5" w14:textId="77777777" w:rsidR="00DE347C" w:rsidRPr="00EE0850" w:rsidRDefault="00DE347C" w:rsidP="000C6220">
            <w:pPr>
              <w:spacing w:after="0" w:line="240" w:lineRule="auto"/>
              <w:rPr>
                <w:szCs w:val="22"/>
                <w:lang w:eastAsia="en-CA"/>
              </w:rPr>
            </w:pPr>
            <w:r w:rsidRPr="00EE0850">
              <w:rPr>
                <w:szCs w:val="22"/>
                <w:lang w:eastAsia="en-CA"/>
              </w:rPr>
              <w:t>Guinea</w:t>
            </w:r>
          </w:p>
        </w:tc>
        <w:tc>
          <w:tcPr>
            <w:tcW w:w="1597" w:type="dxa"/>
            <w:tcBorders>
              <w:top w:val="nil"/>
              <w:left w:val="nil"/>
              <w:bottom w:val="single" w:sz="4" w:space="0" w:color="auto"/>
              <w:right w:val="single" w:sz="4" w:space="0" w:color="auto"/>
            </w:tcBorders>
            <w:shd w:val="clear" w:color="auto" w:fill="auto"/>
            <w:noWrap/>
            <w:vAlign w:val="center"/>
            <w:hideMark/>
          </w:tcPr>
          <w:p w14:paraId="11A1497C"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38CE2A6"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7EDFFAE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71A87E4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68004878" w14:textId="77777777" w:rsidR="00DE347C" w:rsidRPr="00EE0850" w:rsidRDefault="00DE347C" w:rsidP="000C6220">
            <w:pPr>
              <w:spacing w:after="0" w:line="240" w:lineRule="auto"/>
              <w:jc w:val="right"/>
              <w:rPr>
                <w:szCs w:val="22"/>
                <w:lang w:eastAsia="en-CA"/>
              </w:rPr>
            </w:pPr>
            <w:r w:rsidRPr="00EE0850">
              <w:rPr>
                <w:szCs w:val="22"/>
                <w:lang w:eastAsia="en-CA"/>
              </w:rPr>
              <w:t>134</w:t>
            </w:r>
          </w:p>
        </w:tc>
      </w:tr>
      <w:tr w:rsidR="00DE347C" w:rsidRPr="00EE0850" w14:paraId="6B4CE62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3A79F70" w14:textId="77777777" w:rsidR="00DE347C" w:rsidRPr="00EE0850" w:rsidRDefault="00DE347C" w:rsidP="000C6220">
            <w:pPr>
              <w:spacing w:after="0" w:line="240" w:lineRule="auto"/>
              <w:rPr>
                <w:szCs w:val="22"/>
                <w:lang w:eastAsia="en-CA"/>
              </w:rPr>
            </w:pPr>
            <w:r w:rsidRPr="00EE0850">
              <w:rPr>
                <w:szCs w:val="22"/>
                <w:lang w:eastAsia="en-CA"/>
              </w:rPr>
              <w:t>Guinea-Bissau</w:t>
            </w:r>
          </w:p>
        </w:tc>
        <w:tc>
          <w:tcPr>
            <w:tcW w:w="1597" w:type="dxa"/>
            <w:tcBorders>
              <w:top w:val="nil"/>
              <w:left w:val="nil"/>
              <w:bottom w:val="single" w:sz="4" w:space="0" w:color="auto"/>
              <w:right w:val="single" w:sz="4" w:space="0" w:color="auto"/>
            </w:tcBorders>
            <w:shd w:val="clear" w:color="auto" w:fill="auto"/>
            <w:noWrap/>
            <w:vAlign w:val="center"/>
            <w:hideMark/>
          </w:tcPr>
          <w:p w14:paraId="709C6021"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3A20C707"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68026E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4D60E06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188CC421"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661BB8E6"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025460D" w14:textId="77777777" w:rsidR="00DE347C" w:rsidRPr="00EE0850" w:rsidRDefault="00DE347C" w:rsidP="000C6220">
            <w:pPr>
              <w:spacing w:after="0" w:line="240" w:lineRule="auto"/>
              <w:rPr>
                <w:szCs w:val="22"/>
                <w:lang w:eastAsia="en-CA"/>
              </w:rPr>
            </w:pPr>
            <w:r w:rsidRPr="00EE0850">
              <w:rPr>
                <w:szCs w:val="22"/>
                <w:lang w:eastAsia="en-CA"/>
              </w:rPr>
              <w:t>Guyana</w:t>
            </w:r>
          </w:p>
        </w:tc>
        <w:tc>
          <w:tcPr>
            <w:tcW w:w="1597" w:type="dxa"/>
            <w:tcBorders>
              <w:top w:val="nil"/>
              <w:left w:val="nil"/>
              <w:bottom w:val="single" w:sz="4" w:space="0" w:color="auto"/>
              <w:right w:val="single" w:sz="4" w:space="0" w:color="auto"/>
            </w:tcBorders>
            <w:shd w:val="clear" w:color="auto" w:fill="auto"/>
            <w:noWrap/>
            <w:vAlign w:val="center"/>
            <w:hideMark/>
          </w:tcPr>
          <w:p w14:paraId="30FD0DE8"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70B4510"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06655F7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7A0D0EC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61FDF137" w14:textId="77777777" w:rsidR="00DE347C" w:rsidRPr="00EE0850" w:rsidRDefault="00DE347C" w:rsidP="000C6220">
            <w:pPr>
              <w:spacing w:after="0" w:line="240" w:lineRule="auto"/>
              <w:jc w:val="right"/>
              <w:rPr>
                <w:szCs w:val="22"/>
                <w:lang w:eastAsia="en-CA"/>
              </w:rPr>
            </w:pPr>
            <w:r w:rsidRPr="00EE0850">
              <w:rPr>
                <w:szCs w:val="22"/>
                <w:lang w:eastAsia="en-CA"/>
              </w:rPr>
              <w:t>134</w:t>
            </w:r>
          </w:p>
        </w:tc>
      </w:tr>
      <w:tr w:rsidR="00DE347C" w:rsidRPr="00EE0850" w14:paraId="617A8806"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0913B4D" w14:textId="77777777" w:rsidR="00DE347C" w:rsidRPr="00EE0850" w:rsidRDefault="00DE347C" w:rsidP="000C6220">
            <w:pPr>
              <w:spacing w:after="0" w:line="240" w:lineRule="auto"/>
              <w:rPr>
                <w:szCs w:val="22"/>
                <w:lang w:eastAsia="en-CA"/>
              </w:rPr>
            </w:pPr>
            <w:r w:rsidRPr="00EE0850">
              <w:rPr>
                <w:szCs w:val="22"/>
                <w:lang w:eastAsia="en-CA"/>
              </w:rPr>
              <w:t>Honduras</w:t>
            </w:r>
          </w:p>
        </w:tc>
        <w:tc>
          <w:tcPr>
            <w:tcW w:w="1597" w:type="dxa"/>
            <w:tcBorders>
              <w:top w:val="nil"/>
              <w:left w:val="nil"/>
              <w:bottom w:val="single" w:sz="4" w:space="0" w:color="auto"/>
              <w:right w:val="single" w:sz="4" w:space="0" w:color="auto"/>
            </w:tcBorders>
            <w:shd w:val="clear" w:color="auto" w:fill="auto"/>
            <w:noWrap/>
            <w:vAlign w:val="center"/>
            <w:hideMark/>
          </w:tcPr>
          <w:p w14:paraId="6E9CDA74" w14:textId="77777777" w:rsidR="00DE347C" w:rsidRPr="00EE0850" w:rsidRDefault="00DE347C" w:rsidP="000C6220">
            <w:pPr>
              <w:spacing w:after="0" w:line="240" w:lineRule="auto"/>
              <w:jc w:val="right"/>
              <w:rPr>
                <w:szCs w:val="22"/>
                <w:lang w:eastAsia="en-CA"/>
              </w:rPr>
            </w:pPr>
            <w:r w:rsidRPr="00EE0850">
              <w:rPr>
                <w:szCs w:val="22"/>
                <w:lang w:eastAsia="en-CA"/>
              </w:rPr>
              <w:t>0.008</w:t>
            </w:r>
          </w:p>
        </w:tc>
        <w:tc>
          <w:tcPr>
            <w:tcW w:w="1597" w:type="dxa"/>
            <w:tcBorders>
              <w:top w:val="nil"/>
              <w:left w:val="nil"/>
              <w:bottom w:val="single" w:sz="4" w:space="0" w:color="auto"/>
              <w:right w:val="single" w:sz="4" w:space="0" w:color="auto"/>
            </w:tcBorders>
            <w:shd w:val="clear" w:color="auto" w:fill="auto"/>
            <w:noWrap/>
            <w:vAlign w:val="center"/>
            <w:hideMark/>
          </w:tcPr>
          <w:p w14:paraId="12757A0C" w14:textId="77777777" w:rsidR="00DE347C" w:rsidRPr="00EE0850" w:rsidRDefault="00DE347C" w:rsidP="000C6220">
            <w:pPr>
              <w:spacing w:after="0" w:line="240" w:lineRule="auto"/>
              <w:jc w:val="right"/>
              <w:rPr>
                <w:szCs w:val="22"/>
                <w:lang w:eastAsia="en-CA"/>
              </w:rPr>
            </w:pPr>
            <w:r w:rsidRPr="00EE0850">
              <w:rPr>
                <w:szCs w:val="22"/>
                <w:lang w:eastAsia="en-CA"/>
              </w:rPr>
              <w:t>0.015</w:t>
            </w:r>
          </w:p>
        </w:tc>
        <w:tc>
          <w:tcPr>
            <w:tcW w:w="1597" w:type="dxa"/>
            <w:tcBorders>
              <w:top w:val="nil"/>
              <w:left w:val="nil"/>
              <w:bottom w:val="single" w:sz="4" w:space="0" w:color="auto"/>
              <w:right w:val="single" w:sz="4" w:space="0" w:color="auto"/>
            </w:tcBorders>
            <w:shd w:val="clear" w:color="auto" w:fill="auto"/>
            <w:noWrap/>
            <w:vAlign w:val="center"/>
            <w:hideMark/>
          </w:tcPr>
          <w:p w14:paraId="3FD7D30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260</w:t>
            </w:r>
          </w:p>
        </w:tc>
        <w:tc>
          <w:tcPr>
            <w:tcW w:w="1597" w:type="dxa"/>
            <w:tcBorders>
              <w:top w:val="nil"/>
              <w:left w:val="nil"/>
              <w:bottom w:val="single" w:sz="4" w:space="0" w:color="auto"/>
              <w:right w:val="single" w:sz="4" w:space="0" w:color="auto"/>
            </w:tcBorders>
            <w:shd w:val="clear" w:color="auto" w:fill="auto"/>
            <w:noWrap/>
            <w:vAlign w:val="center"/>
            <w:hideMark/>
          </w:tcPr>
          <w:p w14:paraId="55C7CE5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276</w:t>
            </w:r>
          </w:p>
        </w:tc>
        <w:tc>
          <w:tcPr>
            <w:tcW w:w="1598" w:type="dxa"/>
            <w:tcBorders>
              <w:top w:val="nil"/>
              <w:left w:val="nil"/>
              <w:bottom w:val="single" w:sz="4" w:space="0" w:color="auto"/>
              <w:right w:val="single" w:sz="4" w:space="0" w:color="auto"/>
            </w:tcBorders>
            <w:shd w:val="clear" w:color="auto" w:fill="auto"/>
            <w:noWrap/>
            <w:vAlign w:val="center"/>
            <w:hideMark/>
          </w:tcPr>
          <w:p w14:paraId="6D43EA25" w14:textId="77777777" w:rsidR="00DE347C" w:rsidRPr="00EE0850" w:rsidRDefault="00DE347C" w:rsidP="000C6220">
            <w:pPr>
              <w:spacing w:after="0" w:line="240" w:lineRule="auto"/>
              <w:jc w:val="right"/>
              <w:rPr>
                <w:szCs w:val="22"/>
                <w:lang w:eastAsia="en-CA"/>
              </w:rPr>
            </w:pPr>
            <w:r w:rsidRPr="00EE0850">
              <w:rPr>
                <w:szCs w:val="22"/>
                <w:lang w:eastAsia="en-CA"/>
              </w:rPr>
              <w:t>536</w:t>
            </w:r>
          </w:p>
        </w:tc>
      </w:tr>
      <w:tr w:rsidR="00DE347C" w:rsidRPr="00EE0850" w14:paraId="5E2EC7CD"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4C12E50" w14:textId="77777777" w:rsidR="00DE347C" w:rsidRPr="00EE0850" w:rsidRDefault="00DE347C" w:rsidP="000C6220">
            <w:pPr>
              <w:spacing w:after="0" w:line="240" w:lineRule="auto"/>
              <w:rPr>
                <w:szCs w:val="22"/>
                <w:lang w:eastAsia="en-CA"/>
              </w:rPr>
            </w:pPr>
            <w:r w:rsidRPr="00EE0850">
              <w:rPr>
                <w:szCs w:val="22"/>
                <w:lang w:eastAsia="en-CA"/>
              </w:rPr>
              <w:t>Hungary</w:t>
            </w:r>
          </w:p>
        </w:tc>
        <w:tc>
          <w:tcPr>
            <w:tcW w:w="1597" w:type="dxa"/>
            <w:tcBorders>
              <w:top w:val="nil"/>
              <w:left w:val="nil"/>
              <w:bottom w:val="single" w:sz="4" w:space="0" w:color="auto"/>
              <w:right w:val="single" w:sz="4" w:space="0" w:color="auto"/>
            </w:tcBorders>
            <w:shd w:val="clear" w:color="auto" w:fill="auto"/>
            <w:noWrap/>
            <w:vAlign w:val="center"/>
            <w:hideMark/>
          </w:tcPr>
          <w:p w14:paraId="721A8E9F" w14:textId="77777777" w:rsidR="00DE347C" w:rsidRPr="00EE0850" w:rsidRDefault="00DE347C" w:rsidP="000C6220">
            <w:pPr>
              <w:spacing w:after="0" w:line="240" w:lineRule="auto"/>
              <w:jc w:val="right"/>
              <w:rPr>
                <w:szCs w:val="22"/>
                <w:lang w:eastAsia="en-CA"/>
              </w:rPr>
            </w:pPr>
            <w:r w:rsidRPr="00EE0850">
              <w:rPr>
                <w:szCs w:val="22"/>
                <w:lang w:eastAsia="en-CA"/>
              </w:rPr>
              <w:t>0.161</w:t>
            </w:r>
          </w:p>
        </w:tc>
        <w:tc>
          <w:tcPr>
            <w:tcW w:w="1597" w:type="dxa"/>
            <w:tcBorders>
              <w:top w:val="nil"/>
              <w:left w:val="nil"/>
              <w:bottom w:val="single" w:sz="4" w:space="0" w:color="auto"/>
              <w:right w:val="single" w:sz="4" w:space="0" w:color="auto"/>
            </w:tcBorders>
            <w:shd w:val="clear" w:color="auto" w:fill="auto"/>
            <w:noWrap/>
            <w:vAlign w:val="center"/>
            <w:hideMark/>
          </w:tcPr>
          <w:p w14:paraId="7FDE689D" w14:textId="77777777" w:rsidR="00DE347C" w:rsidRPr="00EE0850" w:rsidRDefault="00DE347C" w:rsidP="000C6220">
            <w:pPr>
              <w:spacing w:after="0" w:line="240" w:lineRule="auto"/>
              <w:jc w:val="right"/>
              <w:rPr>
                <w:szCs w:val="22"/>
                <w:lang w:eastAsia="en-CA"/>
              </w:rPr>
            </w:pPr>
            <w:r w:rsidRPr="00EE0850">
              <w:rPr>
                <w:szCs w:val="22"/>
                <w:lang w:eastAsia="en-CA"/>
              </w:rPr>
              <w:t>0.297</w:t>
            </w:r>
          </w:p>
        </w:tc>
        <w:tc>
          <w:tcPr>
            <w:tcW w:w="1597" w:type="dxa"/>
            <w:tcBorders>
              <w:top w:val="nil"/>
              <w:left w:val="nil"/>
              <w:bottom w:val="single" w:sz="4" w:space="0" w:color="auto"/>
              <w:right w:val="single" w:sz="4" w:space="0" w:color="auto"/>
            </w:tcBorders>
            <w:shd w:val="clear" w:color="auto" w:fill="auto"/>
            <w:noWrap/>
            <w:vAlign w:val="center"/>
            <w:hideMark/>
          </w:tcPr>
          <w:p w14:paraId="12603CC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5 239</w:t>
            </w:r>
          </w:p>
        </w:tc>
        <w:tc>
          <w:tcPr>
            <w:tcW w:w="1597" w:type="dxa"/>
            <w:tcBorders>
              <w:top w:val="nil"/>
              <w:left w:val="nil"/>
              <w:bottom w:val="single" w:sz="4" w:space="0" w:color="auto"/>
              <w:right w:val="single" w:sz="4" w:space="0" w:color="auto"/>
            </w:tcBorders>
            <w:shd w:val="clear" w:color="auto" w:fill="auto"/>
            <w:noWrap/>
            <w:vAlign w:val="center"/>
            <w:hideMark/>
          </w:tcPr>
          <w:p w14:paraId="110988B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5 555</w:t>
            </w:r>
          </w:p>
        </w:tc>
        <w:tc>
          <w:tcPr>
            <w:tcW w:w="1598" w:type="dxa"/>
            <w:tcBorders>
              <w:top w:val="nil"/>
              <w:left w:val="nil"/>
              <w:bottom w:val="single" w:sz="4" w:space="0" w:color="auto"/>
              <w:right w:val="single" w:sz="4" w:space="0" w:color="auto"/>
            </w:tcBorders>
            <w:shd w:val="clear" w:color="auto" w:fill="auto"/>
            <w:noWrap/>
            <w:vAlign w:val="center"/>
            <w:hideMark/>
          </w:tcPr>
          <w:p w14:paraId="35CEEB89" w14:textId="77777777" w:rsidR="00DE347C" w:rsidRPr="00EE0850" w:rsidRDefault="00DE347C" w:rsidP="000C6220">
            <w:pPr>
              <w:spacing w:after="0" w:line="240" w:lineRule="auto"/>
              <w:jc w:val="right"/>
              <w:rPr>
                <w:szCs w:val="22"/>
                <w:lang w:eastAsia="en-CA"/>
              </w:rPr>
            </w:pPr>
            <w:r w:rsidRPr="00EE0850">
              <w:rPr>
                <w:szCs w:val="22"/>
                <w:lang w:eastAsia="en-CA"/>
              </w:rPr>
              <w:t>10 793</w:t>
            </w:r>
          </w:p>
        </w:tc>
      </w:tr>
      <w:tr w:rsidR="00DE347C" w:rsidRPr="00EE0850" w14:paraId="72CEC308"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3B3E5EE" w14:textId="77777777" w:rsidR="00DE347C" w:rsidRPr="00EE0850" w:rsidRDefault="00DE347C" w:rsidP="000C6220">
            <w:pPr>
              <w:spacing w:after="0" w:line="240" w:lineRule="auto"/>
              <w:rPr>
                <w:szCs w:val="22"/>
                <w:lang w:eastAsia="en-CA"/>
              </w:rPr>
            </w:pPr>
            <w:r w:rsidRPr="00EE0850">
              <w:rPr>
                <w:szCs w:val="22"/>
                <w:lang w:eastAsia="en-CA"/>
              </w:rPr>
              <w:t>India</w:t>
            </w:r>
          </w:p>
        </w:tc>
        <w:tc>
          <w:tcPr>
            <w:tcW w:w="1597" w:type="dxa"/>
            <w:tcBorders>
              <w:top w:val="nil"/>
              <w:left w:val="nil"/>
              <w:bottom w:val="single" w:sz="4" w:space="0" w:color="auto"/>
              <w:right w:val="single" w:sz="4" w:space="0" w:color="auto"/>
            </w:tcBorders>
            <w:shd w:val="clear" w:color="auto" w:fill="auto"/>
            <w:noWrap/>
            <w:vAlign w:val="center"/>
            <w:hideMark/>
          </w:tcPr>
          <w:p w14:paraId="6788A8DC" w14:textId="77777777" w:rsidR="00DE347C" w:rsidRPr="00EE0850" w:rsidRDefault="00DE347C" w:rsidP="000C6220">
            <w:pPr>
              <w:spacing w:after="0" w:line="240" w:lineRule="auto"/>
              <w:jc w:val="right"/>
              <w:rPr>
                <w:szCs w:val="22"/>
                <w:lang w:eastAsia="en-CA"/>
              </w:rPr>
            </w:pPr>
            <w:r w:rsidRPr="00EE0850">
              <w:rPr>
                <w:szCs w:val="22"/>
                <w:lang w:eastAsia="en-CA"/>
              </w:rPr>
              <w:t>0.737</w:t>
            </w:r>
          </w:p>
        </w:tc>
        <w:tc>
          <w:tcPr>
            <w:tcW w:w="1597" w:type="dxa"/>
            <w:tcBorders>
              <w:top w:val="nil"/>
              <w:left w:val="nil"/>
              <w:bottom w:val="single" w:sz="4" w:space="0" w:color="auto"/>
              <w:right w:val="single" w:sz="4" w:space="0" w:color="auto"/>
            </w:tcBorders>
            <w:shd w:val="clear" w:color="auto" w:fill="auto"/>
            <w:noWrap/>
            <w:vAlign w:val="center"/>
            <w:hideMark/>
          </w:tcPr>
          <w:p w14:paraId="00C2F21E" w14:textId="77777777" w:rsidR="00DE347C" w:rsidRPr="00EE0850" w:rsidRDefault="00DE347C" w:rsidP="000C6220">
            <w:pPr>
              <w:spacing w:after="0" w:line="240" w:lineRule="auto"/>
              <w:jc w:val="right"/>
              <w:rPr>
                <w:szCs w:val="22"/>
                <w:lang w:eastAsia="en-CA"/>
              </w:rPr>
            </w:pPr>
            <w:r w:rsidRPr="00EE0850">
              <w:rPr>
                <w:szCs w:val="22"/>
                <w:lang w:eastAsia="en-CA"/>
              </w:rPr>
              <w:t>1.362</w:t>
            </w:r>
          </w:p>
        </w:tc>
        <w:tc>
          <w:tcPr>
            <w:tcW w:w="1597" w:type="dxa"/>
            <w:tcBorders>
              <w:top w:val="nil"/>
              <w:left w:val="nil"/>
              <w:bottom w:val="single" w:sz="4" w:space="0" w:color="auto"/>
              <w:right w:val="single" w:sz="4" w:space="0" w:color="auto"/>
            </w:tcBorders>
            <w:shd w:val="clear" w:color="auto" w:fill="auto"/>
            <w:noWrap/>
            <w:vAlign w:val="center"/>
            <w:hideMark/>
          </w:tcPr>
          <w:p w14:paraId="51CF157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23 980</w:t>
            </w:r>
          </w:p>
        </w:tc>
        <w:tc>
          <w:tcPr>
            <w:tcW w:w="1597" w:type="dxa"/>
            <w:tcBorders>
              <w:top w:val="nil"/>
              <w:left w:val="nil"/>
              <w:bottom w:val="single" w:sz="4" w:space="0" w:color="auto"/>
              <w:right w:val="single" w:sz="4" w:space="0" w:color="auto"/>
            </w:tcBorders>
            <w:shd w:val="clear" w:color="auto" w:fill="auto"/>
            <w:noWrap/>
            <w:vAlign w:val="center"/>
            <w:hideMark/>
          </w:tcPr>
          <w:p w14:paraId="1077EC7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25 428</w:t>
            </w:r>
          </w:p>
        </w:tc>
        <w:tc>
          <w:tcPr>
            <w:tcW w:w="1598" w:type="dxa"/>
            <w:tcBorders>
              <w:top w:val="nil"/>
              <w:left w:val="nil"/>
              <w:bottom w:val="single" w:sz="4" w:space="0" w:color="auto"/>
              <w:right w:val="single" w:sz="4" w:space="0" w:color="auto"/>
            </w:tcBorders>
            <w:shd w:val="clear" w:color="auto" w:fill="auto"/>
            <w:noWrap/>
            <w:vAlign w:val="center"/>
            <w:hideMark/>
          </w:tcPr>
          <w:p w14:paraId="63B6B1C5" w14:textId="77777777" w:rsidR="00DE347C" w:rsidRPr="00EE0850" w:rsidRDefault="00DE347C" w:rsidP="000C6220">
            <w:pPr>
              <w:spacing w:after="0" w:line="240" w:lineRule="auto"/>
              <w:jc w:val="right"/>
              <w:rPr>
                <w:szCs w:val="22"/>
                <w:lang w:eastAsia="en-CA"/>
              </w:rPr>
            </w:pPr>
            <w:r w:rsidRPr="00EE0850">
              <w:rPr>
                <w:szCs w:val="22"/>
                <w:lang w:eastAsia="en-CA"/>
              </w:rPr>
              <w:t>49 408</w:t>
            </w:r>
          </w:p>
        </w:tc>
      </w:tr>
      <w:tr w:rsidR="00DE347C" w:rsidRPr="00EE0850" w14:paraId="6D3257BC"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11CFC67" w14:textId="77777777" w:rsidR="00DE347C" w:rsidRPr="00EE0850" w:rsidRDefault="00DE347C" w:rsidP="000C6220">
            <w:pPr>
              <w:spacing w:after="0" w:line="240" w:lineRule="auto"/>
              <w:rPr>
                <w:szCs w:val="22"/>
                <w:lang w:eastAsia="en-CA"/>
              </w:rPr>
            </w:pPr>
            <w:r w:rsidRPr="00EE0850">
              <w:rPr>
                <w:szCs w:val="22"/>
                <w:lang w:eastAsia="en-CA"/>
              </w:rPr>
              <w:t>Indonesia</w:t>
            </w:r>
          </w:p>
        </w:tc>
        <w:tc>
          <w:tcPr>
            <w:tcW w:w="1597" w:type="dxa"/>
            <w:tcBorders>
              <w:top w:val="nil"/>
              <w:left w:val="nil"/>
              <w:bottom w:val="single" w:sz="4" w:space="0" w:color="auto"/>
              <w:right w:val="single" w:sz="4" w:space="0" w:color="auto"/>
            </w:tcBorders>
            <w:shd w:val="clear" w:color="auto" w:fill="auto"/>
            <w:noWrap/>
            <w:vAlign w:val="center"/>
            <w:hideMark/>
          </w:tcPr>
          <w:p w14:paraId="500B9D82" w14:textId="77777777" w:rsidR="00DE347C" w:rsidRPr="00EE0850" w:rsidRDefault="00DE347C" w:rsidP="000C6220">
            <w:pPr>
              <w:spacing w:after="0" w:line="240" w:lineRule="auto"/>
              <w:jc w:val="right"/>
              <w:rPr>
                <w:szCs w:val="22"/>
                <w:lang w:eastAsia="en-CA"/>
              </w:rPr>
            </w:pPr>
            <w:r w:rsidRPr="00EE0850">
              <w:rPr>
                <w:szCs w:val="22"/>
                <w:lang w:eastAsia="en-CA"/>
              </w:rPr>
              <w:t>0.504</w:t>
            </w:r>
          </w:p>
        </w:tc>
        <w:tc>
          <w:tcPr>
            <w:tcW w:w="1597" w:type="dxa"/>
            <w:tcBorders>
              <w:top w:val="nil"/>
              <w:left w:val="nil"/>
              <w:bottom w:val="single" w:sz="4" w:space="0" w:color="auto"/>
              <w:right w:val="single" w:sz="4" w:space="0" w:color="auto"/>
            </w:tcBorders>
            <w:shd w:val="clear" w:color="auto" w:fill="auto"/>
            <w:noWrap/>
            <w:vAlign w:val="center"/>
            <w:hideMark/>
          </w:tcPr>
          <w:p w14:paraId="68A676DE" w14:textId="77777777" w:rsidR="00DE347C" w:rsidRPr="00EE0850" w:rsidRDefault="00DE347C" w:rsidP="000C6220">
            <w:pPr>
              <w:spacing w:after="0" w:line="240" w:lineRule="auto"/>
              <w:jc w:val="right"/>
              <w:rPr>
                <w:szCs w:val="22"/>
                <w:lang w:eastAsia="en-CA"/>
              </w:rPr>
            </w:pPr>
            <w:r w:rsidRPr="00EE0850">
              <w:rPr>
                <w:szCs w:val="22"/>
                <w:lang w:eastAsia="en-CA"/>
              </w:rPr>
              <w:t>0.931</w:t>
            </w:r>
          </w:p>
        </w:tc>
        <w:tc>
          <w:tcPr>
            <w:tcW w:w="1597" w:type="dxa"/>
            <w:tcBorders>
              <w:top w:val="nil"/>
              <w:left w:val="nil"/>
              <w:bottom w:val="single" w:sz="4" w:space="0" w:color="auto"/>
              <w:right w:val="single" w:sz="4" w:space="0" w:color="auto"/>
            </w:tcBorders>
            <w:shd w:val="clear" w:color="auto" w:fill="auto"/>
            <w:noWrap/>
            <w:vAlign w:val="center"/>
            <w:hideMark/>
          </w:tcPr>
          <w:p w14:paraId="552B048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16 399</w:t>
            </w:r>
          </w:p>
        </w:tc>
        <w:tc>
          <w:tcPr>
            <w:tcW w:w="1597" w:type="dxa"/>
            <w:tcBorders>
              <w:top w:val="nil"/>
              <w:left w:val="nil"/>
              <w:bottom w:val="single" w:sz="4" w:space="0" w:color="auto"/>
              <w:right w:val="single" w:sz="4" w:space="0" w:color="auto"/>
            </w:tcBorders>
            <w:shd w:val="clear" w:color="auto" w:fill="auto"/>
            <w:noWrap/>
            <w:vAlign w:val="center"/>
            <w:hideMark/>
          </w:tcPr>
          <w:p w14:paraId="6E58AB3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17 389</w:t>
            </w:r>
          </w:p>
        </w:tc>
        <w:tc>
          <w:tcPr>
            <w:tcW w:w="1598" w:type="dxa"/>
            <w:tcBorders>
              <w:top w:val="nil"/>
              <w:left w:val="nil"/>
              <w:bottom w:val="single" w:sz="4" w:space="0" w:color="auto"/>
              <w:right w:val="single" w:sz="4" w:space="0" w:color="auto"/>
            </w:tcBorders>
            <w:shd w:val="clear" w:color="auto" w:fill="auto"/>
            <w:noWrap/>
            <w:vAlign w:val="center"/>
            <w:hideMark/>
          </w:tcPr>
          <w:p w14:paraId="5AAE5651" w14:textId="77777777" w:rsidR="00DE347C" w:rsidRPr="00EE0850" w:rsidRDefault="00DE347C" w:rsidP="000C6220">
            <w:pPr>
              <w:spacing w:after="0" w:line="240" w:lineRule="auto"/>
              <w:jc w:val="right"/>
              <w:rPr>
                <w:szCs w:val="22"/>
                <w:lang w:eastAsia="en-CA"/>
              </w:rPr>
            </w:pPr>
            <w:r w:rsidRPr="00EE0850">
              <w:rPr>
                <w:szCs w:val="22"/>
                <w:lang w:eastAsia="en-CA"/>
              </w:rPr>
              <w:t>33 788</w:t>
            </w:r>
          </w:p>
        </w:tc>
      </w:tr>
      <w:tr w:rsidR="00DE347C" w:rsidRPr="00EE0850" w14:paraId="516A3A93"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F5CC03B" w14:textId="77777777" w:rsidR="00DE347C" w:rsidRPr="00EE0850" w:rsidRDefault="00DE347C" w:rsidP="000C6220">
            <w:pPr>
              <w:spacing w:after="0" w:line="240" w:lineRule="auto"/>
              <w:rPr>
                <w:szCs w:val="22"/>
                <w:lang w:eastAsia="en-CA"/>
              </w:rPr>
            </w:pPr>
            <w:r w:rsidRPr="00EE0850">
              <w:rPr>
                <w:szCs w:val="22"/>
                <w:lang w:eastAsia="en-CA"/>
              </w:rPr>
              <w:t>Japan</w:t>
            </w:r>
          </w:p>
        </w:tc>
        <w:tc>
          <w:tcPr>
            <w:tcW w:w="1597" w:type="dxa"/>
            <w:tcBorders>
              <w:top w:val="nil"/>
              <w:left w:val="nil"/>
              <w:bottom w:val="single" w:sz="4" w:space="0" w:color="auto"/>
              <w:right w:val="single" w:sz="4" w:space="0" w:color="auto"/>
            </w:tcBorders>
            <w:shd w:val="clear" w:color="auto" w:fill="auto"/>
            <w:noWrap/>
            <w:vAlign w:val="center"/>
            <w:hideMark/>
          </w:tcPr>
          <w:p w14:paraId="644777DD" w14:textId="77777777" w:rsidR="00DE347C" w:rsidRPr="00EE0850" w:rsidRDefault="00DE347C" w:rsidP="000C6220">
            <w:pPr>
              <w:spacing w:after="0" w:line="240" w:lineRule="auto"/>
              <w:jc w:val="right"/>
              <w:rPr>
                <w:szCs w:val="22"/>
                <w:lang w:eastAsia="en-CA"/>
              </w:rPr>
            </w:pPr>
            <w:r w:rsidRPr="00EE0850">
              <w:rPr>
                <w:szCs w:val="22"/>
                <w:lang w:eastAsia="en-CA"/>
              </w:rPr>
              <w:t>9.680</w:t>
            </w:r>
          </w:p>
        </w:tc>
        <w:tc>
          <w:tcPr>
            <w:tcW w:w="1597" w:type="dxa"/>
            <w:tcBorders>
              <w:top w:val="nil"/>
              <w:left w:val="nil"/>
              <w:bottom w:val="single" w:sz="4" w:space="0" w:color="auto"/>
              <w:right w:val="single" w:sz="4" w:space="0" w:color="auto"/>
            </w:tcBorders>
            <w:shd w:val="clear" w:color="auto" w:fill="auto"/>
            <w:noWrap/>
            <w:vAlign w:val="center"/>
            <w:hideMark/>
          </w:tcPr>
          <w:p w14:paraId="24CE50B9" w14:textId="77777777" w:rsidR="00DE347C" w:rsidRPr="00EE0850" w:rsidRDefault="00DE347C" w:rsidP="000C6220">
            <w:pPr>
              <w:spacing w:after="0" w:line="240" w:lineRule="auto"/>
              <w:jc w:val="right"/>
              <w:rPr>
                <w:szCs w:val="22"/>
                <w:lang w:eastAsia="en-CA"/>
              </w:rPr>
            </w:pPr>
            <w:r w:rsidRPr="00EE0850">
              <w:rPr>
                <w:szCs w:val="22"/>
                <w:lang w:eastAsia="en-CA"/>
              </w:rPr>
              <w:t>17.886</w:t>
            </w:r>
          </w:p>
        </w:tc>
        <w:tc>
          <w:tcPr>
            <w:tcW w:w="1597" w:type="dxa"/>
            <w:tcBorders>
              <w:top w:val="nil"/>
              <w:left w:val="nil"/>
              <w:bottom w:val="single" w:sz="4" w:space="0" w:color="auto"/>
              <w:right w:val="single" w:sz="4" w:space="0" w:color="auto"/>
            </w:tcBorders>
            <w:shd w:val="clear" w:color="auto" w:fill="auto"/>
            <w:noWrap/>
            <w:vAlign w:val="center"/>
            <w:hideMark/>
          </w:tcPr>
          <w:p w14:paraId="19FB9137"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314 961</w:t>
            </w:r>
          </w:p>
        </w:tc>
        <w:tc>
          <w:tcPr>
            <w:tcW w:w="1597" w:type="dxa"/>
            <w:tcBorders>
              <w:top w:val="nil"/>
              <w:left w:val="nil"/>
              <w:bottom w:val="single" w:sz="4" w:space="0" w:color="auto"/>
              <w:right w:val="single" w:sz="4" w:space="0" w:color="auto"/>
            </w:tcBorders>
            <w:shd w:val="clear" w:color="auto" w:fill="auto"/>
            <w:noWrap/>
            <w:vAlign w:val="center"/>
            <w:hideMark/>
          </w:tcPr>
          <w:p w14:paraId="62FEB3C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333 986</w:t>
            </w:r>
          </w:p>
        </w:tc>
        <w:tc>
          <w:tcPr>
            <w:tcW w:w="1598" w:type="dxa"/>
            <w:tcBorders>
              <w:top w:val="nil"/>
              <w:left w:val="nil"/>
              <w:bottom w:val="single" w:sz="4" w:space="0" w:color="auto"/>
              <w:right w:val="single" w:sz="4" w:space="0" w:color="auto"/>
            </w:tcBorders>
            <w:shd w:val="clear" w:color="auto" w:fill="auto"/>
            <w:noWrap/>
            <w:vAlign w:val="center"/>
            <w:hideMark/>
          </w:tcPr>
          <w:p w14:paraId="6044FB51" w14:textId="77777777" w:rsidR="00DE347C" w:rsidRPr="00EE0850" w:rsidRDefault="00DE347C" w:rsidP="000C6220">
            <w:pPr>
              <w:spacing w:after="0" w:line="240" w:lineRule="auto"/>
              <w:jc w:val="right"/>
              <w:rPr>
                <w:szCs w:val="22"/>
                <w:lang w:eastAsia="en-CA"/>
              </w:rPr>
            </w:pPr>
            <w:r w:rsidRPr="00EE0850">
              <w:rPr>
                <w:szCs w:val="22"/>
                <w:lang w:eastAsia="en-CA"/>
              </w:rPr>
              <w:t>648 947</w:t>
            </w:r>
          </w:p>
        </w:tc>
      </w:tr>
      <w:tr w:rsidR="00DE347C" w:rsidRPr="00EE0850" w14:paraId="55734798"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35605AC" w14:textId="77777777" w:rsidR="00DE347C" w:rsidRPr="00EE0850" w:rsidRDefault="00DE347C" w:rsidP="000C6220">
            <w:pPr>
              <w:spacing w:after="0" w:line="240" w:lineRule="auto"/>
              <w:rPr>
                <w:szCs w:val="22"/>
                <w:lang w:eastAsia="en-CA"/>
              </w:rPr>
            </w:pPr>
            <w:r w:rsidRPr="00EE0850">
              <w:rPr>
                <w:szCs w:val="22"/>
                <w:lang w:eastAsia="en-CA"/>
              </w:rPr>
              <w:t>Jordan</w:t>
            </w:r>
          </w:p>
        </w:tc>
        <w:tc>
          <w:tcPr>
            <w:tcW w:w="1597" w:type="dxa"/>
            <w:tcBorders>
              <w:top w:val="nil"/>
              <w:left w:val="nil"/>
              <w:bottom w:val="single" w:sz="4" w:space="0" w:color="auto"/>
              <w:right w:val="single" w:sz="4" w:space="0" w:color="auto"/>
            </w:tcBorders>
            <w:shd w:val="clear" w:color="auto" w:fill="auto"/>
            <w:noWrap/>
            <w:vAlign w:val="center"/>
            <w:hideMark/>
          </w:tcPr>
          <w:p w14:paraId="46248362" w14:textId="77777777" w:rsidR="00DE347C" w:rsidRPr="00EE0850" w:rsidRDefault="00DE347C" w:rsidP="000C6220">
            <w:pPr>
              <w:spacing w:after="0" w:line="240" w:lineRule="auto"/>
              <w:jc w:val="right"/>
              <w:rPr>
                <w:szCs w:val="22"/>
                <w:lang w:eastAsia="en-CA"/>
              </w:rPr>
            </w:pPr>
            <w:r w:rsidRPr="00EE0850">
              <w:rPr>
                <w:szCs w:val="22"/>
                <w:lang w:eastAsia="en-CA"/>
              </w:rPr>
              <w:t>0.020</w:t>
            </w:r>
          </w:p>
        </w:tc>
        <w:tc>
          <w:tcPr>
            <w:tcW w:w="1597" w:type="dxa"/>
            <w:tcBorders>
              <w:top w:val="nil"/>
              <w:left w:val="nil"/>
              <w:bottom w:val="single" w:sz="4" w:space="0" w:color="auto"/>
              <w:right w:val="single" w:sz="4" w:space="0" w:color="auto"/>
            </w:tcBorders>
            <w:shd w:val="clear" w:color="auto" w:fill="auto"/>
            <w:noWrap/>
            <w:vAlign w:val="center"/>
            <w:hideMark/>
          </w:tcPr>
          <w:p w14:paraId="01D10FA9" w14:textId="77777777" w:rsidR="00DE347C" w:rsidRPr="00EE0850" w:rsidRDefault="00DE347C" w:rsidP="000C6220">
            <w:pPr>
              <w:spacing w:after="0" w:line="240" w:lineRule="auto"/>
              <w:jc w:val="right"/>
              <w:rPr>
                <w:szCs w:val="22"/>
                <w:lang w:eastAsia="en-CA"/>
              </w:rPr>
            </w:pPr>
            <w:r w:rsidRPr="00EE0850">
              <w:rPr>
                <w:szCs w:val="22"/>
                <w:lang w:eastAsia="en-CA"/>
              </w:rPr>
              <w:t>0.037</w:t>
            </w:r>
          </w:p>
        </w:tc>
        <w:tc>
          <w:tcPr>
            <w:tcW w:w="1597" w:type="dxa"/>
            <w:tcBorders>
              <w:top w:val="nil"/>
              <w:left w:val="nil"/>
              <w:bottom w:val="single" w:sz="4" w:space="0" w:color="auto"/>
              <w:right w:val="single" w:sz="4" w:space="0" w:color="auto"/>
            </w:tcBorders>
            <w:shd w:val="clear" w:color="auto" w:fill="auto"/>
            <w:noWrap/>
            <w:vAlign w:val="center"/>
            <w:hideMark/>
          </w:tcPr>
          <w:p w14:paraId="4C527DB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651</w:t>
            </w:r>
          </w:p>
        </w:tc>
        <w:tc>
          <w:tcPr>
            <w:tcW w:w="1597" w:type="dxa"/>
            <w:tcBorders>
              <w:top w:val="nil"/>
              <w:left w:val="nil"/>
              <w:bottom w:val="single" w:sz="4" w:space="0" w:color="auto"/>
              <w:right w:val="single" w:sz="4" w:space="0" w:color="auto"/>
            </w:tcBorders>
            <w:shd w:val="clear" w:color="auto" w:fill="auto"/>
            <w:noWrap/>
            <w:vAlign w:val="center"/>
            <w:hideMark/>
          </w:tcPr>
          <w:p w14:paraId="13ACCB1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690</w:t>
            </w:r>
          </w:p>
        </w:tc>
        <w:tc>
          <w:tcPr>
            <w:tcW w:w="1598" w:type="dxa"/>
            <w:tcBorders>
              <w:top w:val="nil"/>
              <w:left w:val="nil"/>
              <w:bottom w:val="single" w:sz="4" w:space="0" w:color="auto"/>
              <w:right w:val="single" w:sz="4" w:space="0" w:color="auto"/>
            </w:tcBorders>
            <w:shd w:val="clear" w:color="auto" w:fill="auto"/>
            <w:noWrap/>
            <w:vAlign w:val="center"/>
            <w:hideMark/>
          </w:tcPr>
          <w:p w14:paraId="66F80F63" w14:textId="77777777" w:rsidR="00DE347C" w:rsidRPr="00EE0850" w:rsidRDefault="00DE347C" w:rsidP="000C6220">
            <w:pPr>
              <w:spacing w:after="0" w:line="240" w:lineRule="auto"/>
              <w:jc w:val="right"/>
              <w:rPr>
                <w:szCs w:val="22"/>
                <w:lang w:eastAsia="en-CA"/>
              </w:rPr>
            </w:pPr>
            <w:r w:rsidRPr="00EE0850">
              <w:rPr>
                <w:szCs w:val="22"/>
                <w:lang w:eastAsia="en-CA"/>
              </w:rPr>
              <w:t>1 341</w:t>
            </w:r>
          </w:p>
        </w:tc>
      </w:tr>
      <w:tr w:rsidR="00DE347C" w:rsidRPr="00EE0850" w14:paraId="4382537E"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28E6B02" w14:textId="77777777" w:rsidR="00DE347C" w:rsidRPr="00EE0850" w:rsidRDefault="00DE347C" w:rsidP="000C6220">
            <w:pPr>
              <w:spacing w:after="0" w:line="240" w:lineRule="auto"/>
              <w:rPr>
                <w:szCs w:val="22"/>
                <w:lang w:eastAsia="en-CA"/>
              </w:rPr>
            </w:pPr>
            <w:r w:rsidRPr="00EE0850">
              <w:rPr>
                <w:szCs w:val="22"/>
                <w:lang w:eastAsia="en-CA"/>
              </w:rPr>
              <w:t>Kazakhstan</w:t>
            </w:r>
          </w:p>
        </w:tc>
        <w:tc>
          <w:tcPr>
            <w:tcW w:w="1597" w:type="dxa"/>
            <w:tcBorders>
              <w:top w:val="nil"/>
              <w:left w:val="nil"/>
              <w:bottom w:val="single" w:sz="4" w:space="0" w:color="auto"/>
              <w:right w:val="single" w:sz="4" w:space="0" w:color="auto"/>
            </w:tcBorders>
            <w:shd w:val="clear" w:color="auto" w:fill="auto"/>
            <w:noWrap/>
            <w:vAlign w:val="center"/>
            <w:hideMark/>
          </w:tcPr>
          <w:p w14:paraId="6CAC0EEE" w14:textId="77777777" w:rsidR="00DE347C" w:rsidRPr="00EE0850" w:rsidRDefault="00DE347C" w:rsidP="000C6220">
            <w:pPr>
              <w:spacing w:after="0" w:line="240" w:lineRule="auto"/>
              <w:jc w:val="right"/>
              <w:rPr>
                <w:szCs w:val="22"/>
                <w:lang w:eastAsia="en-CA"/>
              </w:rPr>
            </w:pPr>
            <w:r w:rsidRPr="00EE0850">
              <w:rPr>
                <w:szCs w:val="22"/>
                <w:lang w:eastAsia="en-CA"/>
              </w:rPr>
              <w:t>0.191</w:t>
            </w:r>
          </w:p>
        </w:tc>
        <w:tc>
          <w:tcPr>
            <w:tcW w:w="1597" w:type="dxa"/>
            <w:tcBorders>
              <w:top w:val="nil"/>
              <w:left w:val="nil"/>
              <w:bottom w:val="single" w:sz="4" w:space="0" w:color="auto"/>
              <w:right w:val="single" w:sz="4" w:space="0" w:color="auto"/>
            </w:tcBorders>
            <w:shd w:val="clear" w:color="auto" w:fill="auto"/>
            <w:noWrap/>
            <w:vAlign w:val="center"/>
            <w:hideMark/>
          </w:tcPr>
          <w:p w14:paraId="1FC5AD2F" w14:textId="77777777" w:rsidR="00DE347C" w:rsidRPr="00EE0850" w:rsidRDefault="00DE347C" w:rsidP="000C6220">
            <w:pPr>
              <w:spacing w:after="0" w:line="240" w:lineRule="auto"/>
              <w:jc w:val="right"/>
              <w:rPr>
                <w:szCs w:val="22"/>
                <w:lang w:eastAsia="en-CA"/>
              </w:rPr>
            </w:pPr>
            <w:r w:rsidRPr="00EE0850">
              <w:rPr>
                <w:szCs w:val="22"/>
                <w:lang w:eastAsia="en-CA"/>
              </w:rPr>
              <w:t>0.353</w:t>
            </w:r>
          </w:p>
        </w:tc>
        <w:tc>
          <w:tcPr>
            <w:tcW w:w="1597" w:type="dxa"/>
            <w:tcBorders>
              <w:top w:val="nil"/>
              <w:left w:val="nil"/>
              <w:bottom w:val="single" w:sz="4" w:space="0" w:color="auto"/>
              <w:right w:val="single" w:sz="4" w:space="0" w:color="auto"/>
            </w:tcBorders>
            <w:shd w:val="clear" w:color="auto" w:fill="auto"/>
            <w:noWrap/>
            <w:vAlign w:val="center"/>
            <w:hideMark/>
          </w:tcPr>
          <w:p w14:paraId="7D91AD2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6 215</w:t>
            </w:r>
          </w:p>
        </w:tc>
        <w:tc>
          <w:tcPr>
            <w:tcW w:w="1597" w:type="dxa"/>
            <w:tcBorders>
              <w:top w:val="nil"/>
              <w:left w:val="nil"/>
              <w:bottom w:val="single" w:sz="4" w:space="0" w:color="auto"/>
              <w:right w:val="single" w:sz="4" w:space="0" w:color="auto"/>
            </w:tcBorders>
            <w:shd w:val="clear" w:color="auto" w:fill="auto"/>
            <w:noWrap/>
            <w:vAlign w:val="center"/>
            <w:hideMark/>
          </w:tcPr>
          <w:p w14:paraId="58ABA8A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6 590</w:t>
            </w:r>
          </w:p>
        </w:tc>
        <w:tc>
          <w:tcPr>
            <w:tcW w:w="1598" w:type="dxa"/>
            <w:tcBorders>
              <w:top w:val="nil"/>
              <w:left w:val="nil"/>
              <w:bottom w:val="single" w:sz="4" w:space="0" w:color="auto"/>
              <w:right w:val="single" w:sz="4" w:space="0" w:color="auto"/>
            </w:tcBorders>
            <w:shd w:val="clear" w:color="auto" w:fill="auto"/>
            <w:noWrap/>
            <w:vAlign w:val="center"/>
            <w:hideMark/>
          </w:tcPr>
          <w:p w14:paraId="4C71C43E" w14:textId="77777777" w:rsidR="00DE347C" w:rsidRPr="00EE0850" w:rsidRDefault="00DE347C" w:rsidP="000C6220">
            <w:pPr>
              <w:spacing w:after="0" w:line="240" w:lineRule="auto"/>
              <w:jc w:val="right"/>
              <w:rPr>
                <w:szCs w:val="22"/>
                <w:lang w:eastAsia="en-CA"/>
              </w:rPr>
            </w:pPr>
            <w:r w:rsidRPr="00EE0850">
              <w:rPr>
                <w:szCs w:val="22"/>
                <w:lang w:eastAsia="en-CA"/>
              </w:rPr>
              <w:t>12 805</w:t>
            </w:r>
          </w:p>
        </w:tc>
      </w:tr>
      <w:tr w:rsidR="00DE347C" w:rsidRPr="00EE0850" w14:paraId="216E17E8"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9C9E1DC" w14:textId="77777777" w:rsidR="00DE347C" w:rsidRPr="00EE0850" w:rsidRDefault="00DE347C" w:rsidP="000C6220">
            <w:pPr>
              <w:spacing w:after="0" w:line="240" w:lineRule="auto"/>
              <w:rPr>
                <w:szCs w:val="22"/>
                <w:lang w:eastAsia="en-CA"/>
              </w:rPr>
            </w:pPr>
            <w:r w:rsidRPr="00EE0850">
              <w:rPr>
                <w:szCs w:val="22"/>
                <w:lang w:eastAsia="en-CA"/>
              </w:rPr>
              <w:t>Kenya</w:t>
            </w:r>
          </w:p>
        </w:tc>
        <w:tc>
          <w:tcPr>
            <w:tcW w:w="1597" w:type="dxa"/>
            <w:tcBorders>
              <w:top w:val="nil"/>
              <w:left w:val="nil"/>
              <w:bottom w:val="single" w:sz="4" w:space="0" w:color="auto"/>
              <w:right w:val="single" w:sz="4" w:space="0" w:color="auto"/>
            </w:tcBorders>
            <w:shd w:val="clear" w:color="auto" w:fill="auto"/>
            <w:noWrap/>
            <w:vAlign w:val="center"/>
            <w:hideMark/>
          </w:tcPr>
          <w:p w14:paraId="50EAB400" w14:textId="77777777" w:rsidR="00DE347C" w:rsidRPr="00EE0850" w:rsidRDefault="00DE347C" w:rsidP="000C6220">
            <w:pPr>
              <w:spacing w:after="0" w:line="240" w:lineRule="auto"/>
              <w:jc w:val="right"/>
              <w:rPr>
                <w:szCs w:val="22"/>
                <w:lang w:eastAsia="en-CA"/>
              </w:rPr>
            </w:pPr>
            <w:r w:rsidRPr="00EE0850">
              <w:rPr>
                <w:szCs w:val="22"/>
                <w:lang w:eastAsia="en-CA"/>
              </w:rPr>
              <w:t>0.018</w:t>
            </w:r>
          </w:p>
        </w:tc>
        <w:tc>
          <w:tcPr>
            <w:tcW w:w="1597" w:type="dxa"/>
            <w:tcBorders>
              <w:top w:val="nil"/>
              <w:left w:val="nil"/>
              <w:bottom w:val="single" w:sz="4" w:space="0" w:color="auto"/>
              <w:right w:val="single" w:sz="4" w:space="0" w:color="auto"/>
            </w:tcBorders>
            <w:shd w:val="clear" w:color="auto" w:fill="auto"/>
            <w:noWrap/>
            <w:vAlign w:val="center"/>
            <w:hideMark/>
          </w:tcPr>
          <w:p w14:paraId="5708403C" w14:textId="77777777" w:rsidR="00DE347C" w:rsidRPr="00EE0850" w:rsidRDefault="00DE347C" w:rsidP="000C6220">
            <w:pPr>
              <w:spacing w:after="0" w:line="240" w:lineRule="auto"/>
              <w:jc w:val="right"/>
              <w:rPr>
                <w:szCs w:val="22"/>
                <w:lang w:eastAsia="en-CA"/>
              </w:rPr>
            </w:pPr>
            <w:r w:rsidRPr="00EE0850">
              <w:rPr>
                <w:szCs w:val="22"/>
                <w:lang w:eastAsia="en-CA"/>
              </w:rPr>
              <w:t>0.033</w:t>
            </w:r>
          </w:p>
        </w:tc>
        <w:tc>
          <w:tcPr>
            <w:tcW w:w="1597" w:type="dxa"/>
            <w:tcBorders>
              <w:top w:val="nil"/>
              <w:left w:val="nil"/>
              <w:bottom w:val="single" w:sz="4" w:space="0" w:color="auto"/>
              <w:right w:val="single" w:sz="4" w:space="0" w:color="auto"/>
            </w:tcBorders>
            <w:shd w:val="clear" w:color="auto" w:fill="auto"/>
            <w:noWrap/>
            <w:vAlign w:val="center"/>
            <w:hideMark/>
          </w:tcPr>
          <w:p w14:paraId="72952EA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586</w:t>
            </w:r>
          </w:p>
        </w:tc>
        <w:tc>
          <w:tcPr>
            <w:tcW w:w="1597" w:type="dxa"/>
            <w:tcBorders>
              <w:top w:val="nil"/>
              <w:left w:val="nil"/>
              <w:bottom w:val="single" w:sz="4" w:space="0" w:color="auto"/>
              <w:right w:val="single" w:sz="4" w:space="0" w:color="auto"/>
            </w:tcBorders>
            <w:shd w:val="clear" w:color="auto" w:fill="auto"/>
            <w:noWrap/>
            <w:vAlign w:val="center"/>
            <w:hideMark/>
          </w:tcPr>
          <w:p w14:paraId="602B122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621</w:t>
            </w:r>
          </w:p>
        </w:tc>
        <w:tc>
          <w:tcPr>
            <w:tcW w:w="1598" w:type="dxa"/>
            <w:tcBorders>
              <w:top w:val="nil"/>
              <w:left w:val="nil"/>
              <w:bottom w:val="single" w:sz="4" w:space="0" w:color="auto"/>
              <w:right w:val="single" w:sz="4" w:space="0" w:color="auto"/>
            </w:tcBorders>
            <w:shd w:val="clear" w:color="auto" w:fill="auto"/>
            <w:noWrap/>
            <w:vAlign w:val="center"/>
            <w:hideMark/>
          </w:tcPr>
          <w:p w14:paraId="6F656F5C" w14:textId="77777777" w:rsidR="00DE347C" w:rsidRPr="00EE0850" w:rsidRDefault="00DE347C" w:rsidP="000C6220">
            <w:pPr>
              <w:spacing w:after="0" w:line="240" w:lineRule="auto"/>
              <w:jc w:val="right"/>
              <w:rPr>
                <w:szCs w:val="22"/>
                <w:lang w:eastAsia="en-CA"/>
              </w:rPr>
            </w:pPr>
            <w:r w:rsidRPr="00EE0850">
              <w:rPr>
                <w:szCs w:val="22"/>
                <w:lang w:eastAsia="en-CA"/>
              </w:rPr>
              <w:t>1 207</w:t>
            </w:r>
          </w:p>
        </w:tc>
      </w:tr>
      <w:tr w:rsidR="00DE347C" w:rsidRPr="00EE0850" w14:paraId="09F53853"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797DFF2" w14:textId="77777777" w:rsidR="00DE347C" w:rsidRPr="00EE0850" w:rsidRDefault="00DE347C" w:rsidP="000C6220">
            <w:pPr>
              <w:spacing w:after="0" w:line="240" w:lineRule="auto"/>
              <w:rPr>
                <w:szCs w:val="22"/>
                <w:lang w:eastAsia="en-CA"/>
              </w:rPr>
            </w:pPr>
            <w:r w:rsidRPr="00EE0850">
              <w:rPr>
                <w:szCs w:val="22"/>
                <w:lang w:eastAsia="en-CA"/>
              </w:rPr>
              <w:t>Kuwait</w:t>
            </w:r>
          </w:p>
        </w:tc>
        <w:tc>
          <w:tcPr>
            <w:tcW w:w="1597" w:type="dxa"/>
            <w:tcBorders>
              <w:top w:val="nil"/>
              <w:left w:val="nil"/>
              <w:bottom w:val="single" w:sz="4" w:space="0" w:color="auto"/>
              <w:right w:val="single" w:sz="4" w:space="0" w:color="auto"/>
            </w:tcBorders>
            <w:shd w:val="clear" w:color="auto" w:fill="auto"/>
            <w:noWrap/>
            <w:vAlign w:val="center"/>
            <w:hideMark/>
          </w:tcPr>
          <w:p w14:paraId="38771763" w14:textId="77777777" w:rsidR="00DE347C" w:rsidRPr="00EE0850" w:rsidRDefault="00DE347C" w:rsidP="000C6220">
            <w:pPr>
              <w:spacing w:after="0" w:line="240" w:lineRule="auto"/>
              <w:jc w:val="right"/>
              <w:rPr>
                <w:szCs w:val="22"/>
                <w:lang w:eastAsia="en-CA"/>
              </w:rPr>
            </w:pPr>
            <w:r w:rsidRPr="00EE0850">
              <w:rPr>
                <w:szCs w:val="22"/>
                <w:lang w:eastAsia="en-CA"/>
              </w:rPr>
              <w:t>0.285</w:t>
            </w:r>
          </w:p>
        </w:tc>
        <w:tc>
          <w:tcPr>
            <w:tcW w:w="1597" w:type="dxa"/>
            <w:tcBorders>
              <w:top w:val="nil"/>
              <w:left w:val="nil"/>
              <w:bottom w:val="single" w:sz="4" w:space="0" w:color="auto"/>
              <w:right w:val="single" w:sz="4" w:space="0" w:color="auto"/>
            </w:tcBorders>
            <w:shd w:val="clear" w:color="auto" w:fill="auto"/>
            <w:noWrap/>
            <w:vAlign w:val="center"/>
            <w:hideMark/>
          </w:tcPr>
          <w:p w14:paraId="4BC90DF3" w14:textId="77777777" w:rsidR="00DE347C" w:rsidRPr="00EE0850" w:rsidRDefault="00DE347C" w:rsidP="000C6220">
            <w:pPr>
              <w:spacing w:after="0" w:line="240" w:lineRule="auto"/>
              <w:jc w:val="right"/>
              <w:rPr>
                <w:szCs w:val="22"/>
                <w:lang w:eastAsia="en-CA"/>
              </w:rPr>
            </w:pPr>
            <w:r w:rsidRPr="00EE0850">
              <w:rPr>
                <w:szCs w:val="22"/>
                <w:lang w:eastAsia="en-CA"/>
              </w:rPr>
              <w:t>0.527</w:t>
            </w:r>
          </w:p>
        </w:tc>
        <w:tc>
          <w:tcPr>
            <w:tcW w:w="1597" w:type="dxa"/>
            <w:tcBorders>
              <w:top w:val="nil"/>
              <w:left w:val="nil"/>
              <w:bottom w:val="single" w:sz="4" w:space="0" w:color="auto"/>
              <w:right w:val="single" w:sz="4" w:space="0" w:color="auto"/>
            </w:tcBorders>
            <w:shd w:val="clear" w:color="auto" w:fill="auto"/>
            <w:noWrap/>
            <w:vAlign w:val="center"/>
            <w:hideMark/>
          </w:tcPr>
          <w:p w14:paraId="7B290D1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9 273</w:t>
            </w:r>
          </w:p>
        </w:tc>
        <w:tc>
          <w:tcPr>
            <w:tcW w:w="1597" w:type="dxa"/>
            <w:tcBorders>
              <w:top w:val="nil"/>
              <w:left w:val="nil"/>
              <w:bottom w:val="single" w:sz="4" w:space="0" w:color="auto"/>
              <w:right w:val="single" w:sz="4" w:space="0" w:color="auto"/>
            </w:tcBorders>
            <w:shd w:val="clear" w:color="auto" w:fill="auto"/>
            <w:noWrap/>
            <w:vAlign w:val="center"/>
            <w:hideMark/>
          </w:tcPr>
          <w:p w14:paraId="70E77E0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9 833</w:t>
            </w:r>
          </w:p>
        </w:tc>
        <w:tc>
          <w:tcPr>
            <w:tcW w:w="1598" w:type="dxa"/>
            <w:tcBorders>
              <w:top w:val="nil"/>
              <w:left w:val="nil"/>
              <w:bottom w:val="single" w:sz="4" w:space="0" w:color="auto"/>
              <w:right w:val="single" w:sz="4" w:space="0" w:color="auto"/>
            </w:tcBorders>
            <w:shd w:val="clear" w:color="auto" w:fill="auto"/>
            <w:noWrap/>
            <w:vAlign w:val="center"/>
            <w:hideMark/>
          </w:tcPr>
          <w:p w14:paraId="7BDA8A36" w14:textId="77777777" w:rsidR="00DE347C" w:rsidRPr="00EE0850" w:rsidRDefault="00DE347C" w:rsidP="000C6220">
            <w:pPr>
              <w:spacing w:after="0" w:line="240" w:lineRule="auto"/>
              <w:jc w:val="right"/>
              <w:rPr>
                <w:szCs w:val="22"/>
                <w:lang w:eastAsia="en-CA"/>
              </w:rPr>
            </w:pPr>
            <w:r w:rsidRPr="00EE0850">
              <w:rPr>
                <w:szCs w:val="22"/>
                <w:lang w:eastAsia="en-CA"/>
              </w:rPr>
              <w:t>19 106</w:t>
            </w:r>
          </w:p>
        </w:tc>
      </w:tr>
      <w:tr w:rsidR="00DE347C" w:rsidRPr="00EE0850" w14:paraId="00C0F754"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F7E81A0" w14:textId="77777777" w:rsidR="00DE347C" w:rsidRPr="00EE0850" w:rsidRDefault="00DE347C" w:rsidP="000C6220">
            <w:pPr>
              <w:spacing w:after="0" w:line="240" w:lineRule="auto"/>
              <w:rPr>
                <w:szCs w:val="22"/>
                <w:lang w:eastAsia="en-CA"/>
              </w:rPr>
            </w:pPr>
            <w:r w:rsidRPr="00EE0850">
              <w:rPr>
                <w:szCs w:val="22"/>
                <w:lang w:eastAsia="en-CA"/>
              </w:rPr>
              <w:t>Kyrgyzstan</w:t>
            </w:r>
          </w:p>
        </w:tc>
        <w:tc>
          <w:tcPr>
            <w:tcW w:w="1597" w:type="dxa"/>
            <w:tcBorders>
              <w:top w:val="nil"/>
              <w:left w:val="nil"/>
              <w:bottom w:val="single" w:sz="4" w:space="0" w:color="auto"/>
              <w:right w:val="single" w:sz="4" w:space="0" w:color="auto"/>
            </w:tcBorders>
            <w:shd w:val="clear" w:color="auto" w:fill="auto"/>
            <w:noWrap/>
            <w:vAlign w:val="center"/>
            <w:hideMark/>
          </w:tcPr>
          <w:p w14:paraId="533F96D0"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49899289"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3DC77DF7"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293851A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70A18D91" w14:textId="77777777" w:rsidR="00DE347C" w:rsidRPr="00EE0850" w:rsidRDefault="00DE347C" w:rsidP="000C6220">
            <w:pPr>
              <w:spacing w:after="0" w:line="240" w:lineRule="auto"/>
              <w:jc w:val="right"/>
              <w:rPr>
                <w:szCs w:val="22"/>
                <w:lang w:eastAsia="en-CA"/>
              </w:rPr>
            </w:pPr>
            <w:r w:rsidRPr="00EE0850">
              <w:rPr>
                <w:szCs w:val="22"/>
                <w:lang w:eastAsia="en-CA"/>
              </w:rPr>
              <w:t>134</w:t>
            </w:r>
          </w:p>
        </w:tc>
      </w:tr>
      <w:tr w:rsidR="00DE347C" w:rsidRPr="00EE0850" w14:paraId="3339E5A6"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5DD0A8A" w14:textId="77777777" w:rsidR="00DE347C" w:rsidRPr="00EE0850" w:rsidRDefault="00DE347C" w:rsidP="000C6220">
            <w:pPr>
              <w:spacing w:after="0" w:line="240" w:lineRule="auto"/>
              <w:rPr>
                <w:szCs w:val="22"/>
                <w:lang w:eastAsia="en-CA"/>
              </w:rPr>
            </w:pPr>
            <w:r w:rsidRPr="00EE0850">
              <w:rPr>
                <w:szCs w:val="22"/>
                <w:lang w:eastAsia="en-CA"/>
              </w:rPr>
              <w:t>Lao People’s Democratic Republic</w:t>
            </w:r>
          </w:p>
        </w:tc>
        <w:tc>
          <w:tcPr>
            <w:tcW w:w="1597" w:type="dxa"/>
            <w:tcBorders>
              <w:top w:val="nil"/>
              <w:left w:val="nil"/>
              <w:bottom w:val="single" w:sz="4" w:space="0" w:color="auto"/>
              <w:right w:val="single" w:sz="4" w:space="0" w:color="auto"/>
            </w:tcBorders>
            <w:shd w:val="clear" w:color="auto" w:fill="auto"/>
            <w:noWrap/>
            <w:vAlign w:val="center"/>
            <w:hideMark/>
          </w:tcPr>
          <w:p w14:paraId="0BEA0C61" w14:textId="77777777" w:rsidR="00DE347C" w:rsidRPr="00EE0850" w:rsidRDefault="00DE347C" w:rsidP="000C6220">
            <w:pPr>
              <w:spacing w:after="0" w:line="240" w:lineRule="auto"/>
              <w:jc w:val="right"/>
              <w:rPr>
                <w:szCs w:val="22"/>
                <w:lang w:eastAsia="en-CA"/>
              </w:rPr>
            </w:pPr>
            <w:r w:rsidRPr="00EE0850">
              <w:rPr>
                <w:szCs w:val="22"/>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2CE9A5B6" w14:textId="77777777" w:rsidR="00DE347C" w:rsidRPr="00EE0850" w:rsidRDefault="00DE347C" w:rsidP="000C6220">
            <w:pPr>
              <w:spacing w:after="0" w:line="240" w:lineRule="auto"/>
              <w:jc w:val="right"/>
              <w:rPr>
                <w:szCs w:val="22"/>
                <w:lang w:eastAsia="en-CA"/>
              </w:rPr>
            </w:pPr>
            <w:r w:rsidRPr="00EE0850">
              <w:rPr>
                <w:szCs w:val="22"/>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1A8701B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485A1AF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43C9E3ED" w14:textId="77777777" w:rsidR="00DE347C" w:rsidRPr="00EE0850" w:rsidRDefault="00DE347C" w:rsidP="000C6220">
            <w:pPr>
              <w:spacing w:after="0" w:line="240" w:lineRule="auto"/>
              <w:jc w:val="right"/>
              <w:rPr>
                <w:szCs w:val="22"/>
                <w:lang w:eastAsia="en-CA"/>
              </w:rPr>
            </w:pPr>
            <w:r w:rsidRPr="00EE0850">
              <w:rPr>
                <w:szCs w:val="22"/>
                <w:lang w:eastAsia="en-CA"/>
              </w:rPr>
              <w:t>201</w:t>
            </w:r>
          </w:p>
        </w:tc>
      </w:tr>
      <w:tr w:rsidR="00DE347C" w:rsidRPr="00EE0850" w14:paraId="310C56F2"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F2BD005" w14:textId="77777777" w:rsidR="00DE347C" w:rsidRPr="00EE0850" w:rsidRDefault="00DE347C" w:rsidP="000C6220">
            <w:pPr>
              <w:spacing w:after="0" w:line="240" w:lineRule="auto"/>
              <w:rPr>
                <w:szCs w:val="22"/>
                <w:lang w:eastAsia="en-CA"/>
              </w:rPr>
            </w:pPr>
            <w:r w:rsidRPr="00EE0850">
              <w:rPr>
                <w:szCs w:val="22"/>
                <w:lang w:eastAsia="en-CA"/>
              </w:rPr>
              <w:t>Lebanon</w:t>
            </w:r>
          </w:p>
        </w:tc>
        <w:tc>
          <w:tcPr>
            <w:tcW w:w="1597" w:type="dxa"/>
            <w:tcBorders>
              <w:top w:val="nil"/>
              <w:left w:val="nil"/>
              <w:bottom w:val="single" w:sz="4" w:space="0" w:color="auto"/>
              <w:right w:val="single" w:sz="4" w:space="0" w:color="auto"/>
            </w:tcBorders>
            <w:shd w:val="clear" w:color="auto" w:fill="auto"/>
            <w:noWrap/>
            <w:vAlign w:val="center"/>
            <w:hideMark/>
          </w:tcPr>
          <w:p w14:paraId="5ED82AED" w14:textId="77777777" w:rsidR="00DE347C" w:rsidRPr="00EE0850" w:rsidRDefault="00DE347C" w:rsidP="000C6220">
            <w:pPr>
              <w:spacing w:after="0" w:line="240" w:lineRule="auto"/>
              <w:jc w:val="right"/>
              <w:rPr>
                <w:szCs w:val="22"/>
                <w:lang w:eastAsia="en-CA"/>
              </w:rPr>
            </w:pPr>
            <w:r w:rsidRPr="00EE0850">
              <w:rPr>
                <w:szCs w:val="22"/>
                <w:lang w:eastAsia="en-CA"/>
              </w:rPr>
              <w:t>0.046</w:t>
            </w:r>
          </w:p>
        </w:tc>
        <w:tc>
          <w:tcPr>
            <w:tcW w:w="1597" w:type="dxa"/>
            <w:tcBorders>
              <w:top w:val="nil"/>
              <w:left w:val="nil"/>
              <w:bottom w:val="single" w:sz="4" w:space="0" w:color="auto"/>
              <w:right w:val="single" w:sz="4" w:space="0" w:color="auto"/>
            </w:tcBorders>
            <w:shd w:val="clear" w:color="auto" w:fill="auto"/>
            <w:noWrap/>
            <w:vAlign w:val="center"/>
            <w:hideMark/>
          </w:tcPr>
          <w:p w14:paraId="25F3C182" w14:textId="77777777" w:rsidR="00DE347C" w:rsidRPr="00EE0850" w:rsidRDefault="00DE347C" w:rsidP="000C6220">
            <w:pPr>
              <w:spacing w:after="0" w:line="240" w:lineRule="auto"/>
              <w:jc w:val="right"/>
              <w:rPr>
                <w:szCs w:val="22"/>
                <w:lang w:eastAsia="en-CA"/>
              </w:rPr>
            </w:pPr>
            <w:r w:rsidRPr="00EE0850">
              <w:rPr>
                <w:szCs w:val="22"/>
                <w:lang w:eastAsia="en-CA"/>
              </w:rPr>
              <w:t>0.085</w:t>
            </w:r>
          </w:p>
        </w:tc>
        <w:tc>
          <w:tcPr>
            <w:tcW w:w="1597" w:type="dxa"/>
            <w:tcBorders>
              <w:top w:val="nil"/>
              <w:left w:val="nil"/>
              <w:bottom w:val="single" w:sz="4" w:space="0" w:color="auto"/>
              <w:right w:val="single" w:sz="4" w:space="0" w:color="auto"/>
            </w:tcBorders>
            <w:shd w:val="clear" w:color="auto" w:fill="auto"/>
            <w:noWrap/>
            <w:vAlign w:val="center"/>
            <w:hideMark/>
          </w:tcPr>
          <w:p w14:paraId="135351E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1 497</w:t>
            </w:r>
          </w:p>
        </w:tc>
        <w:tc>
          <w:tcPr>
            <w:tcW w:w="1597" w:type="dxa"/>
            <w:tcBorders>
              <w:top w:val="nil"/>
              <w:left w:val="nil"/>
              <w:bottom w:val="single" w:sz="4" w:space="0" w:color="auto"/>
              <w:right w:val="single" w:sz="4" w:space="0" w:color="auto"/>
            </w:tcBorders>
            <w:shd w:val="clear" w:color="auto" w:fill="auto"/>
            <w:noWrap/>
            <w:vAlign w:val="center"/>
            <w:hideMark/>
          </w:tcPr>
          <w:p w14:paraId="7E7A9F5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1 587</w:t>
            </w:r>
          </w:p>
        </w:tc>
        <w:tc>
          <w:tcPr>
            <w:tcW w:w="1598" w:type="dxa"/>
            <w:tcBorders>
              <w:top w:val="nil"/>
              <w:left w:val="nil"/>
              <w:bottom w:val="single" w:sz="4" w:space="0" w:color="auto"/>
              <w:right w:val="single" w:sz="4" w:space="0" w:color="auto"/>
            </w:tcBorders>
            <w:shd w:val="clear" w:color="auto" w:fill="auto"/>
            <w:noWrap/>
            <w:vAlign w:val="center"/>
            <w:hideMark/>
          </w:tcPr>
          <w:p w14:paraId="413F3621" w14:textId="77777777" w:rsidR="00DE347C" w:rsidRPr="00EE0850" w:rsidRDefault="00DE347C" w:rsidP="000C6220">
            <w:pPr>
              <w:spacing w:after="0" w:line="240" w:lineRule="auto"/>
              <w:jc w:val="right"/>
              <w:rPr>
                <w:szCs w:val="22"/>
                <w:lang w:eastAsia="en-CA"/>
              </w:rPr>
            </w:pPr>
            <w:r w:rsidRPr="00EE0850">
              <w:rPr>
                <w:szCs w:val="22"/>
                <w:lang w:eastAsia="en-CA"/>
              </w:rPr>
              <w:t>3 084</w:t>
            </w:r>
          </w:p>
        </w:tc>
      </w:tr>
      <w:tr w:rsidR="00DE347C" w:rsidRPr="00EE0850" w14:paraId="2F2F0F2D"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1705C47" w14:textId="77777777" w:rsidR="00DE347C" w:rsidRPr="00EE0850" w:rsidRDefault="00DE347C" w:rsidP="000C6220">
            <w:pPr>
              <w:spacing w:after="0" w:line="240" w:lineRule="auto"/>
              <w:rPr>
                <w:szCs w:val="22"/>
                <w:lang w:eastAsia="en-CA"/>
              </w:rPr>
            </w:pPr>
            <w:r w:rsidRPr="00EE0850">
              <w:rPr>
                <w:szCs w:val="22"/>
                <w:lang w:eastAsia="en-CA"/>
              </w:rPr>
              <w:t>Lesotho</w:t>
            </w:r>
          </w:p>
        </w:tc>
        <w:tc>
          <w:tcPr>
            <w:tcW w:w="1597" w:type="dxa"/>
            <w:tcBorders>
              <w:top w:val="nil"/>
              <w:left w:val="nil"/>
              <w:bottom w:val="single" w:sz="4" w:space="0" w:color="auto"/>
              <w:right w:val="single" w:sz="4" w:space="0" w:color="auto"/>
            </w:tcBorders>
            <w:shd w:val="clear" w:color="auto" w:fill="auto"/>
            <w:noWrap/>
            <w:vAlign w:val="center"/>
            <w:hideMark/>
          </w:tcPr>
          <w:p w14:paraId="0E90EBE2"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8B5F9A4"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836FFC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60FFC1D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4EBC7706"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673A0422"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B65FDB3" w14:textId="77777777" w:rsidR="00DE347C" w:rsidRPr="00EE0850" w:rsidRDefault="00DE347C" w:rsidP="000C6220">
            <w:pPr>
              <w:spacing w:after="0" w:line="240" w:lineRule="auto"/>
              <w:rPr>
                <w:szCs w:val="22"/>
                <w:lang w:eastAsia="en-CA"/>
              </w:rPr>
            </w:pPr>
            <w:r w:rsidRPr="00EE0850">
              <w:rPr>
                <w:szCs w:val="22"/>
                <w:lang w:eastAsia="en-CA"/>
              </w:rPr>
              <w:t>Liberia</w:t>
            </w:r>
          </w:p>
        </w:tc>
        <w:tc>
          <w:tcPr>
            <w:tcW w:w="1597" w:type="dxa"/>
            <w:tcBorders>
              <w:top w:val="nil"/>
              <w:left w:val="nil"/>
              <w:bottom w:val="single" w:sz="4" w:space="0" w:color="auto"/>
              <w:right w:val="single" w:sz="4" w:space="0" w:color="auto"/>
            </w:tcBorders>
            <w:shd w:val="clear" w:color="auto" w:fill="auto"/>
            <w:noWrap/>
            <w:vAlign w:val="center"/>
            <w:hideMark/>
          </w:tcPr>
          <w:p w14:paraId="52C29963"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E83513F"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5ED08F0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020C527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2DC48549"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62592969"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7BD6930" w14:textId="77777777" w:rsidR="00DE347C" w:rsidRPr="00EE0850" w:rsidRDefault="00DE347C" w:rsidP="000C6220">
            <w:pPr>
              <w:spacing w:after="0" w:line="240" w:lineRule="auto"/>
              <w:rPr>
                <w:szCs w:val="22"/>
                <w:lang w:eastAsia="en-CA"/>
              </w:rPr>
            </w:pPr>
            <w:r w:rsidRPr="00EE0850">
              <w:rPr>
                <w:szCs w:val="22"/>
                <w:lang w:eastAsia="en-CA"/>
              </w:rPr>
              <w:t>Luxembourg</w:t>
            </w:r>
          </w:p>
        </w:tc>
        <w:tc>
          <w:tcPr>
            <w:tcW w:w="1597" w:type="dxa"/>
            <w:tcBorders>
              <w:top w:val="nil"/>
              <w:left w:val="nil"/>
              <w:bottom w:val="single" w:sz="4" w:space="0" w:color="auto"/>
              <w:right w:val="single" w:sz="4" w:space="0" w:color="auto"/>
            </w:tcBorders>
            <w:shd w:val="clear" w:color="auto" w:fill="auto"/>
            <w:noWrap/>
            <w:vAlign w:val="center"/>
            <w:hideMark/>
          </w:tcPr>
          <w:p w14:paraId="7879324C" w14:textId="77777777" w:rsidR="00DE347C" w:rsidRPr="00EE0850" w:rsidRDefault="00DE347C" w:rsidP="000C6220">
            <w:pPr>
              <w:spacing w:after="0" w:line="240" w:lineRule="auto"/>
              <w:jc w:val="right"/>
              <w:rPr>
                <w:szCs w:val="22"/>
                <w:lang w:eastAsia="en-CA"/>
              </w:rPr>
            </w:pPr>
            <w:r w:rsidRPr="00EE0850">
              <w:rPr>
                <w:szCs w:val="22"/>
                <w:lang w:eastAsia="en-CA"/>
              </w:rPr>
              <w:t>0.064</w:t>
            </w:r>
          </w:p>
        </w:tc>
        <w:tc>
          <w:tcPr>
            <w:tcW w:w="1597" w:type="dxa"/>
            <w:tcBorders>
              <w:top w:val="nil"/>
              <w:left w:val="nil"/>
              <w:bottom w:val="single" w:sz="4" w:space="0" w:color="auto"/>
              <w:right w:val="single" w:sz="4" w:space="0" w:color="auto"/>
            </w:tcBorders>
            <w:shd w:val="clear" w:color="auto" w:fill="auto"/>
            <w:noWrap/>
            <w:vAlign w:val="center"/>
            <w:hideMark/>
          </w:tcPr>
          <w:p w14:paraId="5C8B81F9" w14:textId="77777777" w:rsidR="00DE347C" w:rsidRPr="00EE0850" w:rsidRDefault="00DE347C" w:rsidP="000C6220">
            <w:pPr>
              <w:spacing w:after="0" w:line="240" w:lineRule="auto"/>
              <w:jc w:val="right"/>
              <w:rPr>
                <w:szCs w:val="22"/>
                <w:lang w:eastAsia="en-CA"/>
              </w:rPr>
            </w:pPr>
            <w:r w:rsidRPr="00EE0850">
              <w:rPr>
                <w:szCs w:val="22"/>
                <w:lang w:eastAsia="en-CA"/>
              </w:rPr>
              <w:t>0.118</w:t>
            </w:r>
          </w:p>
        </w:tc>
        <w:tc>
          <w:tcPr>
            <w:tcW w:w="1597" w:type="dxa"/>
            <w:tcBorders>
              <w:top w:val="nil"/>
              <w:left w:val="nil"/>
              <w:bottom w:val="single" w:sz="4" w:space="0" w:color="auto"/>
              <w:right w:val="single" w:sz="4" w:space="0" w:color="auto"/>
            </w:tcBorders>
            <w:shd w:val="clear" w:color="auto" w:fill="auto"/>
            <w:noWrap/>
            <w:vAlign w:val="center"/>
            <w:hideMark/>
          </w:tcPr>
          <w:p w14:paraId="6F060AB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2 082</w:t>
            </w:r>
          </w:p>
        </w:tc>
        <w:tc>
          <w:tcPr>
            <w:tcW w:w="1597" w:type="dxa"/>
            <w:tcBorders>
              <w:top w:val="nil"/>
              <w:left w:val="nil"/>
              <w:bottom w:val="single" w:sz="4" w:space="0" w:color="auto"/>
              <w:right w:val="single" w:sz="4" w:space="0" w:color="auto"/>
            </w:tcBorders>
            <w:shd w:val="clear" w:color="auto" w:fill="auto"/>
            <w:noWrap/>
            <w:vAlign w:val="center"/>
            <w:hideMark/>
          </w:tcPr>
          <w:p w14:paraId="55D6FA5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2 208</w:t>
            </w:r>
          </w:p>
        </w:tc>
        <w:tc>
          <w:tcPr>
            <w:tcW w:w="1598" w:type="dxa"/>
            <w:tcBorders>
              <w:top w:val="nil"/>
              <w:left w:val="nil"/>
              <w:bottom w:val="single" w:sz="4" w:space="0" w:color="auto"/>
              <w:right w:val="single" w:sz="4" w:space="0" w:color="auto"/>
            </w:tcBorders>
            <w:shd w:val="clear" w:color="auto" w:fill="auto"/>
            <w:noWrap/>
            <w:vAlign w:val="center"/>
            <w:hideMark/>
          </w:tcPr>
          <w:p w14:paraId="334E6A84" w14:textId="77777777" w:rsidR="00DE347C" w:rsidRPr="00EE0850" w:rsidRDefault="00DE347C" w:rsidP="000C6220">
            <w:pPr>
              <w:spacing w:after="0" w:line="240" w:lineRule="auto"/>
              <w:jc w:val="right"/>
              <w:rPr>
                <w:szCs w:val="22"/>
                <w:lang w:eastAsia="en-CA"/>
              </w:rPr>
            </w:pPr>
            <w:r w:rsidRPr="00EE0850">
              <w:rPr>
                <w:szCs w:val="22"/>
                <w:lang w:eastAsia="en-CA"/>
              </w:rPr>
              <w:t>4 291</w:t>
            </w:r>
          </w:p>
        </w:tc>
      </w:tr>
      <w:tr w:rsidR="00DE347C" w:rsidRPr="00EE0850" w14:paraId="53636B4A"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1968AB9" w14:textId="77777777" w:rsidR="00DE347C" w:rsidRPr="00EE0850" w:rsidRDefault="00DE347C" w:rsidP="000C6220">
            <w:pPr>
              <w:spacing w:after="0" w:line="240" w:lineRule="auto"/>
              <w:rPr>
                <w:szCs w:val="22"/>
                <w:lang w:eastAsia="en-CA"/>
              </w:rPr>
            </w:pPr>
            <w:r w:rsidRPr="00EE0850">
              <w:rPr>
                <w:szCs w:val="22"/>
                <w:lang w:eastAsia="en-CA"/>
              </w:rPr>
              <w:t>Madagascar</w:t>
            </w:r>
          </w:p>
        </w:tc>
        <w:tc>
          <w:tcPr>
            <w:tcW w:w="1597" w:type="dxa"/>
            <w:tcBorders>
              <w:top w:val="nil"/>
              <w:left w:val="nil"/>
              <w:bottom w:val="single" w:sz="4" w:space="0" w:color="auto"/>
              <w:right w:val="single" w:sz="4" w:space="0" w:color="auto"/>
            </w:tcBorders>
            <w:shd w:val="clear" w:color="auto" w:fill="auto"/>
            <w:noWrap/>
            <w:vAlign w:val="center"/>
            <w:hideMark/>
          </w:tcPr>
          <w:p w14:paraId="57548C0F" w14:textId="77777777" w:rsidR="00DE347C" w:rsidRPr="00EE0850" w:rsidRDefault="00DE347C" w:rsidP="000C6220">
            <w:pPr>
              <w:spacing w:after="0" w:line="240" w:lineRule="auto"/>
              <w:jc w:val="right"/>
              <w:rPr>
                <w:szCs w:val="22"/>
                <w:lang w:eastAsia="en-CA"/>
              </w:rPr>
            </w:pPr>
            <w:r w:rsidRPr="00EE0850">
              <w:rPr>
                <w:szCs w:val="22"/>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618E05C5" w14:textId="77777777" w:rsidR="00DE347C" w:rsidRPr="00EE0850" w:rsidRDefault="00DE347C" w:rsidP="000C6220">
            <w:pPr>
              <w:spacing w:after="0" w:line="240" w:lineRule="auto"/>
              <w:jc w:val="right"/>
              <w:rPr>
                <w:szCs w:val="22"/>
                <w:lang w:eastAsia="en-CA"/>
              </w:rPr>
            </w:pPr>
            <w:r w:rsidRPr="00EE0850">
              <w:rPr>
                <w:szCs w:val="22"/>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20804D1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751AC5E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1F27C2A8" w14:textId="77777777" w:rsidR="00DE347C" w:rsidRPr="00EE0850" w:rsidRDefault="00DE347C" w:rsidP="000C6220">
            <w:pPr>
              <w:spacing w:after="0" w:line="240" w:lineRule="auto"/>
              <w:jc w:val="right"/>
              <w:rPr>
                <w:szCs w:val="22"/>
                <w:lang w:eastAsia="en-CA"/>
              </w:rPr>
            </w:pPr>
            <w:r w:rsidRPr="00EE0850">
              <w:rPr>
                <w:szCs w:val="22"/>
                <w:lang w:eastAsia="en-CA"/>
              </w:rPr>
              <w:t>201</w:t>
            </w:r>
          </w:p>
        </w:tc>
      </w:tr>
      <w:tr w:rsidR="00DE347C" w:rsidRPr="00EE0850" w14:paraId="1ABC06D9" w14:textId="77777777" w:rsidTr="00DE347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7E1EE" w14:textId="77777777" w:rsidR="00DE347C" w:rsidRPr="00EE0850" w:rsidRDefault="00DE347C" w:rsidP="000C6220">
            <w:pPr>
              <w:spacing w:after="0" w:line="240" w:lineRule="auto"/>
              <w:rPr>
                <w:szCs w:val="22"/>
                <w:lang w:eastAsia="en-CA"/>
              </w:rPr>
            </w:pPr>
            <w:r w:rsidRPr="00EE0850">
              <w:rPr>
                <w:szCs w:val="22"/>
                <w:lang w:eastAsia="en-CA"/>
              </w:rPr>
              <w:t>Malawi</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7433E74"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29BFBD90"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BD7F37C"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6A4C26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59C2A18A" w14:textId="77777777" w:rsidR="00DE347C" w:rsidRPr="00EE0850" w:rsidRDefault="00DE347C" w:rsidP="000C6220">
            <w:pPr>
              <w:spacing w:after="0" w:line="240" w:lineRule="auto"/>
              <w:jc w:val="right"/>
              <w:rPr>
                <w:szCs w:val="22"/>
                <w:lang w:eastAsia="en-CA"/>
              </w:rPr>
            </w:pPr>
            <w:r w:rsidRPr="00EE0850">
              <w:rPr>
                <w:szCs w:val="22"/>
                <w:lang w:eastAsia="en-CA"/>
              </w:rPr>
              <w:t>134</w:t>
            </w:r>
          </w:p>
        </w:tc>
      </w:tr>
      <w:tr w:rsidR="00DE347C" w:rsidRPr="00EE0850" w14:paraId="4639A01D"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A5F72E5" w14:textId="77777777" w:rsidR="00DE347C" w:rsidRPr="00EE0850" w:rsidRDefault="00DE347C" w:rsidP="000C6220">
            <w:pPr>
              <w:spacing w:after="0" w:line="240" w:lineRule="auto"/>
              <w:rPr>
                <w:szCs w:val="22"/>
                <w:lang w:eastAsia="en-CA"/>
              </w:rPr>
            </w:pPr>
            <w:r w:rsidRPr="00EE0850">
              <w:rPr>
                <w:szCs w:val="22"/>
                <w:lang w:eastAsia="en-CA"/>
              </w:rPr>
              <w:t>Mali</w:t>
            </w:r>
          </w:p>
        </w:tc>
        <w:tc>
          <w:tcPr>
            <w:tcW w:w="1597" w:type="dxa"/>
            <w:tcBorders>
              <w:top w:val="nil"/>
              <w:left w:val="nil"/>
              <w:bottom w:val="single" w:sz="4" w:space="0" w:color="auto"/>
              <w:right w:val="single" w:sz="4" w:space="0" w:color="auto"/>
            </w:tcBorders>
            <w:shd w:val="clear" w:color="auto" w:fill="auto"/>
            <w:noWrap/>
            <w:vAlign w:val="center"/>
            <w:hideMark/>
          </w:tcPr>
          <w:p w14:paraId="7AC7A0A4" w14:textId="77777777" w:rsidR="00DE347C" w:rsidRPr="00EE0850" w:rsidRDefault="00DE347C" w:rsidP="000C6220">
            <w:pPr>
              <w:spacing w:after="0" w:line="240" w:lineRule="auto"/>
              <w:jc w:val="right"/>
              <w:rPr>
                <w:szCs w:val="22"/>
                <w:lang w:eastAsia="en-CA"/>
              </w:rPr>
            </w:pPr>
            <w:r w:rsidRPr="00EE0850">
              <w:rPr>
                <w:szCs w:val="22"/>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576AB188" w14:textId="77777777" w:rsidR="00DE347C" w:rsidRPr="00EE0850" w:rsidRDefault="00DE347C" w:rsidP="000C6220">
            <w:pPr>
              <w:spacing w:after="0" w:line="240" w:lineRule="auto"/>
              <w:jc w:val="right"/>
              <w:rPr>
                <w:szCs w:val="22"/>
                <w:lang w:eastAsia="en-CA"/>
              </w:rPr>
            </w:pPr>
            <w:r w:rsidRPr="00EE0850">
              <w:rPr>
                <w:szCs w:val="22"/>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3329954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5D50D40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00E40251" w14:textId="77777777" w:rsidR="00DE347C" w:rsidRPr="00EE0850" w:rsidRDefault="00DE347C" w:rsidP="000C6220">
            <w:pPr>
              <w:spacing w:after="0" w:line="240" w:lineRule="auto"/>
              <w:jc w:val="right"/>
              <w:rPr>
                <w:szCs w:val="22"/>
                <w:lang w:eastAsia="en-CA"/>
              </w:rPr>
            </w:pPr>
            <w:r w:rsidRPr="00EE0850">
              <w:rPr>
                <w:szCs w:val="22"/>
                <w:lang w:eastAsia="en-CA"/>
              </w:rPr>
              <w:t>201</w:t>
            </w:r>
          </w:p>
        </w:tc>
      </w:tr>
      <w:tr w:rsidR="00DE347C" w:rsidRPr="00EE0850" w14:paraId="1D6C80EF"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BC04557" w14:textId="77777777" w:rsidR="00DE347C" w:rsidRPr="00EE0850" w:rsidRDefault="00DE347C" w:rsidP="000C6220">
            <w:pPr>
              <w:spacing w:after="0" w:line="240" w:lineRule="auto"/>
              <w:rPr>
                <w:szCs w:val="22"/>
                <w:lang w:eastAsia="en-CA"/>
              </w:rPr>
            </w:pPr>
            <w:r w:rsidRPr="00EE0850">
              <w:rPr>
                <w:szCs w:val="22"/>
                <w:lang w:eastAsia="en-CA"/>
              </w:rPr>
              <w:t>Malta</w:t>
            </w:r>
          </w:p>
        </w:tc>
        <w:tc>
          <w:tcPr>
            <w:tcW w:w="1597" w:type="dxa"/>
            <w:tcBorders>
              <w:top w:val="nil"/>
              <w:left w:val="nil"/>
              <w:bottom w:val="single" w:sz="4" w:space="0" w:color="auto"/>
              <w:right w:val="single" w:sz="4" w:space="0" w:color="auto"/>
            </w:tcBorders>
            <w:shd w:val="clear" w:color="auto" w:fill="auto"/>
            <w:noWrap/>
            <w:vAlign w:val="center"/>
            <w:hideMark/>
          </w:tcPr>
          <w:p w14:paraId="0A30E084" w14:textId="77777777" w:rsidR="00DE347C" w:rsidRPr="00EE0850" w:rsidRDefault="00DE347C" w:rsidP="000C6220">
            <w:pPr>
              <w:spacing w:after="0" w:line="240" w:lineRule="auto"/>
              <w:jc w:val="right"/>
              <w:rPr>
                <w:szCs w:val="22"/>
                <w:lang w:eastAsia="en-CA"/>
              </w:rPr>
            </w:pPr>
            <w:r w:rsidRPr="00EE0850">
              <w:rPr>
                <w:szCs w:val="22"/>
                <w:lang w:eastAsia="en-CA"/>
              </w:rPr>
              <w:t>0.016</w:t>
            </w:r>
          </w:p>
        </w:tc>
        <w:tc>
          <w:tcPr>
            <w:tcW w:w="1597" w:type="dxa"/>
            <w:tcBorders>
              <w:top w:val="nil"/>
              <w:left w:val="nil"/>
              <w:bottom w:val="single" w:sz="4" w:space="0" w:color="auto"/>
              <w:right w:val="single" w:sz="4" w:space="0" w:color="auto"/>
            </w:tcBorders>
            <w:shd w:val="clear" w:color="auto" w:fill="auto"/>
            <w:noWrap/>
            <w:vAlign w:val="center"/>
            <w:hideMark/>
          </w:tcPr>
          <w:p w14:paraId="1021ED7D" w14:textId="77777777" w:rsidR="00DE347C" w:rsidRPr="00EE0850" w:rsidRDefault="00DE347C" w:rsidP="000C6220">
            <w:pPr>
              <w:spacing w:after="0" w:line="240" w:lineRule="auto"/>
              <w:jc w:val="right"/>
              <w:rPr>
                <w:szCs w:val="22"/>
                <w:lang w:eastAsia="en-CA"/>
              </w:rPr>
            </w:pPr>
            <w:r w:rsidRPr="00EE0850">
              <w:rPr>
                <w:szCs w:val="22"/>
                <w:lang w:eastAsia="en-CA"/>
              </w:rPr>
              <w:t>0.030</w:t>
            </w:r>
          </w:p>
        </w:tc>
        <w:tc>
          <w:tcPr>
            <w:tcW w:w="1597" w:type="dxa"/>
            <w:tcBorders>
              <w:top w:val="nil"/>
              <w:left w:val="nil"/>
              <w:bottom w:val="single" w:sz="4" w:space="0" w:color="auto"/>
              <w:right w:val="single" w:sz="4" w:space="0" w:color="auto"/>
            </w:tcBorders>
            <w:shd w:val="clear" w:color="auto" w:fill="auto"/>
            <w:noWrap/>
            <w:vAlign w:val="center"/>
            <w:hideMark/>
          </w:tcPr>
          <w:p w14:paraId="00A09D7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521</w:t>
            </w:r>
          </w:p>
        </w:tc>
        <w:tc>
          <w:tcPr>
            <w:tcW w:w="1597" w:type="dxa"/>
            <w:tcBorders>
              <w:top w:val="nil"/>
              <w:left w:val="nil"/>
              <w:bottom w:val="single" w:sz="4" w:space="0" w:color="auto"/>
              <w:right w:val="single" w:sz="4" w:space="0" w:color="auto"/>
            </w:tcBorders>
            <w:shd w:val="clear" w:color="auto" w:fill="auto"/>
            <w:noWrap/>
            <w:vAlign w:val="center"/>
            <w:hideMark/>
          </w:tcPr>
          <w:p w14:paraId="2CC5BBE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552</w:t>
            </w:r>
          </w:p>
        </w:tc>
        <w:tc>
          <w:tcPr>
            <w:tcW w:w="1598" w:type="dxa"/>
            <w:tcBorders>
              <w:top w:val="nil"/>
              <w:left w:val="nil"/>
              <w:bottom w:val="single" w:sz="4" w:space="0" w:color="auto"/>
              <w:right w:val="single" w:sz="4" w:space="0" w:color="auto"/>
            </w:tcBorders>
            <w:shd w:val="clear" w:color="auto" w:fill="auto"/>
            <w:noWrap/>
            <w:vAlign w:val="center"/>
            <w:hideMark/>
          </w:tcPr>
          <w:p w14:paraId="38C5F59E" w14:textId="77777777" w:rsidR="00DE347C" w:rsidRPr="00EE0850" w:rsidRDefault="00DE347C" w:rsidP="000C6220">
            <w:pPr>
              <w:spacing w:after="0" w:line="240" w:lineRule="auto"/>
              <w:jc w:val="right"/>
              <w:rPr>
                <w:szCs w:val="22"/>
                <w:lang w:eastAsia="en-CA"/>
              </w:rPr>
            </w:pPr>
            <w:r w:rsidRPr="00EE0850">
              <w:rPr>
                <w:szCs w:val="22"/>
                <w:lang w:eastAsia="en-CA"/>
              </w:rPr>
              <w:t>1 073</w:t>
            </w:r>
          </w:p>
        </w:tc>
      </w:tr>
      <w:tr w:rsidR="00DE347C" w:rsidRPr="00EE0850" w14:paraId="115F7155"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69B1A67" w14:textId="77777777" w:rsidR="00DE347C" w:rsidRPr="00EE0850" w:rsidRDefault="00DE347C" w:rsidP="000C6220">
            <w:pPr>
              <w:spacing w:after="0" w:line="240" w:lineRule="auto"/>
              <w:rPr>
                <w:szCs w:val="22"/>
                <w:lang w:eastAsia="en-CA"/>
              </w:rPr>
            </w:pPr>
            <w:r w:rsidRPr="00EE0850">
              <w:rPr>
                <w:szCs w:val="22"/>
                <w:lang w:eastAsia="en-CA"/>
              </w:rPr>
              <w:t>Marshall Islands</w:t>
            </w:r>
          </w:p>
        </w:tc>
        <w:tc>
          <w:tcPr>
            <w:tcW w:w="1597" w:type="dxa"/>
            <w:tcBorders>
              <w:top w:val="nil"/>
              <w:left w:val="nil"/>
              <w:bottom w:val="single" w:sz="4" w:space="0" w:color="auto"/>
              <w:right w:val="single" w:sz="4" w:space="0" w:color="auto"/>
            </w:tcBorders>
            <w:shd w:val="clear" w:color="auto" w:fill="auto"/>
            <w:noWrap/>
            <w:vAlign w:val="center"/>
            <w:hideMark/>
          </w:tcPr>
          <w:p w14:paraId="6750C97E"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214ECC14"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66F7E4E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4F15FA6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193495B1"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37B45A96"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58B8F0A" w14:textId="77777777" w:rsidR="00DE347C" w:rsidRPr="00EE0850" w:rsidRDefault="00DE347C" w:rsidP="000C6220">
            <w:pPr>
              <w:spacing w:after="0" w:line="240" w:lineRule="auto"/>
              <w:rPr>
                <w:szCs w:val="22"/>
                <w:lang w:eastAsia="en-CA"/>
              </w:rPr>
            </w:pPr>
            <w:r w:rsidRPr="00EE0850">
              <w:rPr>
                <w:szCs w:val="22"/>
                <w:lang w:eastAsia="en-CA"/>
              </w:rPr>
              <w:t>Mauritania</w:t>
            </w:r>
          </w:p>
        </w:tc>
        <w:tc>
          <w:tcPr>
            <w:tcW w:w="1597" w:type="dxa"/>
            <w:tcBorders>
              <w:top w:val="nil"/>
              <w:left w:val="nil"/>
              <w:bottom w:val="single" w:sz="4" w:space="0" w:color="auto"/>
              <w:right w:val="single" w:sz="4" w:space="0" w:color="auto"/>
            </w:tcBorders>
            <w:shd w:val="clear" w:color="auto" w:fill="auto"/>
            <w:noWrap/>
            <w:vAlign w:val="center"/>
            <w:hideMark/>
          </w:tcPr>
          <w:p w14:paraId="25FB3F36"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2B4C685"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5C30B63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53CBCE1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4CAD842C" w14:textId="77777777" w:rsidR="00DE347C" w:rsidRPr="00EE0850" w:rsidRDefault="00DE347C" w:rsidP="000C6220">
            <w:pPr>
              <w:spacing w:after="0" w:line="240" w:lineRule="auto"/>
              <w:jc w:val="right"/>
              <w:rPr>
                <w:szCs w:val="22"/>
                <w:lang w:eastAsia="en-CA"/>
              </w:rPr>
            </w:pPr>
            <w:r w:rsidRPr="00EE0850">
              <w:rPr>
                <w:szCs w:val="22"/>
                <w:lang w:eastAsia="en-CA"/>
              </w:rPr>
              <w:t>134</w:t>
            </w:r>
          </w:p>
        </w:tc>
      </w:tr>
      <w:tr w:rsidR="00DE347C" w:rsidRPr="00EE0850" w14:paraId="5079524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D03F4BA" w14:textId="77777777" w:rsidR="00DE347C" w:rsidRPr="00EE0850" w:rsidRDefault="00DE347C" w:rsidP="000C6220">
            <w:pPr>
              <w:spacing w:after="0" w:line="240" w:lineRule="auto"/>
              <w:rPr>
                <w:szCs w:val="22"/>
                <w:lang w:eastAsia="en-CA"/>
              </w:rPr>
            </w:pPr>
            <w:r w:rsidRPr="00EE0850">
              <w:rPr>
                <w:szCs w:val="22"/>
                <w:lang w:eastAsia="en-CA"/>
              </w:rPr>
              <w:t>Mauritius</w:t>
            </w:r>
          </w:p>
        </w:tc>
        <w:tc>
          <w:tcPr>
            <w:tcW w:w="1597" w:type="dxa"/>
            <w:tcBorders>
              <w:top w:val="nil"/>
              <w:left w:val="nil"/>
              <w:bottom w:val="single" w:sz="4" w:space="0" w:color="auto"/>
              <w:right w:val="single" w:sz="4" w:space="0" w:color="auto"/>
            </w:tcBorders>
            <w:shd w:val="clear" w:color="auto" w:fill="auto"/>
            <w:noWrap/>
            <w:vAlign w:val="center"/>
            <w:hideMark/>
          </w:tcPr>
          <w:p w14:paraId="3BD03AF1" w14:textId="77777777" w:rsidR="00DE347C" w:rsidRPr="00EE0850" w:rsidRDefault="00DE347C" w:rsidP="000C6220">
            <w:pPr>
              <w:spacing w:after="0" w:line="240" w:lineRule="auto"/>
              <w:jc w:val="right"/>
              <w:rPr>
                <w:szCs w:val="22"/>
                <w:lang w:eastAsia="en-CA"/>
              </w:rPr>
            </w:pPr>
            <w:r w:rsidRPr="00EE0850">
              <w:rPr>
                <w:szCs w:val="22"/>
                <w:lang w:eastAsia="en-CA"/>
              </w:rPr>
              <w:t>0.012</w:t>
            </w:r>
          </w:p>
        </w:tc>
        <w:tc>
          <w:tcPr>
            <w:tcW w:w="1597" w:type="dxa"/>
            <w:tcBorders>
              <w:top w:val="nil"/>
              <w:left w:val="nil"/>
              <w:bottom w:val="single" w:sz="4" w:space="0" w:color="auto"/>
              <w:right w:val="single" w:sz="4" w:space="0" w:color="auto"/>
            </w:tcBorders>
            <w:shd w:val="clear" w:color="auto" w:fill="auto"/>
            <w:noWrap/>
            <w:vAlign w:val="center"/>
            <w:hideMark/>
          </w:tcPr>
          <w:p w14:paraId="3E72124F" w14:textId="77777777" w:rsidR="00DE347C" w:rsidRPr="00EE0850" w:rsidRDefault="00DE347C" w:rsidP="000C6220">
            <w:pPr>
              <w:spacing w:after="0" w:line="240" w:lineRule="auto"/>
              <w:jc w:val="right"/>
              <w:rPr>
                <w:szCs w:val="22"/>
                <w:lang w:eastAsia="en-CA"/>
              </w:rPr>
            </w:pPr>
            <w:r w:rsidRPr="00EE0850">
              <w:rPr>
                <w:szCs w:val="22"/>
                <w:lang w:eastAsia="en-CA"/>
              </w:rPr>
              <w:t>0.022</w:t>
            </w:r>
          </w:p>
        </w:tc>
        <w:tc>
          <w:tcPr>
            <w:tcW w:w="1597" w:type="dxa"/>
            <w:tcBorders>
              <w:top w:val="nil"/>
              <w:left w:val="nil"/>
              <w:bottom w:val="single" w:sz="4" w:space="0" w:color="auto"/>
              <w:right w:val="single" w:sz="4" w:space="0" w:color="auto"/>
            </w:tcBorders>
            <w:shd w:val="clear" w:color="auto" w:fill="auto"/>
            <w:noWrap/>
            <w:vAlign w:val="center"/>
            <w:hideMark/>
          </w:tcPr>
          <w:p w14:paraId="3935239C"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390</w:t>
            </w:r>
          </w:p>
        </w:tc>
        <w:tc>
          <w:tcPr>
            <w:tcW w:w="1597" w:type="dxa"/>
            <w:tcBorders>
              <w:top w:val="nil"/>
              <w:left w:val="nil"/>
              <w:bottom w:val="single" w:sz="4" w:space="0" w:color="auto"/>
              <w:right w:val="single" w:sz="4" w:space="0" w:color="auto"/>
            </w:tcBorders>
            <w:shd w:val="clear" w:color="auto" w:fill="auto"/>
            <w:noWrap/>
            <w:vAlign w:val="center"/>
            <w:hideMark/>
          </w:tcPr>
          <w:p w14:paraId="46A3F96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414</w:t>
            </w:r>
          </w:p>
        </w:tc>
        <w:tc>
          <w:tcPr>
            <w:tcW w:w="1598" w:type="dxa"/>
            <w:tcBorders>
              <w:top w:val="nil"/>
              <w:left w:val="nil"/>
              <w:bottom w:val="single" w:sz="4" w:space="0" w:color="auto"/>
              <w:right w:val="single" w:sz="4" w:space="0" w:color="auto"/>
            </w:tcBorders>
            <w:shd w:val="clear" w:color="auto" w:fill="auto"/>
            <w:noWrap/>
            <w:vAlign w:val="center"/>
            <w:hideMark/>
          </w:tcPr>
          <w:p w14:paraId="1BA2D2AF" w14:textId="77777777" w:rsidR="00DE347C" w:rsidRPr="00EE0850" w:rsidRDefault="00DE347C" w:rsidP="000C6220">
            <w:pPr>
              <w:spacing w:after="0" w:line="240" w:lineRule="auto"/>
              <w:jc w:val="right"/>
              <w:rPr>
                <w:szCs w:val="22"/>
                <w:lang w:eastAsia="en-CA"/>
              </w:rPr>
            </w:pPr>
            <w:r w:rsidRPr="00EE0850">
              <w:rPr>
                <w:szCs w:val="22"/>
                <w:lang w:eastAsia="en-CA"/>
              </w:rPr>
              <w:t>804</w:t>
            </w:r>
          </w:p>
        </w:tc>
      </w:tr>
      <w:tr w:rsidR="00DE347C" w:rsidRPr="00EE0850" w14:paraId="6698E78F"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9553073" w14:textId="77777777" w:rsidR="00DE347C" w:rsidRPr="00EE0850" w:rsidRDefault="00DE347C" w:rsidP="000C6220">
            <w:pPr>
              <w:spacing w:after="0" w:line="240" w:lineRule="auto"/>
              <w:rPr>
                <w:szCs w:val="22"/>
                <w:lang w:eastAsia="en-CA"/>
              </w:rPr>
            </w:pPr>
            <w:r w:rsidRPr="00EE0850">
              <w:rPr>
                <w:szCs w:val="22"/>
                <w:lang w:eastAsia="en-CA"/>
              </w:rPr>
              <w:t>Mexico</w:t>
            </w:r>
          </w:p>
        </w:tc>
        <w:tc>
          <w:tcPr>
            <w:tcW w:w="1597" w:type="dxa"/>
            <w:tcBorders>
              <w:top w:val="nil"/>
              <w:left w:val="nil"/>
              <w:bottom w:val="single" w:sz="4" w:space="0" w:color="auto"/>
              <w:right w:val="single" w:sz="4" w:space="0" w:color="auto"/>
            </w:tcBorders>
            <w:shd w:val="clear" w:color="auto" w:fill="auto"/>
            <w:noWrap/>
            <w:vAlign w:val="center"/>
            <w:hideMark/>
          </w:tcPr>
          <w:p w14:paraId="34308565" w14:textId="77777777" w:rsidR="00DE347C" w:rsidRPr="00EE0850" w:rsidRDefault="00DE347C" w:rsidP="000C6220">
            <w:pPr>
              <w:spacing w:after="0" w:line="240" w:lineRule="auto"/>
              <w:jc w:val="right"/>
              <w:rPr>
                <w:szCs w:val="22"/>
                <w:lang w:eastAsia="en-CA"/>
              </w:rPr>
            </w:pPr>
            <w:r w:rsidRPr="00EE0850">
              <w:rPr>
                <w:szCs w:val="22"/>
                <w:lang w:eastAsia="en-CA"/>
              </w:rPr>
              <w:t>1.435</w:t>
            </w:r>
          </w:p>
        </w:tc>
        <w:tc>
          <w:tcPr>
            <w:tcW w:w="1597" w:type="dxa"/>
            <w:tcBorders>
              <w:top w:val="nil"/>
              <w:left w:val="nil"/>
              <w:bottom w:val="single" w:sz="4" w:space="0" w:color="auto"/>
              <w:right w:val="single" w:sz="4" w:space="0" w:color="auto"/>
            </w:tcBorders>
            <w:shd w:val="clear" w:color="auto" w:fill="auto"/>
            <w:noWrap/>
            <w:vAlign w:val="center"/>
            <w:hideMark/>
          </w:tcPr>
          <w:p w14:paraId="447A3075" w14:textId="77777777" w:rsidR="00DE347C" w:rsidRPr="00EE0850" w:rsidRDefault="00DE347C" w:rsidP="000C6220">
            <w:pPr>
              <w:spacing w:after="0" w:line="240" w:lineRule="auto"/>
              <w:jc w:val="right"/>
              <w:rPr>
                <w:szCs w:val="22"/>
                <w:lang w:eastAsia="en-CA"/>
              </w:rPr>
            </w:pPr>
            <w:r w:rsidRPr="00EE0850">
              <w:rPr>
                <w:szCs w:val="22"/>
                <w:lang w:eastAsia="en-CA"/>
              </w:rPr>
              <w:t>2.651</w:t>
            </w:r>
          </w:p>
        </w:tc>
        <w:tc>
          <w:tcPr>
            <w:tcW w:w="1597" w:type="dxa"/>
            <w:tcBorders>
              <w:top w:val="nil"/>
              <w:left w:val="nil"/>
              <w:bottom w:val="single" w:sz="4" w:space="0" w:color="auto"/>
              <w:right w:val="single" w:sz="4" w:space="0" w:color="auto"/>
            </w:tcBorders>
            <w:shd w:val="clear" w:color="auto" w:fill="auto"/>
            <w:noWrap/>
            <w:vAlign w:val="center"/>
            <w:hideMark/>
          </w:tcPr>
          <w:p w14:paraId="1EA1DE4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46 691</w:t>
            </w:r>
          </w:p>
        </w:tc>
        <w:tc>
          <w:tcPr>
            <w:tcW w:w="1597" w:type="dxa"/>
            <w:tcBorders>
              <w:top w:val="nil"/>
              <w:left w:val="nil"/>
              <w:bottom w:val="single" w:sz="4" w:space="0" w:color="auto"/>
              <w:right w:val="single" w:sz="4" w:space="0" w:color="auto"/>
            </w:tcBorders>
            <w:shd w:val="clear" w:color="auto" w:fill="auto"/>
            <w:noWrap/>
            <w:vAlign w:val="center"/>
            <w:hideMark/>
          </w:tcPr>
          <w:p w14:paraId="42D8571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49 511</w:t>
            </w:r>
          </w:p>
        </w:tc>
        <w:tc>
          <w:tcPr>
            <w:tcW w:w="1598" w:type="dxa"/>
            <w:tcBorders>
              <w:top w:val="nil"/>
              <w:left w:val="nil"/>
              <w:bottom w:val="single" w:sz="4" w:space="0" w:color="auto"/>
              <w:right w:val="single" w:sz="4" w:space="0" w:color="auto"/>
            </w:tcBorders>
            <w:shd w:val="clear" w:color="auto" w:fill="auto"/>
            <w:noWrap/>
            <w:vAlign w:val="center"/>
            <w:hideMark/>
          </w:tcPr>
          <w:p w14:paraId="00917096" w14:textId="77777777" w:rsidR="00DE347C" w:rsidRPr="00EE0850" w:rsidRDefault="00DE347C" w:rsidP="000C6220">
            <w:pPr>
              <w:spacing w:after="0" w:line="240" w:lineRule="auto"/>
              <w:jc w:val="right"/>
              <w:rPr>
                <w:szCs w:val="22"/>
                <w:lang w:eastAsia="en-CA"/>
              </w:rPr>
            </w:pPr>
            <w:r w:rsidRPr="00EE0850">
              <w:rPr>
                <w:szCs w:val="22"/>
                <w:lang w:eastAsia="en-CA"/>
              </w:rPr>
              <w:t>96 202</w:t>
            </w:r>
          </w:p>
        </w:tc>
      </w:tr>
      <w:tr w:rsidR="00DE347C" w:rsidRPr="00EE0850" w14:paraId="71EE5D97"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2F83437" w14:textId="77777777" w:rsidR="00DE347C" w:rsidRPr="00EE0850" w:rsidRDefault="00DE347C" w:rsidP="000C6220">
            <w:pPr>
              <w:spacing w:after="0" w:line="240" w:lineRule="auto"/>
              <w:rPr>
                <w:szCs w:val="22"/>
                <w:lang w:eastAsia="en-CA"/>
              </w:rPr>
            </w:pPr>
            <w:r w:rsidRPr="00EE0850">
              <w:rPr>
                <w:szCs w:val="22"/>
                <w:lang w:eastAsia="en-CA"/>
              </w:rPr>
              <w:t>Micronesia (Federated States of)</w:t>
            </w:r>
          </w:p>
        </w:tc>
        <w:tc>
          <w:tcPr>
            <w:tcW w:w="1597" w:type="dxa"/>
            <w:tcBorders>
              <w:top w:val="nil"/>
              <w:left w:val="nil"/>
              <w:bottom w:val="single" w:sz="4" w:space="0" w:color="auto"/>
              <w:right w:val="single" w:sz="4" w:space="0" w:color="auto"/>
            </w:tcBorders>
            <w:shd w:val="clear" w:color="auto" w:fill="auto"/>
            <w:noWrap/>
            <w:vAlign w:val="center"/>
            <w:hideMark/>
          </w:tcPr>
          <w:p w14:paraId="56F7EA0F"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7FDB379C"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7F146AC"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1E30F6A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577300B1"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201434FA"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0895B25" w14:textId="77777777" w:rsidR="00DE347C" w:rsidRPr="00EE0850" w:rsidRDefault="00DE347C" w:rsidP="000C6220">
            <w:pPr>
              <w:spacing w:after="0" w:line="240" w:lineRule="auto"/>
              <w:rPr>
                <w:szCs w:val="22"/>
                <w:lang w:eastAsia="en-CA"/>
              </w:rPr>
            </w:pPr>
            <w:r w:rsidRPr="00EE0850">
              <w:rPr>
                <w:szCs w:val="22"/>
                <w:lang w:eastAsia="en-CA"/>
              </w:rPr>
              <w:t>Mongolia</w:t>
            </w:r>
          </w:p>
        </w:tc>
        <w:tc>
          <w:tcPr>
            <w:tcW w:w="1597" w:type="dxa"/>
            <w:tcBorders>
              <w:top w:val="nil"/>
              <w:left w:val="nil"/>
              <w:bottom w:val="single" w:sz="4" w:space="0" w:color="auto"/>
              <w:right w:val="single" w:sz="4" w:space="0" w:color="auto"/>
            </w:tcBorders>
            <w:shd w:val="clear" w:color="auto" w:fill="auto"/>
            <w:noWrap/>
            <w:vAlign w:val="center"/>
            <w:hideMark/>
          </w:tcPr>
          <w:p w14:paraId="107A8CDC" w14:textId="77777777" w:rsidR="00DE347C" w:rsidRPr="00EE0850" w:rsidRDefault="00DE347C" w:rsidP="000C6220">
            <w:pPr>
              <w:spacing w:after="0" w:line="240" w:lineRule="auto"/>
              <w:jc w:val="right"/>
              <w:rPr>
                <w:szCs w:val="22"/>
                <w:lang w:eastAsia="en-CA"/>
              </w:rPr>
            </w:pPr>
            <w:r w:rsidRPr="00EE0850">
              <w:rPr>
                <w:szCs w:val="22"/>
                <w:lang w:eastAsia="en-CA"/>
              </w:rPr>
              <w:t>0.005</w:t>
            </w:r>
          </w:p>
        </w:tc>
        <w:tc>
          <w:tcPr>
            <w:tcW w:w="1597" w:type="dxa"/>
            <w:tcBorders>
              <w:top w:val="nil"/>
              <w:left w:val="nil"/>
              <w:bottom w:val="single" w:sz="4" w:space="0" w:color="auto"/>
              <w:right w:val="single" w:sz="4" w:space="0" w:color="auto"/>
            </w:tcBorders>
            <w:shd w:val="clear" w:color="auto" w:fill="auto"/>
            <w:noWrap/>
            <w:vAlign w:val="center"/>
            <w:hideMark/>
          </w:tcPr>
          <w:p w14:paraId="487A9569" w14:textId="77777777" w:rsidR="00DE347C" w:rsidRPr="00EE0850" w:rsidRDefault="00DE347C" w:rsidP="000C6220">
            <w:pPr>
              <w:spacing w:after="0" w:line="240" w:lineRule="auto"/>
              <w:jc w:val="right"/>
              <w:rPr>
                <w:szCs w:val="22"/>
                <w:lang w:eastAsia="en-CA"/>
              </w:rPr>
            </w:pPr>
            <w:r w:rsidRPr="00EE0850">
              <w:rPr>
                <w:szCs w:val="22"/>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21C2AD8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14:paraId="4488838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442A2682" w14:textId="77777777" w:rsidR="00DE347C" w:rsidRPr="00EE0850" w:rsidRDefault="00DE347C" w:rsidP="000C6220">
            <w:pPr>
              <w:spacing w:after="0" w:line="240" w:lineRule="auto"/>
              <w:jc w:val="right"/>
              <w:rPr>
                <w:szCs w:val="22"/>
                <w:lang w:eastAsia="en-CA"/>
              </w:rPr>
            </w:pPr>
            <w:r w:rsidRPr="00EE0850">
              <w:rPr>
                <w:szCs w:val="22"/>
                <w:lang w:eastAsia="en-CA"/>
              </w:rPr>
              <w:t>335</w:t>
            </w:r>
          </w:p>
        </w:tc>
      </w:tr>
      <w:tr w:rsidR="00DE347C" w:rsidRPr="00EE0850" w14:paraId="64189134"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24115F0" w14:textId="77777777" w:rsidR="00DE347C" w:rsidRPr="00EE0850" w:rsidRDefault="00DE347C" w:rsidP="000C6220">
            <w:pPr>
              <w:spacing w:after="0" w:line="240" w:lineRule="auto"/>
              <w:rPr>
                <w:szCs w:val="22"/>
                <w:lang w:eastAsia="en-CA"/>
              </w:rPr>
            </w:pPr>
            <w:r w:rsidRPr="00EE0850">
              <w:rPr>
                <w:szCs w:val="22"/>
                <w:lang w:eastAsia="en-CA"/>
              </w:rPr>
              <w:t>Mozambique</w:t>
            </w:r>
          </w:p>
        </w:tc>
        <w:tc>
          <w:tcPr>
            <w:tcW w:w="1597" w:type="dxa"/>
            <w:tcBorders>
              <w:top w:val="nil"/>
              <w:left w:val="nil"/>
              <w:bottom w:val="single" w:sz="4" w:space="0" w:color="auto"/>
              <w:right w:val="single" w:sz="4" w:space="0" w:color="auto"/>
            </w:tcBorders>
            <w:shd w:val="clear" w:color="auto" w:fill="auto"/>
            <w:noWrap/>
            <w:vAlign w:val="center"/>
            <w:hideMark/>
          </w:tcPr>
          <w:p w14:paraId="55F37E17"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79391364" w14:textId="77777777" w:rsidR="00DE347C" w:rsidRPr="00EE0850" w:rsidRDefault="00DE347C" w:rsidP="000C6220">
            <w:pPr>
              <w:spacing w:after="0" w:line="240" w:lineRule="auto"/>
              <w:jc w:val="right"/>
              <w:rPr>
                <w:szCs w:val="22"/>
                <w:lang w:eastAsia="en-CA"/>
              </w:rPr>
            </w:pPr>
            <w:r w:rsidRPr="00EE0850">
              <w:rPr>
                <w:szCs w:val="22"/>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1DA9D7C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17C75E8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56826990" w14:textId="77777777" w:rsidR="00DE347C" w:rsidRPr="00EE0850" w:rsidRDefault="00DE347C" w:rsidP="000C6220">
            <w:pPr>
              <w:spacing w:after="0" w:line="240" w:lineRule="auto"/>
              <w:jc w:val="right"/>
              <w:rPr>
                <w:szCs w:val="22"/>
                <w:lang w:eastAsia="en-CA"/>
              </w:rPr>
            </w:pPr>
            <w:r w:rsidRPr="00EE0850">
              <w:rPr>
                <w:szCs w:val="22"/>
                <w:lang w:eastAsia="en-CA"/>
              </w:rPr>
              <w:t>268</w:t>
            </w:r>
          </w:p>
        </w:tc>
      </w:tr>
      <w:tr w:rsidR="00DE347C" w:rsidRPr="00EE0850" w14:paraId="5EDE5902"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D875434" w14:textId="77777777" w:rsidR="00DE347C" w:rsidRPr="00EE0850" w:rsidRDefault="00DE347C" w:rsidP="000C6220">
            <w:pPr>
              <w:spacing w:after="0" w:line="240" w:lineRule="auto"/>
              <w:rPr>
                <w:szCs w:val="22"/>
                <w:lang w:eastAsia="en-CA"/>
              </w:rPr>
            </w:pPr>
            <w:r w:rsidRPr="00EE0850">
              <w:rPr>
                <w:szCs w:val="22"/>
                <w:lang w:eastAsia="en-CA"/>
              </w:rPr>
              <w:t>Myanmar</w:t>
            </w:r>
          </w:p>
        </w:tc>
        <w:tc>
          <w:tcPr>
            <w:tcW w:w="1597" w:type="dxa"/>
            <w:tcBorders>
              <w:top w:val="nil"/>
              <w:left w:val="nil"/>
              <w:bottom w:val="single" w:sz="4" w:space="0" w:color="auto"/>
              <w:right w:val="single" w:sz="4" w:space="0" w:color="auto"/>
            </w:tcBorders>
            <w:shd w:val="clear" w:color="auto" w:fill="auto"/>
            <w:noWrap/>
            <w:vAlign w:val="center"/>
            <w:hideMark/>
          </w:tcPr>
          <w:p w14:paraId="6BB62056"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45036E17"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2FA3431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2551C84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4D7D66D2" w14:textId="77777777" w:rsidR="00DE347C" w:rsidRPr="00EE0850" w:rsidRDefault="00DE347C" w:rsidP="000C6220">
            <w:pPr>
              <w:spacing w:after="0" w:line="240" w:lineRule="auto"/>
              <w:jc w:val="right"/>
              <w:rPr>
                <w:szCs w:val="22"/>
                <w:lang w:eastAsia="en-CA"/>
              </w:rPr>
            </w:pPr>
            <w:r w:rsidRPr="00EE0850">
              <w:rPr>
                <w:szCs w:val="22"/>
                <w:lang w:eastAsia="en-CA"/>
              </w:rPr>
              <w:t>363</w:t>
            </w:r>
          </w:p>
        </w:tc>
      </w:tr>
      <w:tr w:rsidR="00DE347C" w:rsidRPr="00EE0850" w14:paraId="3219CD83"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3098FF3" w14:textId="77777777" w:rsidR="00DE347C" w:rsidRPr="00EE0850" w:rsidRDefault="00DE347C" w:rsidP="000C6220">
            <w:pPr>
              <w:spacing w:after="0" w:line="240" w:lineRule="auto"/>
              <w:rPr>
                <w:szCs w:val="22"/>
                <w:lang w:eastAsia="en-CA"/>
              </w:rPr>
            </w:pPr>
            <w:r w:rsidRPr="00EE0850">
              <w:rPr>
                <w:szCs w:val="22"/>
                <w:lang w:eastAsia="en-CA"/>
              </w:rPr>
              <w:t>Namibia</w:t>
            </w:r>
          </w:p>
        </w:tc>
        <w:tc>
          <w:tcPr>
            <w:tcW w:w="1597" w:type="dxa"/>
            <w:tcBorders>
              <w:top w:val="nil"/>
              <w:left w:val="nil"/>
              <w:bottom w:val="single" w:sz="4" w:space="0" w:color="auto"/>
              <w:right w:val="single" w:sz="4" w:space="0" w:color="auto"/>
            </w:tcBorders>
            <w:shd w:val="clear" w:color="auto" w:fill="auto"/>
            <w:noWrap/>
            <w:vAlign w:val="center"/>
            <w:hideMark/>
          </w:tcPr>
          <w:p w14:paraId="70E4182B"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798020FB" w14:textId="77777777" w:rsidR="00DE347C" w:rsidRPr="00EE0850" w:rsidRDefault="00DE347C" w:rsidP="000C6220">
            <w:pPr>
              <w:spacing w:after="0" w:line="240" w:lineRule="auto"/>
              <w:jc w:val="right"/>
              <w:rPr>
                <w:szCs w:val="22"/>
                <w:lang w:eastAsia="en-CA"/>
              </w:rPr>
            </w:pPr>
            <w:r w:rsidRPr="00EE0850">
              <w:rPr>
                <w:szCs w:val="22"/>
                <w:lang w:eastAsia="en-CA"/>
              </w:rPr>
              <w:t>0.018</w:t>
            </w:r>
          </w:p>
        </w:tc>
        <w:tc>
          <w:tcPr>
            <w:tcW w:w="1597" w:type="dxa"/>
            <w:tcBorders>
              <w:top w:val="nil"/>
              <w:left w:val="nil"/>
              <w:bottom w:val="single" w:sz="4" w:space="0" w:color="auto"/>
              <w:right w:val="single" w:sz="4" w:space="0" w:color="auto"/>
            </w:tcBorders>
            <w:shd w:val="clear" w:color="auto" w:fill="auto"/>
            <w:noWrap/>
            <w:vAlign w:val="center"/>
            <w:hideMark/>
          </w:tcPr>
          <w:p w14:paraId="437E24A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325</w:t>
            </w:r>
          </w:p>
        </w:tc>
        <w:tc>
          <w:tcPr>
            <w:tcW w:w="1597" w:type="dxa"/>
            <w:tcBorders>
              <w:top w:val="nil"/>
              <w:left w:val="nil"/>
              <w:bottom w:val="single" w:sz="4" w:space="0" w:color="auto"/>
              <w:right w:val="single" w:sz="4" w:space="0" w:color="auto"/>
            </w:tcBorders>
            <w:shd w:val="clear" w:color="auto" w:fill="auto"/>
            <w:noWrap/>
            <w:vAlign w:val="center"/>
            <w:hideMark/>
          </w:tcPr>
          <w:p w14:paraId="59513B6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345</w:t>
            </w:r>
          </w:p>
        </w:tc>
        <w:tc>
          <w:tcPr>
            <w:tcW w:w="1598" w:type="dxa"/>
            <w:tcBorders>
              <w:top w:val="nil"/>
              <w:left w:val="nil"/>
              <w:bottom w:val="single" w:sz="4" w:space="0" w:color="auto"/>
              <w:right w:val="single" w:sz="4" w:space="0" w:color="auto"/>
            </w:tcBorders>
            <w:shd w:val="clear" w:color="auto" w:fill="auto"/>
            <w:noWrap/>
            <w:vAlign w:val="center"/>
            <w:hideMark/>
          </w:tcPr>
          <w:p w14:paraId="1C60368F" w14:textId="77777777" w:rsidR="00DE347C" w:rsidRPr="00EE0850" w:rsidRDefault="00DE347C" w:rsidP="000C6220">
            <w:pPr>
              <w:spacing w:after="0" w:line="240" w:lineRule="auto"/>
              <w:jc w:val="right"/>
              <w:rPr>
                <w:szCs w:val="22"/>
                <w:lang w:eastAsia="en-CA"/>
              </w:rPr>
            </w:pPr>
            <w:r w:rsidRPr="00EE0850">
              <w:rPr>
                <w:szCs w:val="22"/>
                <w:lang w:eastAsia="en-CA"/>
              </w:rPr>
              <w:t>670</w:t>
            </w:r>
          </w:p>
        </w:tc>
      </w:tr>
      <w:tr w:rsidR="00DE347C" w:rsidRPr="00EE0850" w14:paraId="332281E4"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2EDF1F5" w14:textId="77777777" w:rsidR="00DE347C" w:rsidRPr="00EE0850" w:rsidRDefault="00DE347C" w:rsidP="000C6220">
            <w:pPr>
              <w:spacing w:after="0" w:line="240" w:lineRule="auto"/>
              <w:rPr>
                <w:szCs w:val="22"/>
                <w:lang w:eastAsia="en-CA"/>
              </w:rPr>
            </w:pPr>
            <w:r w:rsidRPr="00EE0850">
              <w:rPr>
                <w:szCs w:val="22"/>
                <w:lang w:eastAsia="en-CA"/>
              </w:rPr>
              <w:t>Netherlands</w:t>
            </w:r>
          </w:p>
        </w:tc>
        <w:tc>
          <w:tcPr>
            <w:tcW w:w="1597" w:type="dxa"/>
            <w:tcBorders>
              <w:top w:val="nil"/>
              <w:left w:val="nil"/>
              <w:bottom w:val="single" w:sz="4" w:space="0" w:color="auto"/>
              <w:right w:val="single" w:sz="4" w:space="0" w:color="auto"/>
            </w:tcBorders>
            <w:shd w:val="clear" w:color="auto" w:fill="auto"/>
            <w:noWrap/>
            <w:vAlign w:val="center"/>
            <w:hideMark/>
          </w:tcPr>
          <w:p w14:paraId="1D6815E7" w14:textId="77777777" w:rsidR="00DE347C" w:rsidRPr="00EE0850" w:rsidRDefault="00DE347C" w:rsidP="000C6220">
            <w:pPr>
              <w:spacing w:after="0" w:line="240" w:lineRule="auto"/>
              <w:jc w:val="right"/>
              <w:rPr>
                <w:szCs w:val="22"/>
                <w:lang w:eastAsia="en-CA"/>
              </w:rPr>
            </w:pPr>
            <w:r w:rsidRPr="00EE0850">
              <w:rPr>
                <w:szCs w:val="22"/>
                <w:lang w:eastAsia="en-CA"/>
              </w:rPr>
              <w:t>1.482</w:t>
            </w:r>
          </w:p>
        </w:tc>
        <w:tc>
          <w:tcPr>
            <w:tcW w:w="1597" w:type="dxa"/>
            <w:tcBorders>
              <w:top w:val="nil"/>
              <w:left w:val="nil"/>
              <w:bottom w:val="single" w:sz="4" w:space="0" w:color="auto"/>
              <w:right w:val="single" w:sz="4" w:space="0" w:color="auto"/>
            </w:tcBorders>
            <w:shd w:val="clear" w:color="auto" w:fill="auto"/>
            <w:noWrap/>
            <w:vAlign w:val="center"/>
            <w:hideMark/>
          </w:tcPr>
          <w:p w14:paraId="3D1D06DA" w14:textId="77777777" w:rsidR="00DE347C" w:rsidRPr="00EE0850" w:rsidRDefault="00DE347C" w:rsidP="000C6220">
            <w:pPr>
              <w:spacing w:after="0" w:line="240" w:lineRule="auto"/>
              <w:jc w:val="right"/>
              <w:rPr>
                <w:szCs w:val="22"/>
                <w:lang w:eastAsia="en-CA"/>
              </w:rPr>
            </w:pPr>
            <w:r w:rsidRPr="00EE0850">
              <w:rPr>
                <w:szCs w:val="22"/>
                <w:lang w:eastAsia="en-CA"/>
              </w:rPr>
              <w:t>2.738</w:t>
            </w:r>
          </w:p>
        </w:tc>
        <w:tc>
          <w:tcPr>
            <w:tcW w:w="1597" w:type="dxa"/>
            <w:tcBorders>
              <w:top w:val="nil"/>
              <w:left w:val="nil"/>
              <w:bottom w:val="single" w:sz="4" w:space="0" w:color="auto"/>
              <w:right w:val="single" w:sz="4" w:space="0" w:color="auto"/>
            </w:tcBorders>
            <w:shd w:val="clear" w:color="auto" w:fill="auto"/>
            <w:noWrap/>
            <w:vAlign w:val="center"/>
            <w:hideMark/>
          </w:tcPr>
          <w:p w14:paraId="1D9C9B0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48 220</w:t>
            </w:r>
          </w:p>
        </w:tc>
        <w:tc>
          <w:tcPr>
            <w:tcW w:w="1597" w:type="dxa"/>
            <w:tcBorders>
              <w:top w:val="nil"/>
              <w:left w:val="nil"/>
              <w:bottom w:val="single" w:sz="4" w:space="0" w:color="auto"/>
              <w:right w:val="single" w:sz="4" w:space="0" w:color="auto"/>
            </w:tcBorders>
            <w:shd w:val="clear" w:color="auto" w:fill="auto"/>
            <w:noWrap/>
            <w:vAlign w:val="center"/>
            <w:hideMark/>
          </w:tcPr>
          <w:p w14:paraId="1BF55B5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51 133</w:t>
            </w:r>
          </w:p>
        </w:tc>
        <w:tc>
          <w:tcPr>
            <w:tcW w:w="1598" w:type="dxa"/>
            <w:tcBorders>
              <w:top w:val="nil"/>
              <w:left w:val="nil"/>
              <w:bottom w:val="single" w:sz="4" w:space="0" w:color="auto"/>
              <w:right w:val="single" w:sz="4" w:space="0" w:color="auto"/>
            </w:tcBorders>
            <w:shd w:val="clear" w:color="auto" w:fill="auto"/>
            <w:noWrap/>
            <w:vAlign w:val="center"/>
            <w:hideMark/>
          </w:tcPr>
          <w:p w14:paraId="2EBD66EE" w14:textId="77777777" w:rsidR="00DE347C" w:rsidRPr="00EE0850" w:rsidRDefault="00DE347C" w:rsidP="000C6220">
            <w:pPr>
              <w:spacing w:after="0" w:line="240" w:lineRule="auto"/>
              <w:jc w:val="right"/>
              <w:rPr>
                <w:szCs w:val="22"/>
                <w:lang w:eastAsia="en-CA"/>
              </w:rPr>
            </w:pPr>
            <w:r w:rsidRPr="00EE0850">
              <w:rPr>
                <w:szCs w:val="22"/>
                <w:lang w:eastAsia="en-CA"/>
              </w:rPr>
              <w:t>99 353</w:t>
            </w:r>
          </w:p>
        </w:tc>
      </w:tr>
      <w:tr w:rsidR="00DE347C" w:rsidRPr="00EE0850" w14:paraId="7C03028F"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DDDE1F7" w14:textId="77777777" w:rsidR="00DE347C" w:rsidRPr="00EE0850" w:rsidRDefault="00DE347C" w:rsidP="000C6220">
            <w:pPr>
              <w:spacing w:after="0" w:line="240" w:lineRule="auto"/>
              <w:rPr>
                <w:szCs w:val="22"/>
                <w:lang w:eastAsia="en-CA"/>
              </w:rPr>
            </w:pPr>
            <w:r w:rsidRPr="00EE0850">
              <w:rPr>
                <w:szCs w:val="22"/>
                <w:lang w:eastAsia="en-CA"/>
              </w:rPr>
              <w:t>Niger</w:t>
            </w:r>
          </w:p>
        </w:tc>
        <w:tc>
          <w:tcPr>
            <w:tcW w:w="1597" w:type="dxa"/>
            <w:tcBorders>
              <w:top w:val="nil"/>
              <w:left w:val="nil"/>
              <w:bottom w:val="single" w:sz="4" w:space="0" w:color="auto"/>
              <w:right w:val="single" w:sz="4" w:space="0" w:color="auto"/>
            </w:tcBorders>
            <w:shd w:val="clear" w:color="auto" w:fill="auto"/>
            <w:noWrap/>
            <w:vAlign w:val="center"/>
            <w:hideMark/>
          </w:tcPr>
          <w:p w14:paraId="5432AE46"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754A2B3"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44F27CC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25A8B5C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54527FF0" w14:textId="77777777" w:rsidR="00DE347C" w:rsidRPr="00EE0850" w:rsidRDefault="00DE347C" w:rsidP="000C6220">
            <w:pPr>
              <w:spacing w:after="0" w:line="240" w:lineRule="auto"/>
              <w:jc w:val="right"/>
              <w:rPr>
                <w:szCs w:val="22"/>
                <w:lang w:eastAsia="en-CA"/>
              </w:rPr>
            </w:pPr>
            <w:r w:rsidRPr="00EE0850">
              <w:rPr>
                <w:szCs w:val="22"/>
                <w:lang w:eastAsia="en-CA"/>
              </w:rPr>
              <w:t>134</w:t>
            </w:r>
          </w:p>
        </w:tc>
      </w:tr>
      <w:tr w:rsidR="00DE347C" w:rsidRPr="00EE0850" w14:paraId="73DD660F"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A862921" w14:textId="77777777" w:rsidR="00DE347C" w:rsidRPr="00EE0850" w:rsidRDefault="00DE347C" w:rsidP="000C6220">
            <w:pPr>
              <w:spacing w:after="0" w:line="240" w:lineRule="auto"/>
              <w:rPr>
                <w:szCs w:val="22"/>
                <w:lang w:eastAsia="en-CA"/>
              </w:rPr>
            </w:pPr>
            <w:r w:rsidRPr="00EE0850">
              <w:rPr>
                <w:szCs w:val="22"/>
                <w:lang w:eastAsia="en-CA"/>
              </w:rPr>
              <w:t>Norway</w:t>
            </w:r>
          </w:p>
        </w:tc>
        <w:tc>
          <w:tcPr>
            <w:tcW w:w="1597" w:type="dxa"/>
            <w:tcBorders>
              <w:top w:val="nil"/>
              <w:left w:val="nil"/>
              <w:bottom w:val="single" w:sz="4" w:space="0" w:color="auto"/>
              <w:right w:val="single" w:sz="4" w:space="0" w:color="auto"/>
            </w:tcBorders>
            <w:shd w:val="clear" w:color="auto" w:fill="auto"/>
            <w:noWrap/>
            <w:vAlign w:val="center"/>
            <w:hideMark/>
          </w:tcPr>
          <w:p w14:paraId="27E49029" w14:textId="77777777" w:rsidR="00DE347C" w:rsidRPr="00EE0850" w:rsidRDefault="00DE347C" w:rsidP="000C6220">
            <w:pPr>
              <w:spacing w:after="0" w:line="240" w:lineRule="auto"/>
              <w:jc w:val="right"/>
              <w:rPr>
                <w:szCs w:val="22"/>
                <w:lang w:eastAsia="en-CA"/>
              </w:rPr>
            </w:pPr>
            <w:r w:rsidRPr="00EE0850">
              <w:rPr>
                <w:szCs w:val="22"/>
                <w:lang w:eastAsia="en-CA"/>
              </w:rPr>
              <w:t>0.849</w:t>
            </w:r>
          </w:p>
        </w:tc>
        <w:tc>
          <w:tcPr>
            <w:tcW w:w="1597" w:type="dxa"/>
            <w:tcBorders>
              <w:top w:val="nil"/>
              <w:left w:val="nil"/>
              <w:bottom w:val="single" w:sz="4" w:space="0" w:color="auto"/>
              <w:right w:val="single" w:sz="4" w:space="0" w:color="auto"/>
            </w:tcBorders>
            <w:shd w:val="clear" w:color="auto" w:fill="auto"/>
            <w:noWrap/>
            <w:vAlign w:val="center"/>
            <w:hideMark/>
          </w:tcPr>
          <w:p w14:paraId="067B3F14" w14:textId="77777777" w:rsidR="00DE347C" w:rsidRPr="00EE0850" w:rsidRDefault="00DE347C" w:rsidP="000C6220">
            <w:pPr>
              <w:spacing w:after="0" w:line="240" w:lineRule="auto"/>
              <w:jc w:val="right"/>
              <w:rPr>
                <w:szCs w:val="22"/>
                <w:lang w:eastAsia="en-CA"/>
              </w:rPr>
            </w:pPr>
            <w:r w:rsidRPr="00EE0850">
              <w:rPr>
                <w:szCs w:val="22"/>
                <w:lang w:eastAsia="en-CA"/>
              </w:rPr>
              <w:t>1.569</w:t>
            </w:r>
          </w:p>
        </w:tc>
        <w:tc>
          <w:tcPr>
            <w:tcW w:w="1597" w:type="dxa"/>
            <w:tcBorders>
              <w:top w:val="nil"/>
              <w:left w:val="nil"/>
              <w:bottom w:val="single" w:sz="4" w:space="0" w:color="auto"/>
              <w:right w:val="single" w:sz="4" w:space="0" w:color="auto"/>
            </w:tcBorders>
            <w:shd w:val="clear" w:color="auto" w:fill="auto"/>
            <w:noWrap/>
            <w:vAlign w:val="center"/>
            <w:hideMark/>
          </w:tcPr>
          <w:p w14:paraId="412F8F0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27 624</w:t>
            </w:r>
          </w:p>
        </w:tc>
        <w:tc>
          <w:tcPr>
            <w:tcW w:w="1597" w:type="dxa"/>
            <w:tcBorders>
              <w:top w:val="nil"/>
              <w:left w:val="nil"/>
              <w:bottom w:val="single" w:sz="4" w:space="0" w:color="auto"/>
              <w:right w:val="single" w:sz="4" w:space="0" w:color="auto"/>
            </w:tcBorders>
            <w:shd w:val="clear" w:color="auto" w:fill="auto"/>
            <w:noWrap/>
            <w:vAlign w:val="center"/>
            <w:hideMark/>
          </w:tcPr>
          <w:p w14:paraId="588DB75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29 293</w:t>
            </w:r>
          </w:p>
        </w:tc>
        <w:tc>
          <w:tcPr>
            <w:tcW w:w="1598" w:type="dxa"/>
            <w:tcBorders>
              <w:top w:val="nil"/>
              <w:left w:val="nil"/>
              <w:bottom w:val="single" w:sz="4" w:space="0" w:color="auto"/>
              <w:right w:val="single" w:sz="4" w:space="0" w:color="auto"/>
            </w:tcBorders>
            <w:shd w:val="clear" w:color="auto" w:fill="auto"/>
            <w:noWrap/>
            <w:vAlign w:val="center"/>
            <w:hideMark/>
          </w:tcPr>
          <w:p w14:paraId="4FBF2AE5" w14:textId="77777777" w:rsidR="00DE347C" w:rsidRPr="00EE0850" w:rsidRDefault="00DE347C" w:rsidP="000C6220">
            <w:pPr>
              <w:spacing w:after="0" w:line="240" w:lineRule="auto"/>
              <w:jc w:val="right"/>
              <w:rPr>
                <w:szCs w:val="22"/>
                <w:lang w:eastAsia="en-CA"/>
              </w:rPr>
            </w:pPr>
            <w:r w:rsidRPr="00EE0850">
              <w:rPr>
                <w:szCs w:val="22"/>
                <w:lang w:eastAsia="en-CA"/>
              </w:rPr>
              <w:t>56 917</w:t>
            </w:r>
          </w:p>
        </w:tc>
      </w:tr>
      <w:tr w:rsidR="00DE347C" w:rsidRPr="00EE0850" w14:paraId="7F74081E"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FA1499C" w14:textId="77777777" w:rsidR="00DE347C" w:rsidRPr="00EE0850" w:rsidRDefault="00DE347C" w:rsidP="000C6220">
            <w:pPr>
              <w:spacing w:after="0" w:line="240" w:lineRule="auto"/>
              <w:rPr>
                <w:szCs w:val="22"/>
                <w:lang w:eastAsia="en-CA"/>
              </w:rPr>
            </w:pPr>
            <w:r w:rsidRPr="00EE0850">
              <w:rPr>
                <w:szCs w:val="22"/>
                <w:lang w:eastAsia="en-CA"/>
              </w:rPr>
              <w:t>Pakistan</w:t>
            </w:r>
          </w:p>
        </w:tc>
        <w:tc>
          <w:tcPr>
            <w:tcW w:w="1597" w:type="dxa"/>
            <w:tcBorders>
              <w:top w:val="nil"/>
              <w:left w:val="nil"/>
              <w:bottom w:val="single" w:sz="4" w:space="0" w:color="auto"/>
              <w:right w:val="single" w:sz="4" w:space="0" w:color="auto"/>
            </w:tcBorders>
            <w:shd w:val="clear" w:color="auto" w:fill="auto"/>
            <w:noWrap/>
            <w:vAlign w:val="center"/>
            <w:hideMark/>
          </w:tcPr>
          <w:p w14:paraId="39919866" w14:textId="77777777" w:rsidR="00DE347C" w:rsidRPr="00EE0850" w:rsidRDefault="00DE347C" w:rsidP="000C6220">
            <w:pPr>
              <w:spacing w:after="0" w:line="240" w:lineRule="auto"/>
              <w:jc w:val="right"/>
              <w:rPr>
                <w:szCs w:val="22"/>
                <w:lang w:eastAsia="en-CA"/>
              </w:rPr>
            </w:pPr>
            <w:r w:rsidRPr="00EE0850">
              <w:rPr>
                <w:szCs w:val="22"/>
                <w:lang w:eastAsia="en-CA"/>
              </w:rPr>
              <w:t>0.093</w:t>
            </w:r>
          </w:p>
        </w:tc>
        <w:tc>
          <w:tcPr>
            <w:tcW w:w="1597" w:type="dxa"/>
            <w:tcBorders>
              <w:top w:val="nil"/>
              <w:left w:val="nil"/>
              <w:bottom w:val="single" w:sz="4" w:space="0" w:color="auto"/>
              <w:right w:val="single" w:sz="4" w:space="0" w:color="auto"/>
            </w:tcBorders>
            <w:shd w:val="clear" w:color="auto" w:fill="auto"/>
            <w:noWrap/>
            <w:vAlign w:val="center"/>
            <w:hideMark/>
          </w:tcPr>
          <w:p w14:paraId="219059C6" w14:textId="77777777" w:rsidR="00DE347C" w:rsidRPr="00EE0850" w:rsidRDefault="00DE347C" w:rsidP="000C6220">
            <w:pPr>
              <w:spacing w:after="0" w:line="240" w:lineRule="auto"/>
              <w:jc w:val="right"/>
              <w:rPr>
                <w:szCs w:val="22"/>
                <w:lang w:eastAsia="en-CA"/>
              </w:rPr>
            </w:pPr>
            <w:r w:rsidRPr="00EE0850">
              <w:rPr>
                <w:szCs w:val="22"/>
                <w:lang w:eastAsia="en-CA"/>
              </w:rPr>
              <w:t>0.172</w:t>
            </w:r>
          </w:p>
        </w:tc>
        <w:tc>
          <w:tcPr>
            <w:tcW w:w="1597" w:type="dxa"/>
            <w:tcBorders>
              <w:top w:val="nil"/>
              <w:left w:val="nil"/>
              <w:bottom w:val="single" w:sz="4" w:space="0" w:color="auto"/>
              <w:right w:val="single" w:sz="4" w:space="0" w:color="auto"/>
            </w:tcBorders>
            <w:shd w:val="clear" w:color="auto" w:fill="auto"/>
            <w:noWrap/>
            <w:vAlign w:val="center"/>
            <w:hideMark/>
          </w:tcPr>
          <w:p w14:paraId="39D0B6C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3 026</w:t>
            </w:r>
          </w:p>
        </w:tc>
        <w:tc>
          <w:tcPr>
            <w:tcW w:w="1597" w:type="dxa"/>
            <w:tcBorders>
              <w:top w:val="nil"/>
              <w:left w:val="nil"/>
              <w:bottom w:val="single" w:sz="4" w:space="0" w:color="auto"/>
              <w:right w:val="single" w:sz="4" w:space="0" w:color="auto"/>
            </w:tcBorders>
            <w:shd w:val="clear" w:color="auto" w:fill="auto"/>
            <w:noWrap/>
            <w:vAlign w:val="center"/>
            <w:hideMark/>
          </w:tcPr>
          <w:p w14:paraId="1701C75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3 209</w:t>
            </w:r>
          </w:p>
        </w:tc>
        <w:tc>
          <w:tcPr>
            <w:tcW w:w="1598" w:type="dxa"/>
            <w:tcBorders>
              <w:top w:val="nil"/>
              <w:left w:val="nil"/>
              <w:bottom w:val="single" w:sz="4" w:space="0" w:color="auto"/>
              <w:right w:val="single" w:sz="4" w:space="0" w:color="auto"/>
            </w:tcBorders>
            <w:shd w:val="clear" w:color="auto" w:fill="auto"/>
            <w:noWrap/>
            <w:vAlign w:val="center"/>
            <w:hideMark/>
          </w:tcPr>
          <w:p w14:paraId="3A483708" w14:textId="77777777" w:rsidR="00DE347C" w:rsidRPr="00EE0850" w:rsidRDefault="00DE347C" w:rsidP="000C6220">
            <w:pPr>
              <w:spacing w:after="0" w:line="240" w:lineRule="auto"/>
              <w:jc w:val="right"/>
              <w:rPr>
                <w:szCs w:val="22"/>
                <w:lang w:eastAsia="en-CA"/>
              </w:rPr>
            </w:pPr>
            <w:r w:rsidRPr="00EE0850">
              <w:rPr>
                <w:szCs w:val="22"/>
                <w:lang w:eastAsia="en-CA"/>
              </w:rPr>
              <w:t>6 235</w:t>
            </w:r>
          </w:p>
        </w:tc>
      </w:tr>
      <w:tr w:rsidR="00DE347C" w:rsidRPr="00EE0850" w14:paraId="530D6498"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1685B6A" w14:textId="77777777" w:rsidR="00DE347C" w:rsidRPr="00EE0850" w:rsidRDefault="00DE347C" w:rsidP="000C6220">
            <w:pPr>
              <w:spacing w:after="0" w:line="240" w:lineRule="auto"/>
              <w:rPr>
                <w:szCs w:val="22"/>
                <w:lang w:eastAsia="en-CA"/>
              </w:rPr>
            </w:pPr>
            <w:r w:rsidRPr="00EE0850">
              <w:rPr>
                <w:szCs w:val="22"/>
                <w:lang w:eastAsia="en-CA"/>
              </w:rPr>
              <w:t>Palau</w:t>
            </w:r>
          </w:p>
        </w:tc>
        <w:tc>
          <w:tcPr>
            <w:tcW w:w="1597" w:type="dxa"/>
            <w:tcBorders>
              <w:top w:val="nil"/>
              <w:left w:val="nil"/>
              <w:bottom w:val="single" w:sz="4" w:space="0" w:color="auto"/>
              <w:right w:val="single" w:sz="4" w:space="0" w:color="auto"/>
            </w:tcBorders>
            <w:shd w:val="clear" w:color="auto" w:fill="auto"/>
            <w:noWrap/>
            <w:vAlign w:val="center"/>
            <w:hideMark/>
          </w:tcPr>
          <w:p w14:paraId="3B87B65E"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06C0B37"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BF7195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4195039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0CB6920B"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52731F61"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3D908B0" w14:textId="77777777" w:rsidR="00DE347C" w:rsidRPr="00EE0850" w:rsidRDefault="00DE347C" w:rsidP="000C6220">
            <w:pPr>
              <w:spacing w:after="0" w:line="240" w:lineRule="auto"/>
              <w:rPr>
                <w:szCs w:val="22"/>
                <w:lang w:eastAsia="en-CA"/>
              </w:rPr>
            </w:pPr>
            <w:r w:rsidRPr="00EE0850">
              <w:rPr>
                <w:szCs w:val="22"/>
                <w:lang w:eastAsia="en-CA"/>
              </w:rPr>
              <w:t>Panama</w:t>
            </w:r>
          </w:p>
        </w:tc>
        <w:tc>
          <w:tcPr>
            <w:tcW w:w="1597" w:type="dxa"/>
            <w:tcBorders>
              <w:top w:val="nil"/>
              <w:left w:val="nil"/>
              <w:bottom w:val="single" w:sz="4" w:space="0" w:color="auto"/>
              <w:right w:val="single" w:sz="4" w:space="0" w:color="auto"/>
            </w:tcBorders>
            <w:shd w:val="clear" w:color="auto" w:fill="auto"/>
            <w:noWrap/>
            <w:vAlign w:val="center"/>
            <w:hideMark/>
          </w:tcPr>
          <w:p w14:paraId="782F303C" w14:textId="77777777" w:rsidR="00DE347C" w:rsidRPr="00EE0850" w:rsidRDefault="00DE347C" w:rsidP="000C6220">
            <w:pPr>
              <w:spacing w:after="0" w:line="240" w:lineRule="auto"/>
              <w:jc w:val="right"/>
              <w:rPr>
                <w:szCs w:val="22"/>
                <w:lang w:eastAsia="en-CA"/>
              </w:rPr>
            </w:pPr>
            <w:r w:rsidRPr="00EE0850">
              <w:rPr>
                <w:szCs w:val="22"/>
                <w:lang w:eastAsia="en-CA"/>
              </w:rPr>
              <w:t>0.034</w:t>
            </w:r>
          </w:p>
        </w:tc>
        <w:tc>
          <w:tcPr>
            <w:tcW w:w="1597" w:type="dxa"/>
            <w:tcBorders>
              <w:top w:val="nil"/>
              <w:left w:val="nil"/>
              <w:bottom w:val="single" w:sz="4" w:space="0" w:color="auto"/>
              <w:right w:val="single" w:sz="4" w:space="0" w:color="auto"/>
            </w:tcBorders>
            <w:shd w:val="clear" w:color="auto" w:fill="auto"/>
            <w:noWrap/>
            <w:vAlign w:val="center"/>
            <w:hideMark/>
          </w:tcPr>
          <w:p w14:paraId="455A6801" w14:textId="77777777" w:rsidR="00DE347C" w:rsidRPr="00EE0850" w:rsidRDefault="00DE347C" w:rsidP="000C6220">
            <w:pPr>
              <w:spacing w:after="0" w:line="240" w:lineRule="auto"/>
              <w:jc w:val="right"/>
              <w:rPr>
                <w:szCs w:val="22"/>
                <w:lang w:eastAsia="en-CA"/>
              </w:rPr>
            </w:pPr>
            <w:r w:rsidRPr="00EE0850">
              <w:rPr>
                <w:szCs w:val="22"/>
                <w:lang w:eastAsia="en-CA"/>
              </w:rPr>
              <w:t>0.063</w:t>
            </w:r>
          </w:p>
        </w:tc>
        <w:tc>
          <w:tcPr>
            <w:tcW w:w="1597" w:type="dxa"/>
            <w:tcBorders>
              <w:top w:val="nil"/>
              <w:left w:val="nil"/>
              <w:bottom w:val="single" w:sz="4" w:space="0" w:color="auto"/>
              <w:right w:val="single" w:sz="4" w:space="0" w:color="auto"/>
            </w:tcBorders>
            <w:shd w:val="clear" w:color="auto" w:fill="auto"/>
            <w:noWrap/>
            <w:vAlign w:val="center"/>
            <w:hideMark/>
          </w:tcPr>
          <w:p w14:paraId="3854D21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1 106</w:t>
            </w:r>
          </w:p>
        </w:tc>
        <w:tc>
          <w:tcPr>
            <w:tcW w:w="1597" w:type="dxa"/>
            <w:tcBorders>
              <w:top w:val="nil"/>
              <w:left w:val="nil"/>
              <w:bottom w:val="single" w:sz="4" w:space="0" w:color="auto"/>
              <w:right w:val="single" w:sz="4" w:space="0" w:color="auto"/>
            </w:tcBorders>
            <w:shd w:val="clear" w:color="auto" w:fill="auto"/>
            <w:noWrap/>
            <w:vAlign w:val="center"/>
            <w:hideMark/>
          </w:tcPr>
          <w:p w14:paraId="290CB37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1 173</w:t>
            </w:r>
          </w:p>
        </w:tc>
        <w:tc>
          <w:tcPr>
            <w:tcW w:w="1598" w:type="dxa"/>
            <w:tcBorders>
              <w:top w:val="nil"/>
              <w:left w:val="nil"/>
              <w:bottom w:val="single" w:sz="4" w:space="0" w:color="auto"/>
              <w:right w:val="single" w:sz="4" w:space="0" w:color="auto"/>
            </w:tcBorders>
            <w:shd w:val="clear" w:color="auto" w:fill="auto"/>
            <w:noWrap/>
            <w:vAlign w:val="center"/>
            <w:hideMark/>
          </w:tcPr>
          <w:p w14:paraId="674EBB44" w14:textId="77777777" w:rsidR="00DE347C" w:rsidRPr="00EE0850" w:rsidRDefault="00DE347C" w:rsidP="000C6220">
            <w:pPr>
              <w:spacing w:after="0" w:line="240" w:lineRule="auto"/>
              <w:jc w:val="right"/>
              <w:rPr>
                <w:szCs w:val="22"/>
                <w:lang w:eastAsia="en-CA"/>
              </w:rPr>
            </w:pPr>
            <w:r w:rsidRPr="00EE0850">
              <w:rPr>
                <w:szCs w:val="22"/>
                <w:lang w:eastAsia="en-CA"/>
              </w:rPr>
              <w:t>2 279</w:t>
            </w:r>
          </w:p>
        </w:tc>
      </w:tr>
      <w:tr w:rsidR="00DE347C" w:rsidRPr="00EE0850" w14:paraId="32CCA8FA"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587B9DC" w14:textId="77777777" w:rsidR="00DE347C" w:rsidRPr="00EE0850" w:rsidRDefault="00DE347C" w:rsidP="000C6220">
            <w:pPr>
              <w:spacing w:after="0" w:line="240" w:lineRule="auto"/>
              <w:rPr>
                <w:szCs w:val="22"/>
                <w:lang w:eastAsia="en-CA"/>
              </w:rPr>
            </w:pPr>
            <w:r w:rsidRPr="00EE0850">
              <w:rPr>
                <w:szCs w:val="22"/>
                <w:lang w:eastAsia="en-CA"/>
              </w:rPr>
              <w:t>Peru</w:t>
            </w:r>
          </w:p>
        </w:tc>
        <w:tc>
          <w:tcPr>
            <w:tcW w:w="1597" w:type="dxa"/>
            <w:tcBorders>
              <w:top w:val="nil"/>
              <w:left w:val="nil"/>
              <w:bottom w:val="single" w:sz="4" w:space="0" w:color="auto"/>
              <w:right w:val="single" w:sz="4" w:space="0" w:color="auto"/>
            </w:tcBorders>
            <w:shd w:val="clear" w:color="auto" w:fill="auto"/>
            <w:noWrap/>
            <w:vAlign w:val="center"/>
            <w:hideMark/>
          </w:tcPr>
          <w:p w14:paraId="62F1FCCB" w14:textId="77777777" w:rsidR="00DE347C" w:rsidRPr="00EE0850" w:rsidRDefault="00DE347C" w:rsidP="000C6220">
            <w:pPr>
              <w:spacing w:after="0" w:line="240" w:lineRule="auto"/>
              <w:jc w:val="right"/>
              <w:rPr>
                <w:szCs w:val="22"/>
                <w:lang w:eastAsia="en-CA"/>
              </w:rPr>
            </w:pPr>
            <w:r w:rsidRPr="00EE0850">
              <w:rPr>
                <w:szCs w:val="22"/>
                <w:lang w:eastAsia="en-CA"/>
              </w:rPr>
              <w:t>0.136</w:t>
            </w:r>
          </w:p>
        </w:tc>
        <w:tc>
          <w:tcPr>
            <w:tcW w:w="1597" w:type="dxa"/>
            <w:tcBorders>
              <w:top w:val="nil"/>
              <w:left w:val="nil"/>
              <w:bottom w:val="single" w:sz="4" w:space="0" w:color="auto"/>
              <w:right w:val="single" w:sz="4" w:space="0" w:color="auto"/>
            </w:tcBorders>
            <w:shd w:val="clear" w:color="auto" w:fill="auto"/>
            <w:noWrap/>
            <w:vAlign w:val="center"/>
            <w:hideMark/>
          </w:tcPr>
          <w:p w14:paraId="787BE9B5" w14:textId="77777777" w:rsidR="00DE347C" w:rsidRPr="00EE0850" w:rsidRDefault="00DE347C" w:rsidP="000C6220">
            <w:pPr>
              <w:spacing w:after="0" w:line="240" w:lineRule="auto"/>
              <w:jc w:val="right"/>
              <w:rPr>
                <w:szCs w:val="22"/>
                <w:lang w:eastAsia="en-CA"/>
              </w:rPr>
            </w:pPr>
            <w:r w:rsidRPr="00EE0850">
              <w:rPr>
                <w:szCs w:val="22"/>
                <w:lang w:eastAsia="en-CA"/>
              </w:rPr>
              <w:t>0.251</w:t>
            </w:r>
          </w:p>
        </w:tc>
        <w:tc>
          <w:tcPr>
            <w:tcW w:w="1597" w:type="dxa"/>
            <w:tcBorders>
              <w:top w:val="nil"/>
              <w:left w:val="nil"/>
              <w:bottom w:val="single" w:sz="4" w:space="0" w:color="auto"/>
              <w:right w:val="single" w:sz="4" w:space="0" w:color="auto"/>
            </w:tcBorders>
            <w:shd w:val="clear" w:color="auto" w:fill="auto"/>
            <w:noWrap/>
            <w:vAlign w:val="center"/>
            <w:hideMark/>
          </w:tcPr>
          <w:p w14:paraId="44C1CF8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4 425</w:t>
            </w:r>
          </w:p>
        </w:tc>
        <w:tc>
          <w:tcPr>
            <w:tcW w:w="1597" w:type="dxa"/>
            <w:tcBorders>
              <w:top w:val="nil"/>
              <w:left w:val="nil"/>
              <w:bottom w:val="single" w:sz="4" w:space="0" w:color="auto"/>
              <w:right w:val="single" w:sz="4" w:space="0" w:color="auto"/>
            </w:tcBorders>
            <w:shd w:val="clear" w:color="auto" w:fill="auto"/>
            <w:noWrap/>
            <w:vAlign w:val="center"/>
            <w:hideMark/>
          </w:tcPr>
          <w:p w14:paraId="5A430A7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4 692</w:t>
            </w:r>
          </w:p>
        </w:tc>
        <w:tc>
          <w:tcPr>
            <w:tcW w:w="1598" w:type="dxa"/>
            <w:tcBorders>
              <w:top w:val="nil"/>
              <w:left w:val="nil"/>
              <w:bottom w:val="single" w:sz="4" w:space="0" w:color="auto"/>
              <w:right w:val="single" w:sz="4" w:space="0" w:color="auto"/>
            </w:tcBorders>
            <w:shd w:val="clear" w:color="auto" w:fill="auto"/>
            <w:noWrap/>
            <w:vAlign w:val="center"/>
            <w:hideMark/>
          </w:tcPr>
          <w:p w14:paraId="58F464D2" w14:textId="77777777" w:rsidR="00DE347C" w:rsidRPr="00EE0850" w:rsidRDefault="00DE347C" w:rsidP="000C6220">
            <w:pPr>
              <w:spacing w:after="0" w:line="240" w:lineRule="auto"/>
              <w:jc w:val="right"/>
              <w:rPr>
                <w:szCs w:val="22"/>
                <w:lang w:eastAsia="en-CA"/>
              </w:rPr>
            </w:pPr>
            <w:r w:rsidRPr="00EE0850">
              <w:rPr>
                <w:szCs w:val="22"/>
                <w:lang w:eastAsia="en-CA"/>
              </w:rPr>
              <w:t>9 117</w:t>
            </w:r>
          </w:p>
        </w:tc>
      </w:tr>
      <w:tr w:rsidR="00DE347C" w:rsidRPr="00EE0850" w14:paraId="30727F9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07B4CBE" w14:textId="77777777" w:rsidR="00DE347C" w:rsidRPr="00EE0850" w:rsidRDefault="00DE347C" w:rsidP="000C6220">
            <w:pPr>
              <w:spacing w:after="0" w:line="240" w:lineRule="auto"/>
              <w:rPr>
                <w:szCs w:val="22"/>
                <w:lang w:eastAsia="en-CA"/>
              </w:rPr>
            </w:pPr>
            <w:r w:rsidRPr="00EE0850">
              <w:rPr>
                <w:szCs w:val="22"/>
                <w:lang w:eastAsia="en-CA"/>
              </w:rPr>
              <w:t>Philippines</w:t>
            </w:r>
          </w:p>
        </w:tc>
        <w:tc>
          <w:tcPr>
            <w:tcW w:w="1597" w:type="dxa"/>
            <w:tcBorders>
              <w:top w:val="nil"/>
              <w:left w:val="nil"/>
              <w:bottom w:val="single" w:sz="4" w:space="0" w:color="auto"/>
              <w:right w:val="single" w:sz="4" w:space="0" w:color="auto"/>
            </w:tcBorders>
            <w:shd w:val="clear" w:color="auto" w:fill="auto"/>
            <w:noWrap/>
            <w:vAlign w:val="center"/>
            <w:hideMark/>
          </w:tcPr>
          <w:p w14:paraId="453C11A1" w14:textId="77777777" w:rsidR="00DE347C" w:rsidRPr="00EE0850" w:rsidRDefault="00DE347C" w:rsidP="000C6220">
            <w:pPr>
              <w:spacing w:after="0" w:line="240" w:lineRule="auto"/>
              <w:jc w:val="right"/>
              <w:rPr>
                <w:szCs w:val="22"/>
                <w:lang w:eastAsia="en-CA"/>
              </w:rPr>
            </w:pPr>
            <w:r w:rsidRPr="00EE0850">
              <w:rPr>
                <w:szCs w:val="22"/>
                <w:lang w:eastAsia="en-CA"/>
              </w:rPr>
              <w:t>0.165</w:t>
            </w:r>
          </w:p>
        </w:tc>
        <w:tc>
          <w:tcPr>
            <w:tcW w:w="1597" w:type="dxa"/>
            <w:tcBorders>
              <w:top w:val="nil"/>
              <w:left w:val="nil"/>
              <w:bottom w:val="single" w:sz="4" w:space="0" w:color="auto"/>
              <w:right w:val="single" w:sz="4" w:space="0" w:color="auto"/>
            </w:tcBorders>
            <w:shd w:val="clear" w:color="auto" w:fill="auto"/>
            <w:noWrap/>
            <w:vAlign w:val="center"/>
            <w:hideMark/>
          </w:tcPr>
          <w:p w14:paraId="2C7D2A07" w14:textId="77777777" w:rsidR="00DE347C" w:rsidRPr="00EE0850" w:rsidRDefault="00DE347C" w:rsidP="000C6220">
            <w:pPr>
              <w:spacing w:after="0" w:line="240" w:lineRule="auto"/>
              <w:jc w:val="right"/>
              <w:rPr>
                <w:szCs w:val="22"/>
                <w:lang w:eastAsia="en-CA"/>
              </w:rPr>
            </w:pPr>
            <w:r w:rsidRPr="00EE0850">
              <w:rPr>
                <w:szCs w:val="22"/>
                <w:lang w:eastAsia="en-CA"/>
              </w:rPr>
              <w:t>0.305</w:t>
            </w:r>
          </w:p>
        </w:tc>
        <w:tc>
          <w:tcPr>
            <w:tcW w:w="1597" w:type="dxa"/>
            <w:tcBorders>
              <w:top w:val="nil"/>
              <w:left w:val="nil"/>
              <w:bottom w:val="single" w:sz="4" w:space="0" w:color="auto"/>
              <w:right w:val="single" w:sz="4" w:space="0" w:color="auto"/>
            </w:tcBorders>
            <w:shd w:val="clear" w:color="auto" w:fill="auto"/>
            <w:noWrap/>
            <w:vAlign w:val="center"/>
            <w:hideMark/>
          </w:tcPr>
          <w:p w14:paraId="58C20E8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5 369</w:t>
            </w:r>
          </w:p>
        </w:tc>
        <w:tc>
          <w:tcPr>
            <w:tcW w:w="1597" w:type="dxa"/>
            <w:tcBorders>
              <w:top w:val="nil"/>
              <w:left w:val="nil"/>
              <w:bottom w:val="single" w:sz="4" w:space="0" w:color="auto"/>
              <w:right w:val="single" w:sz="4" w:space="0" w:color="auto"/>
            </w:tcBorders>
            <w:shd w:val="clear" w:color="auto" w:fill="auto"/>
            <w:noWrap/>
            <w:vAlign w:val="center"/>
            <w:hideMark/>
          </w:tcPr>
          <w:p w14:paraId="27B455E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5 693</w:t>
            </w:r>
          </w:p>
        </w:tc>
        <w:tc>
          <w:tcPr>
            <w:tcW w:w="1598" w:type="dxa"/>
            <w:tcBorders>
              <w:top w:val="nil"/>
              <w:left w:val="nil"/>
              <w:bottom w:val="single" w:sz="4" w:space="0" w:color="auto"/>
              <w:right w:val="single" w:sz="4" w:space="0" w:color="auto"/>
            </w:tcBorders>
            <w:shd w:val="clear" w:color="auto" w:fill="auto"/>
            <w:noWrap/>
            <w:vAlign w:val="center"/>
            <w:hideMark/>
          </w:tcPr>
          <w:p w14:paraId="4C4FE78A" w14:textId="77777777" w:rsidR="00DE347C" w:rsidRPr="00EE0850" w:rsidRDefault="00DE347C" w:rsidP="000C6220">
            <w:pPr>
              <w:spacing w:after="0" w:line="240" w:lineRule="auto"/>
              <w:jc w:val="right"/>
              <w:rPr>
                <w:szCs w:val="22"/>
                <w:lang w:eastAsia="en-CA"/>
              </w:rPr>
            </w:pPr>
            <w:r w:rsidRPr="00EE0850">
              <w:rPr>
                <w:szCs w:val="22"/>
                <w:lang w:eastAsia="en-CA"/>
              </w:rPr>
              <w:t>11 062</w:t>
            </w:r>
          </w:p>
        </w:tc>
      </w:tr>
      <w:tr w:rsidR="00DE347C" w:rsidRPr="00EE0850" w14:paraId="4497EDEA"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3947667" w14:textId="77777777" w:rsidR="00DE347C" w:rsidRPr="00EE0850" w:rsidRDefault="00DE347C" w:rsidP="000C6220">
            <w:pPr>
              <w:spacing w:after="0" w:line="240" w:lineRule="auto"/>
              <w:rPr>
                <w:szCs w:val="22"/>
                <w:lang w:eastAsia="en-CA"/>
              </w:rPr>
            </w:pPr>
            <w:r w:rsidRPr="00EE0850">
              <w:rPr>
                <w:szCs w:val="22"/>
                <w:lang w:eastAsia="en-CA"/>
              </w:rPr>
              <w:t>Portugal</w:t>
            </w:r>
          </w:p>
        </w:tc>
        <w:tc>
          <w:tcPr>
            <w:tcW w:w="1597" w:type="dxa"/>
            <w:tcBorders>
              <w:top w:val="nil"/>
              <w:left w:val="nil"/>
              <w:bottom w:val="single" w:sz="4" w:space="0" w:color="auto"/>
              <w:right w:val="single" w:sz="4" w:space="0" w:color="auto"/>
            </w:tcBorders>
            <w:shd w:val="clear" w:color="auto" w:fill="auto"/>
            <w:noWrap/>
            <w:vAlign w:val="center"/>
            <w:hideMark/>
          </w:tcPr>
          <w:p w14:paraId="618F2502" w14:textId="77777777" w:rsidR="00DE347C" w:rsidRPr="00EE0850" w:rsidRDefault="00DE347C" w:rsidP="000C6220">
            <w:pPr>
              <w:spacing w:after="0" w:line="240" w:lineRule="auto"/>
              <w:jc w:val="right"/>
              <w:rPr>
                <w:szCs w:val="22"/>
                <w:lang w:eastAsia="en-CA"/>
              </w:rPr>
            </w:pPr>
            <w:r w:rsidRPr="00EE0850">
              <w:rPr>
                <w:szCs w:val="22"/>
                <w:lang w:eastAsia="en-CA"/>
              </w:rPr>
              <w:t>0.392</w:t>
            </w:r>
          </w:p>
        </w:tc>
        <w:tc>
          <w:tcPr>
            <w:tcW w:w="1597" w:type="dxa"/>
            <w:tcBorders>
              <w:top w:val="nil"/>
              <w:left w:val="nil"/>
              <w:bottom w:val="single" w:sz="4" w:space="0" w:color="auto"/>
              <w:right w:val="single" w:sz="4" w:space="0" w:color="auto"/>
            </w:tcBorders>
            <w:shd w:val="clear" w:color="auto" w:fill="auto"/>
            <w:noWrap/>
            <w:vAlign w:val="center"/>
            <w:hideMark/>
          </w:tcPr>
          <w:p w14:paraId="4B8BA487" w14:textId="77777777" w:rsidR="00DE347C" w:rsidRPr="00EE0850" w:rsidRDefault="00DE347C" w:rsidP="000C6220">
            <w:pPr>
              <w:spacing w:after="0" w:line="240" w:lineRule="auto"/>
              <w:jc w:val="right"/>
              <w:rPr>
                <w:szCs w:val="22"/>
                <w:lang w:eastAsia="en-CA"/>
              </w:rPr>
            </w:pPr>
            <w:r w:rsidRPr="00EE0850">
              <w:rPr>
                <w:szCs w:val="22"/>
                <w:lang w:eastAsia="en-CA"/>
              </w:rPr>
              <w:t>0.724</w:t>
            </w:r>
          </w:p>
        </w:tc>
        <w:tc>
          <w:tcPr>
            <w:tcW w:w="1597" w:type="dxa"/>
            <w:tcBorders>
              <w:top w:val="nil"/>
              <w:left w:val="nil"/>
              <w:bottom w:val="single" w:sz="4" w:space="0" w:color="auto"/>
              <w:right w:val="single" w:sz="4" w:space="0" w:color="auto"/>
            </w:tcBorders>
            <w:shd w:val="clear" w:color="auto" w:fill="auto"/>
            <w:noWrap/>
            <w:vAlign w:val="center"/>
            <w:hideMark/>
          </w:tcPr>
          <w:p w14:paraId="4733B0F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12 755</w:t>
            </w:r>
          </w:p>
        </w:tc>
        <w:tc>
          <w:tcPr>
            <w:tcW w:w="1597" w:type="dxa"/>
            <w:tcBorders>
              <w:top w:val="nil"/>
              <w:left w:val="nil"/>
              <w:bottom w:val="single" w:sz="4" w:space="0" w:color="auto"/>
              <w:right w:val="single" w:sz="4" w:space="0" w:color="auto"/>
            </w:tcBorders>
            <w:shd w:val="clear" w:color="auto" w:fill="auto"/>
            <w:noWrap/>
            <w:vAlign w:val="center"/>
            <w:hideMark/>
          </w:tcPr>
          <w:p w14:paraId="251929C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13 525</w:t>
            </w:r>
          </w:p>
        </w:tc>
        <w:tc>
          <w:tcPr>
            <w:tcW w:w="1598" w:type="dxa"/>
            <w:tcBorders>
              <w:top w:val="nil"/>
              <w:left w:val="nil"/>
              <w:bottom w:val="single" w:sz="4" w:space="0" w:color="auto"/>
              <w:right w:val="single" w:sz="4" w:space="0" w:color="auto"/>
            </w:tcBorders>
            <w:shd w:val="clear" w:color="auto" w:fill="auto"/>
            <w:noWrap/>
            <w:vAlign w:val="center"/>
            <w:hideMark/>
          </w:tcPr>
          <w:p w14:paraId="5165AC83" w14:textId="77777777" w:rsidR="00DE347C" w:rsidRPr="00EE0850" w:rsidRDefault="00DE347C" w:rsidP="000C6220">
            <w:pPr>
              <w:spacing w:after="0" w:line="240" w:lineRule="auto"/>
              <w:jc w:val="right"/>
              <w:rPr>
                <w:szCs w:val="22"/>
                <w:lang w:eastAsia="en-CA"/>
              </w:rPr>
            </w:pPr>
            <w:r w:rsidRPr="00EE0850">
              <w:rPr>
                <w:szCs w:val="22"/>
                <w:lang w:eastAsia="en-CA"/>
              </w:rPr>
              <w:t>26 280</w:t>
            </w:r>
          </w:p>
        </w:tc>
      </w:tr>
      <w:tr w:rsidR="00DE347C" w:rsidRPr="00EE0850" w14:paraId="7B47F265"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38EF90F" w14:textId="77777777" w:rsidR="00DE347C" w:rsidRPr="00EE0850" w:rsidRDefault="00DE347C" w:rsidP="000C6220">
            <w:pPr>
              <w:spacing w:after="0" w:line="240" w:lineRule="auto"/>
              <w:rPr>
                <w:szCs w:val="22"/>
                <w:lang w:eastAsia="en-CA"/>
              </w:rPr>
            </w:pPr>
            <w:r w:rsidRPr="00EE0850">
              <w:rPr>
                <w:szCs w:val="22"/>
                <w:lang w:eastAsia="en-CA"/>
              </w:rPr>
              <w:t>Qatar</w:t>
            </w:r>
          </w:p>
        </w:tc>
        <w:tc>
          <w:tcPr>
            <w:tcW w:w="1597" w:type="dxa"/>
            <w:tcBorders>
              <w:top w:val="nil"/>
              <w:left w:val="nil"/>
              <w:bottom w:val="single" w:sz="4" w:space="0" w:color="auto"/>
              <w:right w:val="single" w:sz="4" w:space="0" w:color="auto"/>
            </w:tcBorders>
            <w:shd w:val="clear" w:color="auto" w:fill="auto"/>
            <w:noWrap/>
            <w:vAlign w:val="center"/>
            <w:hideMark/>
          </w:tcPr>
          <w:p w14:paraId="6EF58020" w14:textId="77777777" w:rsidR="00DE347C" w:rsidRPr="00EE0850" w:rsidRDefault="00DE347C" w:rsidP="000C6220">
            <w:pPr>
              <w:spacing w:after="0" w:line="240" w:lineRule="auto"/>
              <w:jc w:val="right"/>
              <w:rPr>
                <w:szCs w:val="22"/>
                <w:lang w:eastAsia="en-CA"/>
              </w:rPr>
            </w:pPr>
            <w:r w:rsidRPr="00EE0850">
              <w:rPr>
                <w:szCs w:val="22"/>
                <w:lang w:eastAsia="en-CA"/>
              </w:rPr>
              <w:t>0.269</w:t>
            </w:r>
          </w:p>
        </w:tc>
        <w:tc>
          <w:tcPr>
            <w:tcW w:w="1597" w:type="dxa"/>
            <w:tcBorders>
              <w:top w:val="nil"/>
              <w:left w:val="nil"/>
              <w:bottom w:val="single" w:sz="4" w:space="0" w:color="auto"/>
              <w:right w:val="single" w:sz="4" w:space="0" w:color="auto"/>
            </w:tcBorders>
            <w:shd w:val="clear" w:color="auto" w:fill="auto"/>
            <w:noWrap/>
            <w:vAlign w:val="center"/>
            <w:hideMark/>
          </w:tcPr>
          <w:p w14:paraId="5B4136FF" w14:textId="77777777" w:rsidR="00DE347C" w:rsidRPr="00EE0850" w:rsidRDefault="00DE347C" w:rsidP="000C6220">
            <w:pPr>
              <w:spacing w:after="0" w:line="240" w:lineRule="auto"/>
              <w:jc w:val="right"/>
              <w:rPr>
                <w:szCs w:val="22"/>
                <w:lang w:eastAsia="en-CA"/>
              </w:rPr>
            </w:pPr>
            <w:r w:rsidRPr="00EE0850">
              <w:rPr>
                <w:szCs w:val="22"/>
                <w:lang w:eastAsia="en-CA"/>
              </w:rPr>
              <w:t>0.497</w:t>
            </w:r>
          </w:p>
        </w:tc>
        <w:tc>
          <w:tcPr>
            <w:tcW w:w="1597" w:type="dxa"/>
            <w:tcBorders>
              <w:top w:val="nil"/>
              <w:left w:val="nil"/>
              <w:bottom w:val="single" w:sz="4" w:space="0" w:color="auto"/>
              <w:right w:val="single" w:sz="4" w:space="0" w:color="auto"/>
            </w:tcBorders>
            <w:shd w:val="clear" w:color="auto" w:fill="auto"/>
            <w:noWrap/>
            <w:vAlign w:val="center"/>
            <w:hideMark/>
          </w:tcPr>
          <w:p w14:paraId="6FE7B9B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8 753</w:t>
            </w:r>
          </w:p>
        </w:tc>
        <w:tc>
          <w:tcPr>
            <w:tcW w:w="1597" w:type="dxa"/>
            <w:tcBorders>
              <w:top w:val="nil"/>
              <w:left w:val="nil"/>
              <w:bottom w:val="single" w:sz="4" w:space="0" w:color="auto"/>
              <w:right w:val="single" w:sz="4" w:space="0" w:color="auto"/>
            </w:tcBorders>
            <w:shd w:val="clear" w:color="auto" w:fill="auto"/>
            <w:noWrap/>
            <w:vAlign w:val="center"/>
            <w:hideMark/>
          </w:tcPr>
          <w:p w14:paraId="27CC7C9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9 281</w:t>
            </w:r>
          </w:p>
        </w:tc>
        <w:tc>
          <w:tcPr>
            <w:tcW w:w="1598" w:type="dxa"/>
            <w:tcBorders>
              <w:top w:val="nil"/>
              <w:left w:val="nil"/>
              <w:bottom w:val="single" w:sz="4" w:space="0" w:color="auto"/>
              <w:right w:val="single" w:sz="4" w:space="0" w:color="auto"/>
            </w:tcBorders>
            <w:shd w:val="clear" w:color="auto" w:fill="auto"/>
            <w:noWrap/>
            <w:vAlign w:val="center"/>
            <w:hideMark/>
          </w:tcPr>
          <w:p w14:paraId="6AD4A843" w14:textId="77777777" w:rsidR="00DE347C" w:rsidRPr="00EE0850" w:rsidRDefault="00DE347C" w:rsidP="000C6220">
            <w:pPr>
              <w:spacing w:after="0" w:line="240" w:lineRule="auto"/>
              <w:jc w:val="right"/>
              <w:rPr>
                <w:szCs w:val="22"/>
                <w:lang w:eastAsia="en-CA"/>
              </w:rPr>
            </w:pPr>
            <w:r w:rsidRPr="00EE0850">
              <w:rPr>
                <w:szCs w:val="22"/>
                <w:lang w:eastAsia="en-CA"/>
              </w:rPr>
              <w:t>18 034</w:t>
            </w:r>
          </w:p>
        </w:tc>
      </w:tr>
      <w:tr w:rsidR="00DE347C" w:rsidRPr="00EE0850" w14:paraId="325D9303"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22B07CD" w14:textId="77777777" w:rsidR="00DE347C" w:rsidRPr="00EE0850" w:rsidRDefault="00DE347C" w:rsidP="000C6220">
            <w:pPr>
              <w:spacing w:after="0" w:line="240" w:lineRule="auto"/>
              <w:rPr>
                <w:szCs w:val="22"/>
                <w:lang w:eastAsia="en-CA"/>
              </w:rPr>
            </w:pPr>
            <w:r w:rsidRPr="00EE0850">
              <w:rPr>
                <w:szCs w:val="22"/>
                <w:lang w:eastAsia="en-CA"/>
              </w:rPr>
              <w:t>Republic of Korea</w:t>
            </w:r>
          </w:p>
        </w:tc>
        <w:tc>
          <w:tcPr>
            <w:tcW w:w="1597" w:type="dxa"/>
            <w:tcBorders>
              <w:top w:val="nil"/>
              <w:left w:val="nil"/>
              <w:bottom w:val="single" w:sz="4" w:space="0" w:color="auto"/>
              <w:right w:val="single" w:sz="4" w:space="0" w:color="auto"/>
            </w:tcBorders>
            <w:shd w:val="clear" w:color="auto" w:fill="auto"/>
            <w:noWrap/>
            <w:vAlign w:val="center"/>
            <w:hideMark/>
          </w:tcPr>
          <w:p w14:paraId="17D707BC" w14:textId="77777777" w:rsidR="00DE347C" w:rsidRPr="00EE0850" w:rsidRDefault="00DE347C" w:rsidP="000C6220">
            <w:pPr>
              <w:spacing w:after="0" w:line="240" w:lineRule="auto"/>
              <w:jc w:val="right"/>
              <w:rPr>
                <w:szCs w:val="22"/>
                <w:lang w:eastAsia="en-CA"/>
              </w:rPr>
            </w:pPr>
            <w:r w:rsidRPr="00EE0850">
              <w:rPr>
                <w:szCs w:val="22"/>
                <w:lang w:eastAsia="en-CA"/>
              </w:rPr>
              <w:t>2.039</w:t>
            </w:r>
          </w:p>
        </w:tc>
        <w:tc>
          <w:tcPr>
            <w:tcW w:w="1597" w:type="dxa"/>
            <w:tcBorders>
              <w:top w:val="nil"/>
              <w:left w:val="nil"/>
              <w:bottom w:val="single" w:sz="4" w:space="0" w:color="auto"/>
              <w:right w:val="single" w:sz="4" w:space="0" w:color="auto"/>
            </w:tcBorders>
            <w:shd w:val="clear" w:color="auto" w:fill="auto"/>
            <w:noWrap/>
            <w:vAlign w:val="center"/>
            <w:hideMark/>
          </w:tcPr>
          <w:p w14:paraId="2F507CFB" w14:textId="77777777" w:rsidR="00DE347C" w:rsidRPr="00EE0850" w:rsidRDefault="00DE347C" w:rsidP="000C6220">
            <w:pPr>
              <w:spacing w:after="0" w:line="240" w:lineRule="auto"/>
              <w:jc w:val="right"/>
              <w:rPr>
                <w:szCs w:val="22"/>
                <w:lang w:eastAsia="en-CA"/>
              </w:rPr>
            </w:pPr>
            <w:r w:rsidRPr="00EE0850">
              <w:rPr>
                <w:szCs w:val="22"/>
                <w:lang w:eastAsia="en-CA"/>
              </w:rPr>
              <w:t>3.767</w:t>
            </w:r>
          </w:p>
        </w:tc>
        <w:tc>
          <w:tcPr>
            <w:tcW w:w="1597" w:type="dxa"/>
            <w:tcBorders>
              <w:top w:val="nil"/>
              <w:left w:val="nil"/>
              <w:bottom w:val="single" w:sz="4" w:space="0" w:color="auto"/>
              <w:right w:val="single" w:sz="4" w:space="0" w:color="auto"/>
            </w:tcBorders>
            <w:shd w:val="clear" w:color="auto" w:fill="auto"/>
            <w:noWrap/>
            <w:vAlign w:val="center"/>
            <w:hideMark/>
          </w:tcPr>
          <w:p w14:paraId="3DD7802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66 344</w:t>
            </w:r>
          </w:p>
        </w:tc>
        <w:tc>
          <w:tcPr>
            <w:tcW w:w="1597" w:type="dxa"/>
            <w:tcBorders>
              <w:top w:val="nil"/>
              <w:left w:val="nil"/>
              <w:bottom w:val="single" w:sz="4" w:space="0" w:color="auto"/>
              <w:right w:val="single" w:sz="4" w:space="0" w:color="auto"/>
            </w:tcBorders>
            <w:shd w:val="clear" w:color="auto" w:fill="auto"/>
            <w:noWrap/>
            <w:vAlign w:val="center"/>
            <w:hideMark/>
          </w:tcPr>
          <w:p w14:paraId="0F5D13C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70 351</w:t>
            </w:r>
          </w:p>
        </w:tc>
        <w:tc>
          <w:tcPr>
            <w:tcW w:w="1598" w:type="dxa"/>
            <w:tcBorders>
              <w:top w:val="nil"/>
              <w:left w:val="nil"/>
              <w:bottom w:val="single" w:sz="4" w:space="0" w:color="auto"/>
              <w:right w:val="single" w:sz="4" w:space="0" w:color="auto"/>
            </w:tcBorders>
            <w:shd w:val="clear" w:color="auto" w:fill="auto"/>
            <w:noWrap/>
            <w:vAlign w:val="center"/>
            <w:hideMark/>
          </w:tcPr>
          <w:p w14:paraId="00CC22BE" w14:textId="77777777" w:rsidR="00DE347C" w:rsidRPr="00EE0850" w:rsidRDefault="00DE347C" w:rsidP="000C6220">
            <w:pPr>
              <w:spacing w:after="0" w:line="240" w:lineRule="auto"/>
              <w:jc w:val="right"/>
              <w:rPr>
                <w:szCs w:val="22"/>
                <w:lang w:eastAsia="en-CA"/>
              </w:rPr>
            </w:pPr>
            <w:r w:rsidRPr="00EE0850">
              <w:rPr>
                <w:szCs w:val="22"/>
                <w:lang w:eastAsia="en-CA"/>
              </w:rPr>
              <w:t>136 695</w:t>
            </w:r>
          </w:p>
        </w:tc>
      </w:tr>
      <w:tr w:rsidR="00DE347C" w:rsidRPr="00EE0850" w14:paraId="75583684" w14:textId="77777777" w:rsidTr="00DE347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B893" w14:textId="77777777" w:rsidR="00DE347C" w:rsidRPr="00EE0850" w:rsidRDefault="00DE347C" w:rsidP="000C6220">
            <w:pPr>
              <w:spacing w:after="0" w:line="240" w:lineRule="auto"/>
              <w:rPr>
                <w:szCs w:val="22"/>
                <w:lang w:eastAsia="en-CA"/>
              </w:rPr>
            </w:pPr>
            <w:r w:rsidRPr="00EE0850">
              <w:rPr>
                <w:szCs w:val="22"/>
                <w:lang w:eastAsia="en-CA"/>
              </w:rPr>
              <w:t>Republic of Moldova</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6FEC69E"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7166A12" w14:textId="77777777" w:rsidR="00DE347C" w:rsidRPr="00EE0850" w:rsidRDefault="00DE347C" w:rsidP="000C6220">
            <w:pPr>
              <w:spacing w:after="0" w:line="240" w:lineRule="auto"/>
              <w:jc w:val="right"/>
              <w:rPr>
                <w:szCs w:val="22"/>
                <w:lang w:eastAsia="en-CA"/>
              </w:rPr>
            </w:pPr>
            <w:r w:rsidRPr="00EE0850">
              <w:rPr>
                <w:szCs w:val="22"/>
                <w:lang w:eastAsia="en-CA"/>
              </w:rPr>
              <w:t>0.007</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1F02A1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58C010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138</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7117F94" w14:textId="77777777" w:rsidR="00DE347C" w:rsidRPr="00EE0850" w:rsidRDefault="00DE347C" w:rsidP="000C6220">
            <w:pPr>
              <w:spacing w:after="0" w:line="240" w:lineRule="auto"/>
              <w:jc w:val="right"/>
              <w:rPr>
                <w:szCs w:val="22"/>
                <w:lang w:eastAsia="en-CA"/>
              </w:rPr>
            </w:pPr>
            <w:r w:rsidRPr="00EE0850">
              <w:rPr>
                <w:szCs w:val="22"/>
                <w:lang w:eastAsia="en-CA"/>
              </w:rPr>
              <w:t>268</w:t>
            </w:r>
          </w:p>
        </w:tc>
      </w:tr>
      <w:tr w:rsidR="00DE347C" w:rsidRPr="00EE0850" w14:paraId="2D1DAB1C"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4305991" w14:textId="77777777" w:rsidR="00DE347C" w:rsidRPr="00EE0850" w:rsidRDefault="00DE347C" w:rsidP="000C6220">
            <w:pPr>
              <w:spacing w:after="0" w:line="240" w:lineRule="auto"/>
              <w:rPr>
                <w:szCs w:val="22"/>
                <w:lang w:eastAsia="en-CA"/>
              </w:rPr>
            </w:pPr>
            <w:r w:rsidRPr="00EE0850">
              <w:rPr>
                <w:szCs w:val="22"/>
                <w:lang w:eastAsia="en-CA"/>
              </w:rPr>
              <w:t>Rwanda</w:t>
            </w:r>
          </w:p>
        </w:tc>
        <w:tc>
          <w:tcPr>
            <w:tcW w:w="1597" w:type="dxa"/>
            <w:tcBorders>
              <w:top w:val="nil"/>
              <w:left w:val="nil"/>
              <w:bottom w:val="single" w:sz="4" w:space="0" w:color="auto"/>
              <w:right w:val="single" w:sz="4" w:space="0" w:color="auto"/>
            </w:tcBorders>
            <w:shd w:val="clear" w:color="auto" w:fill="auto"/>
            <w:noWrap/>
            <w:vAlign w:val="center"/>
            <w:hideMark/>
          </w:tcPr>
          <w:p w14:paraId="5DE8F401"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4CE5AC85"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2218423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17B0C79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73E4D71F" w14:textId="77777777" w:rsidR="00DE347C" w:rsidRPr="00EE0850" w:rsidRDefault="00DE347C" w:rsidP="000C6220">
            <w:pPr>
              <w:spacing w:after="0" w:line="240" w:lineRule="auto"/>
              <w:jc w:val="right"/>
              <w:rPr>
                <w:szCs w:val="22"/>
                <w:lang w:eastAsia="en-CA"/>
              </w:rPr>
            </w:pPr>
            <w:r w:rsidRPr="00EE0850">
              <w:rPr>
                <w:szCs w:val="22"/>
                <w:lang w:eastAsia="en-CA"/>
              </w:rPr>
              <w:t>134</w:t>
            </w:r>
          </w:p>
        </w:tc>
      </w:tr>
      <w:tr w:rsidR="00DE347C" w:rsidRPr="00EE0850" w14:paraId="6BFBAD8A"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63A2BE8" w14:textId="77777777" w:rsidR="00DE347C" w:rsidRPr="00EE0850" w:rsidRDefault="00DE347C" w:rsidP="000C6220">
            <w:pPr>
              <w:spacing w:after="0" w:line="240" w:lineRule="auto"/>
              <w:rPr>
                <w:szCs w:val="22"/>
                <w:lang w:eastAsia="en-CA"/>
              </w:rPr>
            </w:pPr>
            <w:r w:rsidRPr="00EE0850">
              <w:rPr>
                <w:szCs w:val="22"/>
                <w:lang w:eastAsia="en-CA"/>
              </w:rPr>
              <w:t>Saint Kitts and Nevis</w:t>
            </w:r>
          </w:p>
        </w:tc>
        <w:tc>
          <w:tcPr>
            <w:tcW w:w="1597" w:type="dxa"/>
            <w:tcBorders>
              <w:top w:val="nil"/>
              <w:left w:val="nil"/>
              <w:bottom w:val="single" w:sz="4" w:space="0" w:color="auto"/>
              <w:right w:val="single" w:sz="4" w:space="0" w:color="auto"/>
            </w:tcBorders>
            <w:shd w:val="clear" w:color="auto" w:fill="auto"/>
            <w:noWrap/>
            <w:vAlign w:val="center"/>
            <w:hideMark/>
          </w:tcPr>
          <w:p w14:paraId="60B36235"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5CCB7FEA"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5F72D1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7689B99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1CA11DA9"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2A84CF1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13D7C79" w14:textId="77777777" w:rsidR="00DE347C" w:rsidRPr="00EE0850" w:rsidRDefault="00DE347C" w:rsidP="000C6220">
            <w:pPr>
              <w:spacing w:after="0" w:line="240" w:lineRule="auto"/>
              <w:rPr>
                <w:szCs w:val="22"/>
                <w:lang w:eastAsia="en-CA"/>
              </w:rPr>
            </w:pPr>
            <w:r w:rsidRPr="00EE0850">
              <w:rPr>
                <w:szCs w:val="22"/>
                <w:lang w:eastAsia="en-CA"/>
              </w:rPr>
              <w:t>Samoa</w:t>
            </w:r>
          </w:p>
        </w:tc>
        <w:tc>
          <w:tcPr>
            <w:tcW w:w="1597" w:type="dxa"/>
            <w:tcBorders>
              <w:top w:val="nil"/>
              <w:left w:val="nil"/>
              <w:bottom w:val="single" w:sz="4" w:space="0" w:color="auto"/>
              <w:right w:val="single" w:sz="4" w:space="0" w:color="auto"/>
            </w:tcBorders>
            <w:shd w:val="clear" w:color="auto" w:fill="auto"/>
            <w:noWrap/>
            <w:vAlign w:val="center"/>
            <w:hideMark/>
          </w:tcPr>
          <w:p w14:paraId="1EDCF2D2"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1D5C12FF"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05176A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004209D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007F30EE"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0D943787"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4086E4B" w14:textId="77777777" w:rsidR="00DE347C" w:rsidRPr="00EE0850" w:rsidRDefault="00DE347C" w:rsidP="000C6220">
            <w:pPr>
              <w:spacing w:after="0" w:line="240" w:lineRule="auto"/>
              <w:rPr>
                <w:szCs w:val="22"/>
                <w:lang w:eastAsia="en-CA"/>
              </w:rPr>
            </w:pPr>
            <w:r w:rsidRPr="00EE0850">
              <w:rPr>
                <w:szCs w:val="22"/>
                <w:lang w:eastAsia="en-CA"/>
              </w:rPr>
              <w:t>Sao Tome and Principe</w:t>
            </w:r>
          </w:p>
        </w:tc>
        <w:tc>
          <w:tcPr>
            <w:tcW w:w="1597" w:type="dxa"/>
            <w:tcBorders>
              <w:top w:val="nil"/>
              <w:left w:val="nil"/>
              <w:bottom w:val="single" w:sz="4" w:space="0" w:color="auto"/>
              <w:right w:val="single" w:sz="4" w:space="0" w:color="auto"/>
            </w:tcBorders>
            <w:shd w:val="clear" w:color="auto" w:fill="auto"/>
            <w:noWrap/>
            <w:vAlign w:val="center"/>
            <w:hideMark/>
          </w:tcPr>
          <w:p w14:paraId="127C0B5D"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3BCCB9A4"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7FA8DA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219785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462B7E2C"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3C942B06"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A22EBD8" w14:textId="77777777" w:rsidR="00DE347C" w:rsidRPr="00EE0850" w:rsidRDefault="00DE347C" w:rsidP="000C6220">
            <w:pPr>
              <w:spacing w:after="0" w:line="240" w:lineRule="auto"/>
              <w:rPr>
                <w:szCs w:val="22"/>
                <w:lang w:eastAsia="en-CA"/>
              </w:rPr>
            </w:pPr>
            <w:r w:rsidRPr="00EE0850">
              <w:rPr>
                <w:szCs w:val="22"/>
                <w:lang w:eastAsia="en-CA"/>
              </w:rPr>
              <w:t>Senegal</w:t>
            </w:r>
          </w:p>
        </w:tc>
        <w:tc>
          <w:tcPr>
            <w:tcW w:w="1597" w:type="dxa"/>
            <w:tcBorders>
              <w:top w:val="nil"/>
              <w:left w:val="nil"/>
              <w:bottom w:val="single" w:sz="4" w:space="0" w:color="auto"/>
              <w:right w:val="single" w:sz="4" w:space="0" w:color="auto"/>
            </w:tcBorders>
            <w:shd w:val="clear" w:color="auto" w:fill="auto"/>
            <w:noWrap/>
            <w:vAlign w:val="center"/>
            <w:hideMark/>
          </w:tcPr>
          <w:p w14:paraId="78BE80FA" w14:textId="77777777" w:rsidR="00DE347C" w:rsidRPr="00EE0850" w:rsidRDefault="00DE347C" w:rsidP="000C6220">
            <w:pPr>
              <w:spacing w:after="0" w:line="240" w:lineRule="auto"/>
              <w:jc w:val="right"/>
              <w:rPr>
                <w:szCs w:val="22"/>
                <w:lang w:eastAsia="en-CA"/>
              </w:rPr>
            </w:pPr>
            <w:r w:rsidRPr="00EE0850">
              <w:rPr>
                <w:szCs w:val="22"/>
                <w:lang w:eastAsia="en-CA"/>
              </w:rPr>
              <w:t>0.005</w:t>
            </w:r>
          </w:p>
        </w:tc>
        <w:tc>
          <w:tcPr>
            <w:tcW w:w="1597" w:type="dxa"/>
            <w:tcBorders>
              <w:top w:val="nil"/>
              <w:left w:val="nil"/>
              <w:bottom w:val="single" w:sz="4" w:space="0" w:color="auto"/>
              <w:right w:val="single" w:sz="4" w:space="0" w:color="auto"/>
            </w:tcBorders>
            <w:shd w:val="clear" w:color="auto" w:fill="auto"/>
            <w:noWrap/>
            <w:vAlign w:val="center"/>
            <w:hideMark/>
          </w:tcPr>
          <w:p w14:paraId="3F66E9E9" w14:textId="77777777" w:rsidR="00DE347C" w:rsidRPr="00EE0850" w:rsidRDefault="00DE347C" w:rsidP="000C6220">
            <w:pPr>
              <w:spacing w:after="0" w:line="240" w:lineRule="auto"/>
              <w:jc w:val="right"/>
              <w:rPr>
                <w:szCs w:val="22"/>
                <w:lang w:eastAsia="en-CA"/>
              </w:rPr>
            </w:pPr>
            <w:r w:rsidRPr="00EE0850">
              <w:rPr>
                <w:szCs w:val="22"/>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6A28697B"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14:paraId="2B638BB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24F3EB3C" w14:textId="77777777" w:rsidR="00DE347C" w:rsidRPr="00EE0850" w:rsidRDefault="00DE347C" w:rsidP="000C6220">
            <w:pPr>
              <w:spacing w:after="0" w:line="240" w:lineRule="auto"/>
              <w:jc w:val="right"/>
              <w:rPr>
                <w:szCs w:val="22"/>
                <w:lang w:eastAsia="en-CA"/>
              </w:rPr>
            </w:pPr>
            <w:r w:rsidRPr="00EE0850">
              <w:rPr>
                <w:szCs w:val="22"/>
                <w:lang w:eastAsia="en-CA"/>
              </w:rPr>
              <w:t>335</w:t>
            </w:r>
          </w:p>
        </w:tc>
      </w:tr>
      <w:tr w:rsidR="00DE347C" w:rsidRPr="00EE0850" w14:paraId="5F52F5DB"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B4350EF" w14:textId="77777777" w:rsidR="00DE347C" w:rsidRPr="00EE0850" w:rsidRDefault="00DE347C" w:rsidP="000C6220">
            <w:pPr>
              <w:spacing w:after="0" w:line="240" w:lineRule="auto"/>
              <w:rPr>
                <w:szCs w:val="22"/>
                <w:lang w:eastAsia="en-CA"/>
              </w:rPr>
            </w:pPr>
            <w:r w:rsidRPr="00EE0850">
              <w:rPr>
                <w:szCs w:val="22"/>
                <w:lang w:eastAsia="en-CA"/>
              </w:rPr>
              <w:t>Seychelles</w:t>
            </w:r>
          </w:p>
        </w:tc>
        <w:tc>
          <w:tcPr>
            <w:tcW w:w="1597" w:type="dxa"/>
            <w:tcBorders>
              <w:top w:val="nil"/>
              <w:left w:val="nil"/>
              <w:bottom w:val="single" w:sz="4" w:space="0" w:color="auto"/>
              <w:right w:val="single" w:sz="4" w:space="0" w:color="auto"/>
            </w:tcBorders>
            <w:shd w:val="clear" w:color="auto" w:fill="auto"/>
            <w:noWrap/>
            <w:vAlign w:val="center"/>
            <w:hideMark/>
          </w:tcPr>
          <w:p w14:paraId="0084ACCE"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7CE6155A"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1CE189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7A91C6F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458A224E"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3E1A31F3"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CAEC581" w14:textId="77777777" w:rsidR="00DE347C" w:rsidRPr="00EE0850" w:rsidRDefault="00DE347C" w:rsidP="000C6220">
            <w:pPr>
              <w:spacing w:after="0" w:line="240" w:lineRule="auto"/>
              <w:rPr>
                <w:szCs w:val="22"/>
                <w:lang w:eastAsia="en-CA"/>
              </w:rPr>
            </w:pPr>
            <w:r w:rsidRPr="00EE0850">
              <w:rPr>
                <w:szCs w:val="22"/>
                <w:lang w:eastAsia="en-CA"/>
              </w:rPr>
              <w:t>Sierra Leone</w:t>
            </w:r>
          </w:p>
        </w:tc>
        <w:tc>
          <w:tcPr>
            <w:tcW w:w="1597" w:type="dxa"/>
            <w:tcBorders>
              <w:top w:val="nil"/>
              <w:left w:val="nil"/>
              <w:bottom w:val="single" w:sz="4" w:space="0" w:color="auto"/>
              <w:right w:val="single" w:sz="4" w:space="0" w:color="auto"/>
            </w:tcBorders>
            <w:shd w:val="clear" w:color="auto" w:fill="auto"/>
            <w:noWrap/>
            <w:vAlign w:val="center"/>
            <w:hideMark/>
          </w:tcPr>
          <w:p w14:paraId="27DB8B67"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2C7FC855"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D353D85"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3E85EC9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32D20518"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45A2B62C"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DFB1504" w14:textId="77777777" w:rsidR="00DE347C" w:rsidRPr="00EE0850" w:rsidRDefault="00DE347C" w:rsidP="000C6220">
            <w:pPr>
              <w:spacing w:after="0" w:line="240" w:lineRule="auto"/>
              <w:rPr>
                <w:szCs w:val="22"/>
                <w:lang w:eastAsia="en-CA"/>
              </w:rPr>
            </w:pPr>
            <w:r w:rsidRPr="00EE0850">
              <w:rPr>
                <w:szCs w:val="22"/>
                <w:lang w:eastAsia="en-CA"/>
              </w:rPr>
              <w:t>Slovakia</w:t>
            </w:r>
          </w:p>
        </w:tc>
        <w:tc>
          <w:tcPr>
            <w:tcW w:w="1597" w:type="dxa"/>
            <w:tcBorders>
              <w:top w:val="nil"/>
              <w:left w:val="nil"/>
              <w:bottom w:val="single" w:sz="4" w:space="0" w:color="auto"/>
              <w:right w:val="single" w:sz="4" w:space="0" w:color="auto"/>
            </w:tcBorders>
            <w:shd w:val="clear" w:color="auto" w:fill="auto"/>
            <w:noWrap/>
            <w:vAlign w:val="center"/>
            <w:hideMark/>
          </w:tcPr>
          <w:p w14:paraId="7461F6D8" w14:textId="77777777" w:rsidR="00DE347C" w:rsidRPr="00EE0850" w:rsidRDefault="00DE347C" w:rsidP="000C6220">
            <w:pPr>
              <w:spacing w:after="0" w:line="240" w:lineRule="auto"/>
              <w:jc w:val="right"/>
              <w:rPr>
                <w:szCs w:val="22"/>
                <w:lang w:eastAsia="en-CA"/>
              </w:rPr>
            </w:pPr>
            <w:r w:rsidRPr="00EE0850">
              <w:rPr>
                <w:szCs w:val="22"/>
                <w:lang w:eastAsia="en-CA"/>
              </w:rPr>
              <w:t>0.160</w:t>
            </w:r>
          </w:p>
        </w:tc>
        <w:tc>
          <w:tcPr>
            <w:tcW w:w="1597" w:type="dxa"/>
            <w:tcBorders>
              <w:top w:val="nil"/>
              <w:left w:val="nil"/>
              <w:bottom w:val="single" w:sz="4" w:space="0" w:color="auto"/>
              <w:right w:val="single" w:sz="4" w:space="0" w:color="auto"/>
            </w:tcBorders>
            <w:shd w:val="clear" w:color="auto" w:fill="auto"/>
            <w:noWrap/>
            <w:vAlign w:val="center"/>
            <w:hideMark/>
          </w:tcPr>
          <w:p w14:paraId="6D47A5BE" w14:textId="77777777" w:rsidR="00DE347C" w:rsidRPr="00EE0850" w:rsidRDefault="00DE347C" w:rsidP="000C6220">
            <w:pPr>
              <w:spacing w:after="0" w:line="240" w:lineRule="auto"/>
              <w:jc w:val="right"/>
              <w:rPr>
                <w:szCs w:val="22"/>
                <w:lang w:eastAsia="en-CA"/>
              </w:rPr>
            </w:pPr>
            <w:r w:rsidRPr="00EE0850">
              <w:rPr>
                <w:szCs w:val="22"/>
                <w:lang w:eastAsia="en-CA"/>
              </w:rPr>
              <w:t>0.296</w:t>
            </w:r>
          </w:p>
        </w:tc>
        <w:tc>
          <w:tcPr>
            <w:tcW w:w="1597" w:type="dxa"/>
            <w:tcBorders>
              <w:top w:val="nil"/>
              <w:left w:val="nil"/>
              <w:bottom w:val="single" w:sz="4" w:space="0" w:color="auto"/>
              <w:right w:val="single" w:sz="4" w:space="0" w:color="auto"/>
            </w:tcBorders>
            <w:shd w:val="clear" w:color="auto" w:fill="auto"/>
            <w:noWrap/>
            <w:vAlign w:val="center"/>
            <w:hideMark/>
          </w:tcPr>
          <w:p w14:paraId="70AE4BC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5 206</w:t>
            </w:r>
          </w:p>
        </w:tc>
        <w:tc>
          <w:tcPr>
            <w:tcW w:w="1597" w:type="dxa"/>
            <w:tcBorders>
              <w:top w:val="nil"/>
              <w:left w:val="nil"/>
              <w:bottom w:val="single" w:sz="4" w:space="0" w:color="auto"/>
              <w:right w:val="single" w:sz="4" w:space="0" w:color="auto"/>
            </w:tcBorders>
            <w:shd w:val="clear" w:color="auto" w:fill="auto"/>
            <w:noWrap/>
            <w:vAlign w:val="center"/>
            <w:hideMark/>
          </w:tcPr>
          <w:p w14:paraId="699EF95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5 520</w:t>
            </w:r>
          </w:p>
        </w:tc>
        <w:tc>
          <w:tcPr>
            <w:tcW w:w="1598" w:type="dxa"/>
            <w:tcBorders>
              <w:top w:val="nil"/>
              <w:left w:val="nil"/>
              <w:bottom w:val="single" w:sz="4" w:space="0" w:color="auto"/>
              <w:right w:val="single" w:sz="4" w:space="0" w:color="auto"/>
            </w:tcBorders>
            <w:shd w:val="clear" w:color="auto" w:fill="auto"/>
            <w:noWrap/>
            <w:vAlign w:val="center"/>
            <w:hideMark/>
          </w:tcPr>
          <w:p w14:paraId="12CFB6C1" w14:textId="77777777" w:rsidR="00DE347C" w:rsidRPr="00EE0850" w:rsidRDefault="00DE347C" w:rsidP="000C6220">
            <w:pPr>
              <w:spacing w:after="0" w:line="240" w:lineRule="auto"/>
              <w:jc w:val="right"/>
              <w:rPr>
                <w:szCs w:val="22"/>
                <w:lang w:eastAsia="en-CA"/>
              </w:rPr>
            </w:pPr>
            <w:r w:rsidRPr="00EE0850">
              <w:rPr>
                <w:szCs w:val="22"/>
                <w:lang w:eastAsia="en-CA"/>
              </w:rPr>
              <w:t>10 726</w:t>
            </w:r>
          </w:p>
        </w:tc>
      </w:tr>
      <w:tr w:rsidR="00DE347C" w:rsidRPr="00EE0850" w14:paraId="3C3B7468"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E338855" w14:textId="77777777" w:rsidR="00DE347C" w:rsidRPr="00EE0850" w:rsidRDefault="00DE347C" w:rsidP="000C6220">
            <w:pPr>
              <w:spacing w:after="0" w:line="240" w:lineRule="auto"/>
              <w:rPr>
                <w:szCs w:val="22"/>
                <w:lang w:eastAsia="en-CA"/>
              </w:rPr>
            </w:pPr>
            <w:r w:rsidRPr="00EE0850">
              <w:rPr>
                <w:szCs w:val="22"/>
                <w:lang w:eastAsia="en-CA"/>
              </w:rPr>
              <w:t>South Africa</w:t>
            </w:r>
          </w:p>
        </w:tc>
        <w:tc>
          <w:tcPr>
            <w:tcW w:w="1597" w:type="dxa"/>
            <w:tcBorders>
              <w:top w:val="nil"/>
              <w:left w:val="nil"/>
              <w:bottom w:val="single" w:sz="4" w:space="0" w:color="auto"/>
              <w:right w:val="single" w:sz="4" w:space="0" w:color="auto"/>
            </w:tcBorders>
            <w:shd w:val="clear" w:color="auto" w:fill="auto"/>
            <w:noWrap/>
            <w:vAlign w:val="center"/>
            <w:hideMark/>
          </w:tcPr>
          <w:p w14:paraId="6A01F041" w14:textId="77777777" w:rsidR="00DE347C" w:rsidRPr="00EE0850" w:rsidRDefault="00DE347C" w:rsidP="000C6220">
            <w:pPr>
              <w:spacing w:after="0" w:line="240" w:lineRule="auto"/>
              <w:jc w:val="right"/>
              <w:rPr>
                <w:szCs w:val="22"/>
                <w:lang w:eastAsia="en-CA"/>
              </w:rPr>
            </w:pPr>
            <w:r w:rsidRPr="00EE0850">
              <w:rPr>
                <w:szCs w:val="22"/>
                <w:lang w:eastAsia="en-CA"/>
              </w:rPr>
              <w:t>0.364</w:t>
            </w:r>
          </w:p>
        </w:tc>
        <w:tc>
          <w:tcPr>
            <w:tcW w:w="1597" w:type="dxa"/>
            <w:tcBorders>
              <w:top w:val="nil"/>
              <w:left w:val="nil"/>
              <w:bottom w:val="single" w:sz="4" w:space="0" w:color="auto"/>
              <w:right w:val="single" w:sz="4" w:space="0" w:color="auto"/>
            </w:tcBorders>
            <w:shd w:val="clear" w:color="auto" w:fill="auto"/>
            <w:noWrap/>
            <w:vAlign w:val="center"/>
            <w:hideMark/>
          </w:tcPr>
          <w:p w14:paraId="676AE379" w14:textId="77777777" w:rsidR="00DE347C" w:rsidRPr="00EE0850" w:rsidRDefault="00DE347C" w:rsidP="000C6220">
            <w:pPr>
              <w:spacing w:after="0" w:line="240" w:lineRule="auto"/>
              <w:jc w:val="right"/>
              <w:rPr>
                <w:szCs w:val="22"/>
                <w:lang w:eastAsia="en-CA"/>
              </w:rPr>
            </w:pPr>
            <w:r w:rsidRPr="00EE0850">
              <w:rPr>
                <w:szCs w:val="22"/>
                <w:lang w:eastAsia="en-CA"/>
              </w:rPr>
              <w:t>0.673</w:t>
            </w:r>
          </w:p>
        </w:tc>
        <w:tc>
          <w:tcPr>
            <w:tcW w:w="1597" w:type="dxa"/>
            <w:tcBorders>
              <w:top w:val="nil"/>
              <w:left w:val="nil"/>
              <w:bottom w:val="single" w:sz="4" w:space="0" w:color="auto"/>
              <w:right w:val="single" w:sz="4" w:space="0" w:color="auto"/>
            </w:tcBorders>
            <w:shd w:val="clear" w:color="auto" w:fill="auto"/>
            <w:noWrap/>
            <w:vAlign w:val="center"/>
            <w:hideMark/>
          </w:tcPr>
          <w:p w14:paraId="0AA58E73"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11 844</w:t>
            </w:r>
          </w:p>
        </w:tc>
        <w:tc>
          <w:tcPr>
            <w:tcW w:w="1597" w:type="dxa"/>
            <w:tcBorders>
              <w:top w:val="nil"/>
              <w:left w:val="nil"/>
              <w:bottom w:val="single" w:sz="4" w:space="0" w:color="auto"/>
              <w:right w:val="single" w:sz="4" w:space="0" w:color="auto"/>
            </w:tcBorders>
            <w:shd w:val="clear" w:color="auto" w:fill="auto"/>
            <w:noWrap/>
            <w:vAlign w:val="center"/>
            <w:hideMark/>
          </w:tcPr>
          <w:p w14:paraId="0C567E1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12 559</w:t>
            </w:r>
          </w:p>
        </w:tc>
        <w:tc>
          <w:tcPr>
            <w:tcW w:w="1598" w:type="dxa"/>
            <w:tcBorders>
              <w:top w:val="nil"/>
              <w:left w:val="nil"/>
              <w:bottom w:val="single" w:sz="4" w:space="0" w:color="auto"/>
              <w:right w:val="single" w:sz="4" w:space="0" w:color="auto"/>
            </w:tcBorders>
            <w:shd w:val="clear" w:color="auto" w:fill="auto"/>
            <w:noWrap/>
            <w:vAlign w:val="center"/>
            <w:hideMark/>
          </w:tcPr>
          <w:p w14:paraId="6D2EECB3" w14:textId="77777777" w:rsidR="00DE347C" w:rsidRPr="00EE0850" w:rsidRDefault="00DE347C" w:rsidP="000C6220">
            <w:pPr>
              <w:spacing w:after="0" w:line="240" w:lineRule="auto"/>
              <w:jc w:val="right"/>
              <w:rPr>
                <w:szCs w:val="22"/>
                <w:lang w:eastAsia="en-CA"/>
              </w:rPr>
            </w:pPr>
            <w:r w:rsidRPr="00EE0850">
              <w:rPr>
                <w:szCs w:val="22"/>
                <w:lang w:eastAsia="en-CA"/>
              </w:rPr>
              <w:t>24 403</w:t>
            </w:r>
          </w:p>
        </w:tc>
      </w:tr>
      <w:tr w:rsidR="00DE347C" w:rsidRPr="00EE0850" w14:paraId="3FAF0FEE"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FED8A7A" w14:textId="77777777" w:rsidR="00DE347C" w:rsidRPr="00EE0850" w:rsidRDefault="00DE347C" w:rsidP="000C6220">
            <w:pPr>
              <w:spacing w:after="0" w:line="240" w:lineRule="auto"/>
              <w:rPr>
                <w:szCs w:val="22"/>
                <w:lang w:eastAsia="en-CA"/>
              </w:rPr>
            </w:pPr>
            <w:r w:rsidRPr="00EE0850">
              <w:rPr>
                <w:szCs w:val="22"/>
                <w:lang w:eastAsia="en-CA"/>
              </w:rPr>
              <w:t>Spain</w:t>
            </w:r>
          </w:p>
        </w:tc>
        <w:tc>
          <w:tcPr>
            <w:tcW w:w="1597" w:type="dxa"/>
            <w:tcBorders>
              <w:top w:val="nil"/>
              <w:left w:val="nil"/>
              <w:bottom w:val="single" w:sz="4" w:space="0" w:color="auto"/>
              <w:right w:val="single" w:sz="4" w:space="0" w:color="auto"/>
            </w:tcBorders>
            <w:shd w:val="clear" w:color="auto" w:fill="auto"/>
            <w:noWrap/>
            <w:vAlign w:val="center"/>
            <w:hideMark/>
          </w:tcPr>
          <w:p w14:paraId="66E65C36" w14:textId="77777777" w:rsidR="00DE347C" w:rsidRPr="00EE0850" w:rsidRDefault="00DE347C" w:rsidP="000C6220">
            <w:pPr>
              <w:spacing w:after="0" w:line="240" w:lineRule="auto"/>
              <w:jc w:val="right"/>
              <w:rPr>
                <w:szCs w:val="22"/>
                <w:lang w:eastAsia="en-CA"/>
              </w:rPr>
            </w:pPr>
            <w:r w:rsidRPr="00EE0850">
              <w:rPr>
                <w:szCs w:val="22"/>
                <w:lang w:eastAsia="en-CA"/>
              </w:rPr>
              <w:t>2.443</w:t>
            </w:r>
          </w:p>
        </w:tc>
        <w:tc>
          <w:tcPr>
            <w:tcW w:w="1597" w:type="dxa"/>
            <w:tcBorders>
              <w:top w:val="nil"/>
              <w:left w:val="nil"/>
              <w:bottom w:val="single" w:sz="4" w:space="0" w:color="auto"/>
              <w:right w:val="single" w:sz="4" w:space="0" w:color="auto"/>
            </w:tcBorders>
            <w:shd w:val="clear" w:color="auto" w:fill="auto"/>
            <w:noWrap/>
            <w:vAlign w:val="center"/>
            <w:hideMark/>
          </w:tcPr>
          <w:p w14:paraId="2E6C610E" w14:textId="77777777" w:rsidR="00DE347C" w:rsidRPr="00EE0850" w:rsidRDefault="00DE347C" w:rsidP="000C6220">
            <w:pPr>
              <w:spacing w:after="0" w:line="240" w:lineRule="auto"/>
              <w:jc w:val="right"/>
              <w:rPr>
                <w:szCs w:val="22"/>
                <w:lang w:eastAsia="en-CA"/>
              </w:rPr>
            </w:pPr>
            <w:r w:rsidRPr="00EE0850">
              <w:rPr>
                <w:szCs w:val="22"/>
                <w:lang w:eastAsia="en-CA"/>
              </w:rPr>
              <w:t>4.514</w:t>
            </w:r>
          </w:p>
        </w:tc>
        <w:tc>
          <w:tcPr>
            <w:tcW w:w="1597" w:type="dxa"/>
            <w:tcBorders>
              <w:top w:val="nil"/>
              <w:left w:val="nil"/>
              <w:bottom w:val="single" w:sz="4" w:space="0" w:color="auto"/>
              <w:right w:val="single" w:sz="4" w:space="0" w:color="auto"/>
            </w:tcBorders>
            <w:shd w:val="clear" w:color="auto" w:fill="auto"/>
            <w:noWrap/>
            <w:vAlign w:val="center"/>
            <w:hideMark/>
          </w:tcPr>
          <w:p w14:paraId="0ED41CF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79 489</w:t>
            </w:r>
          </w:p>
        </w:tc>
        <w:tc>
          <w:tcPr>
            <w:tcW w:w="1597" w:type="dxa"/>
            <w:tcBorders>
              <w:top w:val="nil"/>
              <w:left w:val="nil"/>
              <w:bottom w:val="single" w:sz="4" w:space="0" w:color="auto"/>
              <w:right w:val="single" w:sz="4" w:space="0" w:color="auto"/>
            </w:tcBorders>
            <w:shd w:val="clear" w:color="auto" w:fill="auto"/>
            <w:noWrap/>
            <w:vAlign w:val="center"/>
            <w:hideMark/>
          </w:tcPr>
          <w:p w14:paraId="7A68297C"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84 290</w:t>
            </w:r>
          </w:p>
        </w:tc>
        <w:tc>
          <w:tcPr>
            <w:tcW w:w="1598" w:type="dxa"/>
            <w:tcBorders>
              <w:top w:val="nil"/>
              <w:left w:val="nil"/>
              <w:bottom w:val="single" w:sz="4" w:space="0" w:color="auto"/>
              <w:right w:val="single" w:sz="4" w:space="0" w:color="auto"/>
            </w:tcBorders>
            <w:shd w:val="clear" w:color="auto" w:fill="auto"/>
            <w:noWrap/>
            <w:vAlign w:val="center"/>
            <w:hideMark/>
          </w:tcPr>
          <w:p w14:paraId="090C809F" w14:textId="77777777" w:rsidR="00DE347C" w:rsidRPr="00EE0850" w:rsidRDefault="00DE347C" w:rsidP="000C6220">
            <w:pPr>
              <w:spacing w:after="0" w:line="240" w:lineRule="auto"/>
              <w:jc w:val="right"/>
              <w:rPr>
                <w:szCs w:val="22"/>
                <w:lang w:eastAsia="en-CA"/>
              </w:rPr>
            </w:pPr>
            <w:r w:rsidRPr="00EE0850">
              <w:rPr>
                <w:szCs w:val="22"/>
                <w:lang w:eastAsia="en-CA"/>
              </w:rPr>
              <w:t>163 779</w:t>
            </w:r>
          </w:p>
        </w:tc>
      </w:tr>
      <w:tr w:rsidR="00DE347C" w:rsidRPr="00EE0850" w14:paraId="7D21F37C"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A02F1D5" w14:textId="77777777" w:rsidR="00DE347C" w:rsidRPr="00EE0850" w:rsidRDefault="00DE347C" w:rsidP="000C6220">
            <w:pPr>
              <w:spacing w:after="0" w:line="240" w:lineRule="auto"/>
              <w:rPr>
                <w:szCs w:val="22"/>
                <w:lang w:eastAsia="en-CA"/>
              </w:rPr>
            </w:pPr>
            <w:r w:rsidRPr="00EE0850">
              <w:rPr>
                <w:szCs w:val="22"/>
                <w:lang w:eastAsia="en-CA"/>
              </w:rPr>
              <w:t>Sudan</w:t>
            </w:r>
          </w:p>
        </w:tc>
        <w:tc>
          <w:tcPr>
            <w:tcW w:w="1597" w:type="dxa"/>
            <w:tcBorders>
              <w:top w:val="nil"/>
              <w:left w:val="nil"/>
              <w:bottom w:val="single" w:sz="4" w:space="0" w:color="auto"/>
              <w:right w:val="single" w:sz="4" w:space="0" w:color="auto"/>
            </w:tcBorders>
            <w:shd w:val="clear" w:color="auto" w:fill="auto"/>
            <w:noWrap/>
            <w:vAlign w:val="center"/>
            <w:hideMark/>
          </w:tcPr>
          <w:p w14:paraId="1E044016"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241B5F51"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4924594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1282C5A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3DE45F1F" w14:textId="77777777" w:rsidR="00DE347C" w:rsidRPr="00EE0850" w:rsidRDefault="00DE347C" w:rsidP="000C6220">
            <w:pPr>
              <w:spacing w:after="0" w:line="240" w:lineRule="auto"/>
              <w:jc w:val="right"/>
              <w:rPr>
                <w:szCs w:val="22"/>
                <w:lang w:eastAsia="en-CA"/>
              </w:rPr>
            </w:pPr>
            <w:r w:rsidRPr="00EE0850">
              <w:rPr>
                <w:szCs w:val="22"/>
                <w:lang w:eastAsia="en-CA"/>
              </w:rPr>
              <w:t>363</w:t>
            </w:r>
          </w:p>
        </w:tc>
      </w:tr>
      <w:tr w:rsidR="00DE347C" w:rsidRPr="00EE0850" w14:paraId="6ED5EA7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A86EA57" w14:textId="77777777" w:rsidR="00DE347C" w:rsidRPr="00EE0850" w:rsidRDefault="00DE347C" w:rsidP="000C6220">
            <w:pPr>
              <w:spacing w:after="0" w:line="240" w:lineRule="auto"/>
              <w:rPr>
                <w:szCs w:val="22"/>
                <w:lang w:eastAsia="en-CA"/>
              </w:rPr>
            </w:pPr>
            <w:r w:rsidRPr="00EE0850">
              <w:rPr>
                <w:szCs w:val="22"/>
                <w:lang w:eastAsia="en-CA"/>
              </w:rPr>
              <w:t>Sweden</w:t>
            </w:r>
          </w:p>
        </w:tc>
        <w:tc>
          <w:tcPr>
            <w:tcW w:w="1597" w:type="dxa"/>
            <w:tcBorders>
              <w:top w:val="nil"/>
              <w:left w:val="nil"/>
              <w:bottom w:val="single" w:sz="4" w:space="0" w:color="auto"/>
              <w:right w:val="single" w:sz="4" w:space="0" w:color="auto"/>
            </w:tcBorders>
            <w:shd w:val="clear" w:color="auto" w:fill="auto"/>
            <w:noWrap/>
            <w:vAlign w:val="center"/>
            <w:hideMark/>
          </w:tcPr>
          <w:p w14:paraId="44D8BCAF" w14:textId="77777777" w:rsidR="00DE347C" w:rsidRPr="00EE0850" w:rsidRDefault="00DE347C" w:rsidP="000C6220">
            <w:pPr>
              <w:spacing w:after="0" w:line="240" w:lineRule="auto"/>
              <w:jc w:val="right"/>
              <w:rPr>
                <w:szCs w:val="22"/>
                <w:lang w:eastAsia="en-CA"/>
              </w:rPr>
            </w:pPr>
            <w:r w:rsidRPr="00EE0850">
              <w:rPr>
                <w:szCs w:val="22"/>
                <w:lang w:eastAsia="en-CA"/>
              </w:rPr>
              <w:t>0.956</w:t>
            </w:r>
          </w:p>
        </w:tc>
        <w:tc>
          <w:tcPr>
            <w:tcW w:w="1597" w:type="dxa"/>
            <w:tcBorders>
              <w:top w:val="nil"/>
              <w:left w:val="nil"/>
              <w:bottom w:val="single" w:sz="4" w:space="0" w:color="auto"/>
              <w:right w:val="single" w:sz="4" w:space="0" w:color="auto"/>
            </w:tcBorders>
            <w:shd w:val="clear" w:color="auto" w:fill="auto"/>
            <w:noWrap/>
            <w:vAlign w:val="center"/>
            <w:hideMark/>
          </w:tcPr>
          <w:p w14:paraId="49CB5E70" w14:textId="77777777" w:rsidR="00DE347C" w:rsidRPr="00EE0850" w:rsidRDefault="00DE347C" w:rsidP="000C6220">
            <w:pPr>
              <w:spacing w:after="0" w:line="240" w:lineRule="auto"/>
              <w:jc w:val="right"/>
              <w:rPr>
                <w:szCs w:val="22"/>
                <w:lang w:eastAsia="en-CA"/>
              </w:rPr>
            </w:pPr>
            <w:r w:rsidRPr="00EE0850">
              <w:rPr>
                <w:szCs w:val="22"/>
                <w:lang w:eastAsia="en-CA"/>
              </w:rPr>
              <w:t>1.766</w:t>
            </w:r>
          </w:p>
        </w:tc>
        <w:tc>
          <w:tcPr>
            <w:tcW w:w="1597" w:type="dxa"/>
            <w:tcBorders>
              <w:top w:val="nil"/>
              <w:left w:val="nil"/>
              <w:bottom w:val="single" w:sz="4" w:space="0" w:color="auto"/>
              <w:right w:val="single" w:sz="4" w:space="0" w:color="auto"/>
            </w:tcBorders>
            <w:shd w:val="clear" w:color="auto" w:fill="auto"/>
            <w:noWrap/>
            <w:vAlign w:val="center"/>
            <w:hideMark/>
          </w:tcPr>
          <w:p w14:paraId="19F2D8D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31 106</w:t>
            </w:r>
          </w:p>
        </w:tc>
        <w:tc>
          <w:tcPr>
            <w:tcW w:w="1597" w:type="dxa"/>
            <w:tcBorders>
              <w:top w:val="nil"/>
              <w:left w:val="nil"/>
              <w:bottom w:val="single" w:sz="4" w:space="0" w:color="auto"/>
              <w:right w:val="single" w:sz="4" w:space="0" w:color="auto"/>
            </w:tcBorders>
            <w:shd w:val="clear" w:color="auto" w:fill="auto"/>
            <w:noWrap/>
            <w:vAlign w:val="center"/>
            <w:hideMark/>
          </w:tcPr>
          <w:p w14:paraId="14765886"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32 985</w:t>
            </w:r>
          </w:p>
        </w:tc>
        <w:tc>
          <w:tcPr>
            <w:tcW w:w="1598" w:type="dxa"/>
            <w:tcBorders>
              <w:top w:val="nil"/>
              <w:left w:val="nil"/>
              <w:bottom w:val="single" w:sz="4" w:space="0" w:color="auto"/>
              <w:right w:val="single" w:sz="4" w:space="0" w:color="auto"/>
            </w:tcBorders>
            <w:shd w:val="clear" w:color="auto" w:fill="auto"/>
            <w:noWrap/>
            <w:vAlign w:val="center"/>
            <w:hideMark/>
          </w:tcPr>
          <w:p w14:paraId="1B2ED609" w14:textId="77777777" w:rsidR="00DE347C" w:rsidRPr="00EE0850" w:rsidRDefault="00DE347C" w:rsidP="000C6220">
            <w:pPr>
              <w:spacing w:after="0" w:line="240" w:lineRule="auto"/>
              <w:jc w:val="right"/>
              <w:rPr>
                <w:szCs w:val="22"/>
                <w:lang w:eastAsia="en-CA"/>
              </w:rPr>
            </w:pPr>
            <w:r w:rsidRPr="00EE0850">
              <w:rPr>
                <w:szCs w:val="22"/>
                <w:lang w:eastAsia="en-CA"/>
              </w:rPr>
              <w:t>64 090</w:t>
            </w:r>
          </w:p>
        </w:tc>
      </w:tr>
      <w:tr w:rsidR="00DE347C" w:rsidRPr="00EE0850" w14:paraId="30D7BD87"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F8FBC5B" w14:textId="77777777" w:rsidR="00DE347C" w:rsidRPr="00EE0850" w:rsidRDefault="00DE347C" w:rsidP="000C6220">
            <w:pPr>
              <w:spacing w:after="0" w:line="240" w:lineRule="auto"/>
              <w:rPr>
                <w:szCs w:val="22"/>
                <w:lang w:eastAsia="en-CA"/>
              </w:rPr>
            </w:pPr>
            <w:r w:rsidRPr="00EE0850">
              <w:rPr>
                <w:szCs w:val="22"/>
                <w:lang w:eastAsia="en-CA"/>
              </w:rPr>
              <w:t>Switzerland</w:t>
            </w:r>
          </w:p>
        </w:tc>
        <w:tc>
          <w:tcPr>
            <w:tcW w:w="1597" w:type="dxa"/>
            <w:tcBorders>
              <w:top w:val="nil"/>
              <w:left w:val="nil"/>
              <w:bottom w:val="single" w:sz="4" w:space="0" w:color="auto"/>
              <w:right w:val="single" w:sz="4" w:space="0" w:color="auto"/>
            </w:tcBorders>
            <w:shd w:val="clear" w:color="auto" w:fill="auto"/>
            <w:noWrap/>
            <w:vAlign w:val="center"/>
            <w:hideMark/>
          </w:tcPr>
          <w:p w14:paraId="6839B7A9" w14:textId="77777777" w:rsidR="00DE347C" w:rsidRPr="00EE0850" w:rsidRDefault="00DE347C" w:rsidP="000C6220">
            <w:pPr>
              <w:spacing w:after="0" w:line="240" w:lineRule="auto"/>
              <w:jc w:val="right"/>
              <w:rPr>
                <w:szCs w:val="22"/>
                <w:lang w:eastAsia="en-CA"/>
              </w:rPr>
            </w:pPr>
            <w:r w:rsidRPr="00EE0850">
              <w:rPr>
                <w:szCs w:val="22"/>
                <w:lang w:eastAsia="en-CA"/>
              </w:rPr>
              <w:t>1.140</w:t>
            </w:r>
          </w:p>
        </w:tc>
        <w:tc>
          <w:tcPr>
            <w:tcW w:w="1597" w:type="dxa"/>
            <w:tcBorders>
              <w:top w:val="nil"/>
              <w:left w:val="nil"/>
              <w:bottom w:val="single" w:sz="4" w:space="0" w:color="auto"/>
              <w:right w:val="single" w:sz="4" w:space="0" w:color="auto"/>
            </w:tcBorders>
            <w:shd w:val="clear" w:color="auto" w:fill="auto"/>
            <w:noWrap/>
            <w:vAlign w:val="center"/>
            <w:hideMark/>
          </w:tcPr>
          <w:p w14:paraId="0947CEFA" w14:textId="77777777" w:rsidR="00DE347C" w:rsidRPr="00EE0850" w:rsidRDefault="00DE347C" w:rsidP="000C6220">
            <w:pPr>
              <w:spacing w:after="0" w:line="240" w:lineRule="auto"/>
              <w:jc w:val="right"/>
              <w:rPr>
                <w:szCs w:val="22"/>
                <w:lang w:eastAsia="en-CA"/>
              </w:rPr>
            </w:pPr>
            <w:r w:rsidRPr="00EE0850">
              <w:rPr>
                <w:szCs w:val="22"/>
                <w:lang w:eastAsia="en-CA"/>
              </w:rPr>
              <w:t>2.106</w:t>
            </w:r>
          </w:p>
        </w:tc>
        <w:tc>
          <w:tcPr>
            <w:tcW w:w="1597" w:type="dxa"/>
            <w:tcBorders>
              <w:top w:val="nil"/>
              <w:left w:val="nil"/>
              <w:bottom w:val="single" w:sz="4" w:space="0" w:color="auto"/>
              <w:right w:val="single" w:sz="4" w:space="0" w:color="auto"/>
            </w:tcBorders>
            <w:shd w:val="clear" w:color="auto" w:fill="auto"/>
            <w:noWrap/>
            <w:vAlign w:val="center"/>
            <w:hideMark/>
          </w:tcPr>
          <w:p w14:paraId="22DBF49C"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37 093</w:t>
            </w:r>
          </w:p>
        </w:tc>
        <w:tc>
          <w:tcPr>
            <w:tcW w:w="1597" w:type="dxa"/>
            <w:tcBorders>
              <w:top w:val="nil"/>
              <w:left w:val="nil"/>
              <w:bottom w:val="single" w:sz="4" w:space="0" w:color="auto"/>
              <w:right w:val="single" w:sz="4" w:space="0" w:color="auto"/>
            </w:tcBorders>
            <w:shd w:val="clear" w:color="auto" w:fill="auto"/>
            <w:noWrap/>
            <w:vAlign w:val="center"/>
            <w:hideMark/>
          </w:tcPr>
          <w:p w14:paraId="6B43C97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39 333</w:t>
            </w:r>
          </w:p>
        </w:tc>
        <w:tc>
          <w:tcPr>
            <w:tcW w:w="1598" w:type="dxa"/>
            <w:tcBorders>
              <w:top w:val="nil"/>
              <w:left w:val="nil"/>
              <w:bottom w:val="single" w:sz="4" w:space="0" w:color="auto"/>
              <w:right w:val="single" w:sz="4" w:space="0" w:color="auto"/>
            </w:tcBorders>
            <w:shd w:val="clear" w:color="auto" w:fill="auto"/>
            <w:noWrap/>
            <w:vAlign w:val="center"/>
            <w:hideMark/>
          </w:tcPr>
          <w:p w14:paraId="22945D9B" w14:textId="77777777" w:rsidR="00DE347C" w:rsidRPr="00EE0850" w:rsidRDefault="00DE347C" w:rsidP="000C6220">
            <w:pPr>
              <w:spacing w:after="0" w:line="240" w:lineRule="auto"/>
              <w:jc w:val="right"/>
              <w:rPr>
                <w:szCs w:val="22"/>
                <w:lang w:eastAsia="en-CA"/>
              </w:rPr>
            </w:pPr>
            <w:r w:rsidRPr="00EE0850">
              <w:rPr>
                <w:szCs w:val="22"/>
                <w:lang w:eastAsia="en-CA"/>
              </w:rPr>
              <w:t>76 426</w:t>
            </w:r>
          </w:p>
        </w:tc>
      </w:tr>
      <w:tr w:rsidR="00DE347C" w:rsidRPr="00EE0850" w14:paraId="247DFA69"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F8EC30D" w14:textId="77777777" w:rsidR="00DE347C" w:rsidRPr="00EE0850" w:rsidRDefault="00DE347C" w:rsidP="000C6220">
            <w:pPr>
              <w:spacing w:after="0" w:line="240" w:lineRule="auto"/>
              <w:rPr>
                <w:szCs w:val="22"/>
                <w:lang w:eastAsia="en-CA"/>
              </w:rPr>
            </w:pPr>
            <w:r w:rsidRPr="00EE0850">
              <w:rPr>
                <w:szCs w:val="22"/>
                <w:lang w:eastAsia="en-CA"/>
              </w:rPr>
              <w:t>Syrian Arab Republic</w:t>
            </w:r>
          </w:p>
        </w:tc>
        <w:tc>
          <w:tcPr>
            <w:tcW w:w="1597" w:type="dxa"/>
            <w:tcBorders>
              <w:top w:val="nil"/>
              <w:left w:val="nil"/>
              <w:bottom w:val="single" w:sz="4" w:space="0" w:color="auto"/>
              <w:right w:val="single" w:sz="4" w:space="0" w:color="auto"/>
            </w:tcBorders>
            <w:shd w:val="clear" w:color="auto" w:fill="auto"/>
            <w:noWrap/>
            <w:vAlign w:val="center"/>
            <w:hideMark/>
          </w:tcPr>
          <w:p w14:paraId="02DDAFDB" w14:textId="77777777" w:rsidR="00DE347C" w:rsidRPr="00EE0850" w:rsidRDefault="00DE347C" w:rsidP="000C6220">
            <w:pPr>
              <w:spacing w:after="0" w:line="240" w:lineRule="auto"/>
              <w:jc w:val="right"/>
              <w:rPr>
                <w:szCs w:val="22"/>
                <w:lang w:eastAsia="en-CA"/>
              </w:rPr>
            </w:pPr>
            <w:r w:rsidRPr="00EE0850">
              <w:rPr>
                <w:szCs w:val="22"/>
                <w:lang w:eastAsia="en-CA"/>
              </w:rPr>
              <w:t>0.024</w:t>
            </w:r>
          </w:p>
        </w:tc>
        <w:tc>
          <w:tcPr>
            <w:tcW w:w="1597" w:type="dxa"/>
            <w:tcBorders>
              <w:top w:val="nil"/>
              <w:left w:val="nil"/>
              <w:bottom w:val="single" w:sz="4" w:space="0" w:color="auto"/>
              <w:right w:val="single" w:sz="4" w:space="0" w:color="auto"/>
            </w:tcBorders>
            <w:shd w:val="clear" w:color="auto" w:fill="auto"/>
            <w:noWrap/>
            <w:vAlign w:val="center"/>
            <w:hideMark/>
          </w:tcPr>
          <w:p w14:paraId="0DB007C7" w14:textId="77777777" w:rsidR="00DE347C" w:rsidRPr="00EE0850" w:rsidRDefault="00DE347C" w:rsidP="000C6220">
            <w:pPr>
              <w:spacing w:after="0" w:line="240" w:lineRule="auto"/>
              <w:jc w:val="right"/>
              <w:rPr>
                <w:szCs w:val="22"/>
                <w:lang w:eastAsia="en-CA"/>
              </w:rPr>
            </w:pPr>
            <w:r w:rsidRPr="00EE0850">
              <w:rPr>
                <w:szCs w:val="22"/>
                <w:lang w:eastAsia="en-CA"/>
              </w:rPr>
              <w:t>0.044</w:t>
            </w:r>
          </w:p>
        </w:tc>
        <w:tc>
          <w:tcPr>
            <w:tcW w:w="1597" w:type="dxa"/>
            <w:tcBorders>
              <w:top w:val="nil"/>
              <w:left w:val="nil"/>
              <w:bottom w:val="single" w:sz="4" w:space="0" w:color="auto"/>
              <w:right w:val="single" w:sz="4" w:space="0" w:color="auto"/>
            </w:tcBorders>
            <w:shd w:val="clear" w:color="auto" w:fill="auto"/>
            <w:noWrap/>
            <w:vAlign w:val="center"/>
            <w:hideMark/>
          </w:tcPr>
          <w:p w14:paraId="35271F0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781</w:t>
            </w:r>
          </w:p>
        </w:tc>
        <w:tc>
          <w:tcPr>
            <w:tcW w:w="1597" w:type="dxa"/>
            <w:tcBorders>
              <w:top w:val="nil"/>
              <w:left w:val="nil"/>
              <w:bottom w:val="single" w:sz="4" w:space="0" w:color="auto"/>
              <w:right w:val="single" w:sz="4" w:space="0" w:color="auto"/>
            </w:tcBorders>
            <w:shd w:val="clear" w:color="auto" w:fill="auto"/>
            <w:noWrap/>
            <w:vAlign w:val="center"/>
            <w:hideMark/>
          </w:tcPr>
          <w:p w14:paraId="38DD65AC"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828</w:t>
            </w:r>
          </w:p>
        </w:tc>
        <w:tc>
          <w:tcPr>
            <w:tcW w:w="1598" w:type="dxa"/>
            <w:tcBorders>
              <w:top w:val="nil"/>
              <w:left w:val="nil"/>
              <w:bottom w:val="single" w:sz="4" w:space="0" w:color="auto"/>
              <w:right w:val="single" w:sz="4" w:space="0" w:color="auto"/>
            </w:tcBorders>
            <w:shd w:val="clear" w:color="auto" w:fill="auto"/>
            <w:noWrap/>
            <w:vAlign w:val="center"/>
            <w:hideMark/>
          </w:tcPr>
          <w:p w14:paraId="20923813" w14:textId="77777777" w:rsidR="00DE347C" w:rsidRPr="00EE0850" w:rsidRDefault="00DE347C" w:rsidP="000C6220">
            <w:pPr>
              <w:spacing w:after="0" w:line="240" w:lineRule="auto"/>
              <w:jc w:val="right"/>
              <w:rPr>
                <w:szCs w:val="22"/>
                <w:lang w:eastAsia="en-CA"/>
              </w:rPr>
            </w:pPr>
            <w:r w:rsidRPr="00EE0850">
              <w:rPr>
                <w:szCs w:val="22"/>
                <w:lang w:eastAsia="en-CA"/>
              </w:rPr>
              <w:t>1 609</w:t>
            </w:r>
          </w:p>
        </w:tc>
      </w:tr>
      <w:tr w:rsidR="00DE347C" w:rsidRPr="00EE0850" w14:paraId="0D84D9A6"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FFC48E4" w14:textId="77777777" w:rsidR="00DE347C" w:rsidRPr="00EE0850" w:rsidRDefault="00DE347C" w:rsidP="000C6220">
            <w:pPr>
              <w:spacing w:after="0" w:line="240" w:lineRule="auto"/>
              <w:rPr>
                <w:szCs w:val="22"/>
                <w:lang w:eastAsia="en-CA"/>
              </w:rPr>
            </w:pPr>
            <w:r w:rsidRPr="00EE0850">
              <w:rPr>
                <w:szCs w:val="22"/>
                <w:lang w:eastAsia="en-CA"/>
              </w:rPr>
              <w:t>Tajikistan</w:t>
            </w:r>
          </w:p>
        </w:tc>
        <w:tc>
          <w:tcPr>
            <w:tcW w:w="1597" w:type="dxa"/>
            <w:tcBorders>
              <w:top w:val="nil"/>
              <w:left w:val="nil"/>
              <w:bottom w:val="single" w:sz="4" w:space="0" w:color="auto"/>
              <w:right w:val="single" w:sz="4" w:space="0" w:color="auto"/>
            </w:tcBorders>
            <w:shd w:val="clear" w:color="auto" w:fill="auto"/>
            <w:noWrap/>
            <w:vAlign w:val="center"/>
            <w:hideMark/>
          </w:tcPr>
          <w:p w14:paraId="5C8515E3"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78A5951B" w14:textId="77777777" w:rsidR="00DE347C" w:rsidRPr="00EE0850" w:rsidRDefault="00DE347C" w:rsidP="000C6220">
            <w:pPr>
              <w:spacing w:after="0" w:line="240" w:lineRule="auto"/>
              <w:jc w:val="right"/>
              <w:rPr>
                <w:szCs w:val="22"/>
                <w:lang w:eastAsia="en-CA"/>
              </w:rPr>
            </w:pPr>
            <w:r w:rsidRPr="00EE0850">
              <w:rPr>
                <w:szCs w:val="22"/>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03561F6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19FE756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51E9B300" w14:textId="77777777" w:rsidR="00DE347C" w:rsidRPr="00EE0850" w:rsidRDefault="00DE347C" w:rsidP="000C6220">
            <w:pPr>
              <w:spacing w:after="0" w:line="240" w:lineRule="auto"/>
              <w:jc w:val="right"/>
              <w:rPr>
                <w:szCs w:val="22"/>
                <w:lang w:eastAsia="en-CA"/>
              </w:rPr>
            </w:pPr>
            <w:r w:rsidRPr="00EE0850">
              <w:rPr>
                <w:szCs w:val="22"/>
                <w:lang w:eastAsia="en-CA"/>
              </w:rPr>
              <w:t>268</w:t>
            </w:r>
          </w:p>
        </w:tc>
      </w:tr>
      <w:tr w:rsidR="00DE347C" w:rsidRPr="00EE0850" w14:paraId="2BD81F6D"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C9E7631" w14:textId="77777777" w:rsidR="00DE347C" w:rsidRPr="00EE0850" w:rsidRDefault="00DE347C" w:rsidP="000C6220">
            <w:pPr>
              <w:spacing w:after="0" w:line="240" w:lineRule="auto"/>
              <w:rPr>
                <w:szCs w:val="22"/>
                <w:lang w:eastAsia="en-CA"/>
              </w:rPr>
            </w:pPr>
            <w:r w:rsidRPr="00EE0850">
              <w:rPr>
                <w:szCs w:val="22"/>
                <w:lang w:eastAsia="en-CA"/>
              </w:rPr>
              <w:t>Togo</w:t>
            </w:r>
          </w:p>
        </w:tc>
        <w:tc>
          <w:tcPr>
            <w:tcW w:w="1597" w:type="dxa"/>
            <w:tcBorders>
              <w:top w:val="nil"/>
              <w:left w:val="nil"/>
              <w:bottom w:val="single" w:sz="4" w:space="0" w:color="auto"/>
              <w:right w:val="single" w:sz="4" w:space="0" w:color="auto"/>
            </w:tcBorders>
            <w:shd w:val="clear" w:color="auto" w:fill="auto"/>
            <w:noWrap/>
            <w:vAlign w:val="center"/>
            <w:hideMark/>
          </w:tcPr>
          <w:p w14:paraId="26291B2E"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12048456"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52559BC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3946E90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0669E69"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23611DB5"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D3A670D" w14:textId="77777777" w:rsidR="00DE347C" w:rsidRPr="00EE0850" w:rsidRDefault="00DE347C" w:rsidP="000C6220">
            <w:pPr>
              <w:spacing w:after="0" w:line="240" w:lineRule="auto"/>
              <w:rPr>
                <w:szCs w:val="22"/>
                <w:lang w:eastAsia="en-CA"/>
              </w:rPr>
            </w:pPr>
            <w:r w:rsidRPr="00EE0850">
              <w:rPr>
                <w:szCs w:val="22"/>
                <w:lang w:eastAsia="en-CA"/>
              </w:rPr>
              <w:t>Tuvalu</w:t>
            </w:r>
          </w:p>
        </w:tc>
        <w:tc>
          <w:tcPr>
            <w:tcW w:w="1597" w:type="dxa"/>
            <w:tcBorders>
              <w:top w:val="nil"/>
              <w:left w:val="nil"/>
              <w:bottom w:val="single" w:sz="4" w:space="0" w:color="auto"/>
              <w:right w:val="single" w:sz="4" w:space="0" w:color="auto"/>
            </w:tcBorders>
            <w:shd w:val="clear" w:color="auto" w:fill="auto"/>
            <w:noWrap/>
            <w:vAlign w:val="center"/>
            <w:hideMark/>
          </w:tcPr>
          <w:p w14:paraId="64901804"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6F6376F"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EB958F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1796EC0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13EA6CEB"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549576E1"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FBD7448" w14:textId="77777777" w:rsidR="00DE347C" w:rsidRPr="00EE0850" w:rsidRDefault="00DE347C" w:rsidP="000C6220">
            <w:pPr>
              <w:spacing w:after="0" w:line="240" w:lineRule="auto"/>
              <w:rPr>
                <w:szCs w:val="22"/>
                <w:lang w:eastAsia="en-CA"/>
              </w:rPr>
            </w:pPr>
            <w:r w:rsidRPr="00EE0850">
              <w:rPr>
                <w:szCs w:val="22"/>
                <w:lang w:eastAsia="en-CA"/>
              </w:rPr>
              <w:t>Uganda</w:t>
            </w:r>
          </w:p>
        </w:tc>
        <w:tc>
          <w:tcPr>
            <w:tcW w:w="1597" w:type="dxa"/>
            <w:tcBorders>
              <w:top w:val="nil"/>
              <w:left w:val="nil"/>
              <w:bottom w:val="single" w:sz="4" w:space="0" w:color="auto"/>
              <w:right w:val="single" w:sz="4" w:space="0" w:color="auto"/>
            </w:tcBorders>
            <w:shd w:val="clear" w:color="auto" w:fill="auto"/>
            <w:noWrap/>
            <w:vAlign w:val="center"/>
            <w:hideMark/>
          </w:tcPr>
          <w:p w14:paraId="0222CB99" w14:textId="77777777" w:rsidR="00DE347C" w:rsidRPr="00EE0850" w:rsidRDefault="00DE347C" w:rsidP="000C6220">
            <w:pPr>
              <w:spacing w:after="0" w:line="240" w:lineRule="auto"/>
              <w:jc w:val="right"/>
              <w:rPr>
                <w:szCs w:val="22"/>
                <w:lang w:eastAsia="en-CA"/>
              </w:rPr>
            </w:pPr>
            <w:r w:rsidRPr="00EE0850">
              <w:rPr>
                <w:szCs w:val="22"/>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0BE94D1B"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103FB1D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76967C4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062BACEB" w14:textId="77777777" w:rsidR="00DE347C" w:rsidRPr="00EE0850" w:rsidRDefault="00DE347C" w:rsidP="000C6220">
            <w:pPr>
              <w:spacing w:after="0" w:line="240" w:lineRule="auto"/>
              <w:jc w:val="right"/>
              <w:rPr>
                <w:szCs w:val="22"/>
                <w:lang w:eastAsia="en-CA"/>
              </w:rPr>
            </w:pPr>
            <w:r w:rsidRPr="00EE0850">
              <w:rPr>
                <w:szCs w:val="22"/>
                <w:lang w:eastAsia="en-CA"/>
              </w:rPr>
              <w:t>363</w:t>
            </w:r>
          </w:p>
        </w:tc>
      </w:tr>
      <w:tr w:rsidR="00DE347C" w:rsidRPr="00EE0850" w14:paraId="518921C0"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4FE88D5" w14:textId="77777777" w:rsidR="00DE347C" w:rsidRPr="00EE0850" w:rsidRDefault="00DE347C" w:rsidP="000C6220">
            <w:pPr>
              <w:spacing w:after="0" w:line="240" w:lineRule="auto"/>
              <w:rPr>
                <w:szCs w:val="22"/>
                <w:lang w:eastAsia="en-CA"/>
              </w:rPr>
            </w:pPr>
            <w:r w:rsidRPr="00EE0850">
              <w:rPr>
                <w:szCs w:val="22"/>
                <w:lang w:eastAsia="en-CA"/>
              </w:rPr>
              <w:t>United Arab Emirates</w:t>
            </w:r>
          </w:p>
        </w:tc>
        <w:tc>
          <w:tcPr>
            <w:tcW w:w="1597" w:type="dxa"/>
            <w:tcBorders>
              <w:top w:val="nil"/>
              <w:left w:val="nil"/>
              <w:bottom w:val="single" w:sz="4" w:space="0" w:color="auto"/>
              <w:right w:val="single" w:sz="4" w:space="0" w:color="auto"/>
            </w:tcBorders>
            <w:shd w:val="clear" w:color="auto" w:fill="auto"/>
            <w:noWrap/>
            <w:vAlign w:val="center"/>
            <w:hideMark/>
          </w:tcPr>
          <w:p w14:paraId="33D406DB" w14:textId="77777777" w:rsidR="00DE347C" w:rsidRPr="00EE0850" w:rsidRDefault="00DE347C" w:rsidP="000C6220">
            <w:pPr>
              <w:spacing w:after="0" w:line="240" w:lineRule="auto"/>
              <w:jc w:val="right"/>
              <w:rPr>
                <w:szCs w:val="22"/>
                <w:lang w:eastAsia="en-CA"/>
              </w:rPr>
            </w:pPr>
            <w:r w:rsidRPr="00EE0850">
              <w:rPr>
                <w:szCs w:val="22"/>
                <w:lang w:eastAsia="en-CA"/>
              </w:rPr>
              <w:t>0.604</w:t>
            </w:r>
          </w:p>
        </w:tc>
        <w:tc>
          <w:tcPr>
            <w:tcW w:w="1597" w:type="dxa"/>
            <w:tcBorders>
              <w:top w:val="nil"/>
              <w:left w:val="nil"/>
              <w:bottom w:val="single" w:sz="4" w:space="0" w:color="auto"/>
              <w:right w:val="single" w:sz="4" w:space="0" w:color="auto"/>
            </w:tcBorders>
            <w:shd w:val="clear" w:color="auto" w:fill="auto"/>
            <w:noWrap/>
            <w:vAlign w:val="center"/>
            <w:hideMark/>
          </w:tcPr>
          <w:p w14:paraId="6817D13A" w14:textId="77777777" w:rsidR="00DE347C" w:rsidRPr="00EE0850" w:rsidRDefault="00DE347C" w:rsidP="000C6220">
            <w:pPr>
              <w:spacing w:after="0" w:line="240" w:lineRule="auto"/>
              <w:jc w:val="right"/>
              <w:rPr>
                <w:szCs w:val="22"/>
                <w:lang w:eastAsia="en-CA"/>
              </w:rPr>
            </w:pPr>
            <w:r w:rsidRPr="00EE0850">
              <w:rPr>
                <w:szCs w:val="22"/>
                <w:lang w:eastAsia="en-CA"/>
              </w:rPr>
              <w:t>1.116</w:t>
            </w:r>
          </w:p>
        </w:tc>
        <w:tc>
          <w:tcPr>
            <w:tcW w:w="1597" w:type="dxa"/>
            <w:tcBorders>
              <w:top w:val="nil"/>
              <w:left w:val="nil"/>
              <w:bottom w:val="single" w:sz="4" w:space="0" w:color="auto"/>
              <w:right w:val="single" w:sz="4" w:space="0" w:color="auto"/>
            </w:tcBorders>
            <w:shd w:val="clear" w:color="auto" w:fill="auto"/>
            <w:noWrap/>
            <w:vAlign w:val="center"/>
            <w:hideMark/>
          </w:tcPr>
          <w:p w14:paraId="74C29DD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19 653</w:t>
            </w:r>
          </w:p>
        </w:tc>
        <w:tc>
          <w:tcPr>
            <w:tcW w:w="1597" w:type="dxa"/>
            <w:tcBorders>
              <w:top w:val="nil"/>
              <w:left w:val="nil"/>
              <w:bottom w:val="single" w:sz="4" w:space="0" w:color="auto"/>
              <w:right w:val="single" w:sz="4" w:space="0" w:color="auto"/>
            </w:tcBorders>
            <w:shd w:val="clear" w:color="auto" w:fill="auto"/>
            <w:noWrap/>
            <w:vAlign w:val="center"/>
            <w:hideMark/>
          </w:tcPr>
          <w:p w14:paraId="692D75E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20 840</w:t>
            </w:r>
          </w:p>
        </w:tc>
        <w:tc>
          <w:tcPr>
            <w:tcW w:w="1598" w:type="dxa"/>
            <w:tcBorders>
              <w:top w:val="nil"/>
              <w:left w:val="nil"/>
              <w:bottom w:val="single" w:sz="4" w:space="0" w:color="auto"/>
              <w:right w:val="single" w:sz="4" w:space="0" w:color="auto"/>
            </w:tcBorders>
            <w:shd w:val="clear" w:color="auto" w:fill="auto"/>
            <w:noWrap/>
            <w:vAlign w:val="center"/>
            <w:hideMark/>
          </w:tcPr>
          <w:p w14:paraId="1010047E" w14:textId="77777777" w:rsidR="00DE347C" w:rsidRPr="00EE0850" w:rsidRDefault="00DE347C" w:rsidP="000C6220">
            <w:pPr>
              <w:spacing w:after="0" w:line="240" w:lineRule="auto"/>
              <w:jc w:val="right"/>
              <w:rPr>
                <w:szCs w:val="22"/>
                <w:lang w:eastAsia="en-CA"/>
              </w:rPr>
            </w:pPr>
            <w:r w:rsidRPr="00EE0850">
              <w:rPr>
                <w:szCs w:val="22"/>
                <w:lang w:eastAsia="en-CA"/>
              </w:rPr>
              <w:t>40 492</w:t>
            </w:r>
          </w:p>
        </w:tc>
      </w:tr>
      <w:tr w:rsidR="00DE347C" w:rsidRPr="00EE0850" w14:paraId="150E9184" w14:textId="77777777" w:rsidTr="00DE347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0A3A3" w14:textId="77777777" w:rsidR="00DE347C" w:rsidRPr="00EE0850" w:rsidRDefault="00DE347C" w:rsidP="000C6220">
            <w:pPr>
              <w:spacing w:after="0" w:line="240" w:lineRule="auto"/>
              <w:rPr>
                <w:szCs w:val="22"/>
                <w:lang w:eastAsia="en-CA"/>
              </w:rPr>
            </w:pPr>
            <w:r w:rsidRPr="00EE0850">
              <w:rPr>
                <w:szCs w:val="22"/>
                <w:lang w:eastAsia="en-CA"/>
              </w:rPr>
              <w:t>United Kingdom of Great Britain and Northern Ireland</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08F25260" w14:textId="77777777" w:rsidR="00DE347C" w:rsidRPr="00EE0850" w:rsidRDefault="00DE347C" w:rsidP="000C6220">
            <w:pPr>
              <w:spacing w:after="0" w:line="240" w:lineRule="auto"/>
              <w:jc w:val="right"/>
              <w:rPr>
                <w:szCs w:val="22"/>
                <w:lang w:eastAsia="en-CA"/>
              </w:rPr>
            </w:pPr>
            <w:r w:rsidRPr="00EE0850">
              <w:rPr>
                <w:szCs w:val="22"/>
                <w:lang w:eastAsia="en-CA"/>
              </w:rPr>
              <w:t>4.463</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34EDC27" w14:textId="77777777" w:rsidR="00DE347C" w:rsidRPr="00EE0850" w:rsidRDefault="00DE347C" w:rsidP="000C6220">
            <w:pPr>
              <w:spacing w:after="0" w:line="240" w:lineRule="auto"/>
              <w:jc w:val="right"/>
              <w:rPr>
                <w:szCs w:val="22"/>
                <w:lang w:eastAsia="en-CA"/>
              </w:rPr>
            </w:pPr>
            <w:r w:rsidRPr="00EE0850">
              <w:rPr>
                <w:szCs w:val="22"/>
                <w:lang w:eastAsia="en-CA"/>
              </w:rPr>
              <w:t>8.246</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360B59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145 214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0023FBA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153 986</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F7A6200" w14:textId="77777777" w:rsidR="00DE347C" w:rsidRPr="00EE0850" w:rsidRDefault="00DE347C" w:rsidP="000C6220">
            <w:pPr>
              <w:spacing w:after="0" w:line="240" w:lineRule="auto"/>
              <w:jc w:val="right"/>
              <w:rPr>
                <w:szCs w:val="22"/>
                <w:lang w:eastAsia="en-CA"/>
              </w:rPr>
            </w:pPr>
            <w:r w:rsidRPr="00EE0850">
              <w:rPr>
                <w:szCs w:val="22"/>
                <w:lang w:eastAsia="en-CA"/>
              </w:rPr>
              <w:t>299 200</w:t>
            </w:r>
          </w:p>
        </w:tc>
      </w:tr>
      <w:tr w:rsidR="00DE347C" w:rsidRPr="00EE0850" w14:paraId="5887F102"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AF12C06" w14:textId="77777777" w:rsidR="00DE347C" w:rsidRPr="00EE0850" w:rsidRDefault="00DE347C" w:rsidP="000C6220">
            <w:pPr>
              <w:spacing w:after="0" w:line="240" w:lineRule="auto"/>
              <w:rPr>
                <w:szCs w:val="22"/>
                <w:lang w:eastAsia="en-CA"/>
              </w:rPr>
            </w:pPr>
            <w:r w:rsidRPr="00EE0850">
              <w:rPr>
                <w:szCs w:val="22"/>
                <w:lang w:eastAsia="en-CA"/>
              </w:rPr>
              <w:t>United Republic of Tanzania</w:t>
            </w:r>
          </w:p>
        </w:tc>
        <w:tc>
          <w:tcPr>
            <w:tcW w:w="1597" w:type="dxa"/>
            <w:tcBorders>
              <w:top w:val="nil"/>
              <w:left w:val="nil"/>
              <w:bottom w:val="single" w:sz="4" w:space="0" w:color="auto"/>
              <w:right w:val="single" w:sz="4" w:space="0" w:color="auto"/>
            </w:tcBorders>
            <w:shd w:val="clear" w:color="auto" w:fill="auto"/>
            <w:noWrap/>
            <w:vAlign w:val="center"/>
            <w:hideMark/>
          </w:tcPr>
          <w:p w14:paraId="4132CF6D" w14:textId="77777777" w:rsidR="00DE347C" w:rsidRPr="00EE0850" w:rsidRDefault="00DE347C" w:rsidP="000C6220">
            <w:pPr>
              <w:spacing w:after="0" w:line="240" w:lineRule="auto"/>
              <w:jc w:val="right"/>
              <w:rPr>
                <w:szCs w:val="22"/>
                <w:lang w:eastAsia="en-CA"/>
              </w:rPr>
            </w:pPr>
            <w:r w:rsidRPr="00EE0850">
              <w:rPr>
                <w:szCs w:val="22"/>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554C5C24" w14:textId="77777777" w:rsidR="00DE347C" w:rsidRPr="00EE0850" w:rsidRDefault="00DE347C" w:rsidP="000C6220">
            <w:pPr>
              <w:spacing w:after="0" w:line="240" w:lineRule="auto"/>
              <w:jc w:val="right"/>
              <w:rPr>
                <w:szCs w:val="22"/>
                <w:lang w:eastAsia="en-CA"/>
              </w:rPr>
            </w:pPr>
            <w:r w:rsidRPr="00EE0850">
              <w:rPr>
                <w:szCs w:val="22"/>
                <w:lang w:eastAsia="en-CA"/>
              </w:rPr>
              <w:t>0.018</w:t>
            </w:r>
          </w:p>
        </w:tc>
        <w:tc>
          <w:tcPr>
            <w:tcW w:w="1597" w:type="dxa"/>
            <w:tcBorders>
              <w:top w:val="nil"/>
              <w:left w:val="nil"/>
              <w:bottom w:val="single" w:sz="4" w:space="0" w:color="auto"/>
              <w:right w:val="single" w:sz="4" w:space="0" w:color="auto"/>
            </w:tcBorders>
            <w:shd w:val="clear" w:color="auto" w:fill="auto"/>
            <w:noWrap/>
            <w:vAlign w:val="center"/>
            <w:hideMark/>
          </w:tcPr>
          <w:p w14:paraId="6D77BF38"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325</w:t>
            </w:r>
          </w:p>
        </w:tc>
        <w:tc>
          <w:tcPr>
            <w:tcW w:w="1597" w:type="dxa"/>
            <w:tcBorders>
              <w:top w:val="nil"/>
              <w:left w:val="nil"/>
              <w:bottom w:val="single" w:sz="4" w:space="0" w:color="auto"/>
              <w:right w:val="single" w:sz="4" w:space="0" w:color="auto"/>
            </w:tcBorders>
            <w:shd w:val="clear" w:color="auto" w:fill="auto"/>
            <w:noWrap/>
            <w:vAlign w:val="center"/>
            <w:hideMark/>
          </w:tcPr>
          <w:p w14:paraId="25EFC7F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345</w:t>
            </w:r>
          </w:p>
        </w:tc>
        <w:tc>
          <w:tcPr>
            <w:tcW w:w="1598" w:type="dxa"/>
            <w:tcBorders>
              <w:top w:val="nil"/>
              <w:left w:val="nil"/>
              <w:bottom w:val="single" w:sz="4" w:space="0" w:color="auto"/>
              <w:right w:val="single" w:sz="4" w:space="0" w:color="auto"/>
            </w:tcBorders>
            <w:shd w:val="clear" w:color="auto" w:fill="auto"/>
            <w:noWrap/>
            <w:vAlign w:val="center"/>
            <w:hideMark/>
          </w:tcPr>
          <w:p w14:paraId="7AD856D4" w14:textId="77777777" w:rsidR="00DE347C" w:rsidRPr="00EE0850" w:rsidRDefault="00DE347C" w:rsidP="000C6220">
            <w:pPr>
              <w:spacing w:after="0" w:line="240" w:lineRule="auto"/>
              <w:jc w:val="right"/>
              <w:rPr>
                <w:szCs w:val="22"/>
                <w:lang w:eastAsia="en-CA"/>
              </w:rPr>
            </w:pPr>
            <w:r w:rsidRPr="00EE0850">
              <w:rPr>
                <w:szCs w:val="22"/>
                <w:lang w:eastAsia="en-CA"/>
              </w:rPr>
              <w:t>670</w:t>
            </w:r>
          </w:p>
        </w:tc>
      </w:tr>
      <w:tr w:rsidR="00DE347C" w:rsidRPr="00EE0850" w14:paraId="54041734"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235CC70" w14:textId="77777777" w:rsidR="00DE347C" w:rsidRPr="00EE0850" w:rsidRDefault="00DE347C" w:rsidP="000C6220">
            <w:pPr>
              <w:spacing w:after="0" w:line="240" w:lineRule="auto"/>
              <w:rPr>
                <w:szCs w:val="22"/>
                <w:lang w:eastAsia="en-CA"/>
              </w:rPr>
            </w:pPr>
            <w:r w:rsidRPr="00EE0850">
              <w:rPr>
                <w:szCs w:val="22"/>
                <w:lang w:eastAsia="en-CA"/>
              </w:rPr>
              <w:t>Uruguay</w:t>
            </w:r>
          </w:p>
        </w:tc>
        <w:tc>
          <w:tcPr>
            <w:tcW w:w="1597" w:type="dxa"/>
            <w:tcBorders>
              <w:top w:val="nil"/>
              <w:left w:val="nil"/>
              <w:bottom w:val="single" w:sz="4" w:space="0" w:color="auto"/>
              <w:right w:val="single" w:sz="4" w:space="0" w:color="auto"/>
            </w:tcBorders>
            <w:shd w:val="clear" w:color="auto" w:fill="auto"/>
            <w:noWrap/>
            <w:vAlign w:val="center"/>
            <w:hideMark/>
          </w:tcPr>
          <w:p w14:paraId="14F0E86A" w14:textId="77777777" w:rsidR="00DE347C" w:rsidRPr="00EE0850" w:rsidRDefault="00DE347C" w:rsidP="000C6220">
            <w:pPr>
              <w:spacing w:after="0" w:line="240" w:lineRule="auto"/>
              <w:jc w:val="right"/>
              <w:rPr>
                <w:szCs w:val="22"/>
                <w:lang w:eastAsia="en-CA"/>
              </w:rPr>
            </w:pPr>
            <w:r w:rsidRPr="00EE0850">
              <w:rPr>
                <w:szCs w:val="22"/>
                <w:lang w:eastAsia="en-CA"/>
              </w:rPr>
              <w:t>0.079</w:t>
            </w:r>
          </w:p>
        </w:tc>
        <w:tc>
          <w:tcPr>
            <w:tcW w:w="1597" w:type="dxa"/>
            <w:tcBorders>
              <w:top w:val="nil"/>
              <w:left w:val="nil"/>
              <w:bottom w:val="single" w:sz="4" w:space="0" w:color="auto"/>
              <w:right w:val="single" w:sz="4" w:space="0" w:color="auto"/>
            </w:tcBorders>
            <w:shd w:val="clear" w:color="auto" w:fill="auto"/>
            <w:noWrap/>
            <w:vAlign w:val="center"/>
            <w:hideMark/>
          </w:tcPr>
          <w:p w14:paraId="7910EA91" w14:textId="77777777" w:rsidR="00DE347C" w:rsidRPr="00EE0850" w:rsidRDefault="00DE347C" w:rsidP="000C6220">
            <w:pPr>
              <w:spacing w:after="0" w:line="240" w:lineRule="auto"/>
              <w:jc w:val="right"/>
              <w:rPr>
                <w:szCs w:val="22"/>
                <w:lang w:eastAsia="en-CA"/>
              </w:rPr>
            </w:pPr>
            <w:r w:rsidRPr="00EE0850">
              <w:rPr>
                <w:szCs w:val="22"/>
                <w:lang w:eastAsia="en-CA"/>
              </w:rPr>
              <w:t>0.146</w:t>
            </w:r>
          </w:p>
        </w:tc>
        <w:tc>
          <w:tcPr>
            <w:tcW w:w="1597" w:type="dxa"/>
            <w:tcBorders>
              <w:top w:val="nil"/>
              <w:left w:val="nil"/>
              <w:bottom w:val="single" w:sz="4" w:space="0" w:color="auto"/>
              <w:right w:val="single" w:sz="4" w:space="0" w:color="auto"/>
            </w:tcBorders>
            <w:shd w:val="clear" w:color="auto" w:fill="auto"/>
            <w:noWrap/>
            <w:vAlign w:val="center"/>
            <w:hideMark/>
          </w:tcPr>
          <w:p w14:paraId="1903C87F"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2 570</w:t>
            </w:r>
          </w:p>
        </w:tc>
        <w:tc>
          <w:tcPr>
            <w:tcW w:w="1597" w:type="dxa"/>
            <w:tcBorders>
              <w:top w:val="nil"/>
              <w:left w:val="nil"/>
              <w:bottom w:val="single" w:sz="4" w:space="0" w:color="auto"/>
              <w:right w:val="single" w:sz="4" w:space="0" w:color="auto"/>
            </w:tcBorders>
            <w:shd w:val="clear" w:color="auto" w:fill="auto"/>
            <w:noWrap/>
            <w:vAlign w:val="center"/>
            <w:hideMark/>
          </w:tcPr>
          <w:p w14:paraId="412F6184"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2 726</w:t>
            </w:r>
          </w:p>
        </w:tc>
        <w:tc>
          <w:tcPr>
            <w:tcW w:w="1598" w:type="dxa"/>
            <w:tcBorders>
              <w:top w:val="nil"/>
              <w:left w:val="nil"/>
              <w:bottom w:val="single" w:sz="4" w:space="0" w:color="auto"/>
              <w:right w:val="single" w:sz="4" w:space="0" w:color="auto"/>
            </w:tcBorders>
            <w:shd w:val="clear" w:color="auto" w:fill="auto"/>
            <w:noWrap/>
            <w:vAlign w:val="center"/>
            <w:hideMark/>
          </w:tcPr>
          <w:p w14:paraId="51BCD354" w14:textId="77777777" w:rsidR="00DE347C" w:rsidRPr="00EE0850" w:rsidRDefault="00DE347C" w:rsidP="000C6220">
            <w:pPr>
              <w:spacing w:after="0" w:line="240" w:lineRule="auto"/>
              <w:jc w:val="right"/>
              <w:rPr>
                <w:szCs w:val="22"/>
                <w:lang w:eastAsia="en-CA"/>
              </w:rPr>
            </w:pPr>
            <w:r w:rsidRPr="00EE0850">
              <w:rPr>
                <w:szCs w:val="22"/>
                <w:lang w:eastAsia="en-CA"/>
              </w:rPr>
              <w:t>5 296</w:t>
            </w:r>
          </w:p>
        </w:tc>
      </w:tr>
      <w:tr w:rsidR="00DE347C" w:rsidRPr="00EE0850" w14:paraId="2BDBD307"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BFB0FFD" w14:textId="77777777" w:rsidR="00DE347C" w:rsidRPr="00EE0850" w:rsidRDefault="00DE347C" w:rsidP="000C6220">
            <w:pPr>
              <w:spacing w:after="0" w:line="240" w:lineRule="auto"/>
              <w:rPr>
                <w:szCs w:val="22"/>
                <w:lang w:eastAsia="en-CA"/>
              </w:rPr>
            </w:pPr>
            <w:r w:rsidRPr="00EE0850">
              <w:rPr>
                <w:szCs w:val="22"/>
                <w:lang w:eastAsia="en-CA"/>
              </w:rPr>
              <w:t>Vanuatu</w:t>
            </w:r>
          </w:p>
        </w:tc>
        <w:tc>
          <w:tcPr>
            <w:tcW w:w="1597" w:type="dxa"/>
            <w:tcBorders>
              <w:top w:val="nil"/>
              <w:left w:val="nil"/>
              <w:bottom w:val="single" w:sz="4" w:space="0" w:color="auto"/>
              <w:right w:val="single" w:sz="4" w:space="0" w:color="auto"/>
            </w:tcBorders>
            <w:shd w:val="clear" w:color="auto" w:fill="auto"/>
            <w:noWrap/>
            <w:vAlign w:val="center"/>
            <w:hideMark/>
          </w:tcPr>
          <w:p w14:paraId="29A13E8B" w14:textId="77777777" w:rsidR="00DE347C" w:rsidRPr="00EE0850" w:rsidRDefault="00DE347C" w:rsidP="000C6220">
            <w:pPr>
              <w:spacing w:after="0" w:line="240" w:lineRule="auto"/>
              <w:jc w:val="right"/>
              <w:rPr>
                <w:szCs w:val="22"/>
                <w:lang w:eastAsia="en-CA"/>
              </w:rPr>
            </w:pPr>
            <w:r w:rsidRPr="00EE0850">
              <w:rPr>
                <w:szCs w:val="22"/>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29E927F9" w14:textId="77777777" w:rsidR="00DE347C" w:rsidRPr="00EE0850" w:rsidRDefault="00DE347C" w:rsidP="000C6220">
            <w:pPr>
              <w:spacing w:after="0" w:line="240" w:lineRule="auto"/>
              <w:jc w:val="right"/>
              <w:rPr>
                <w:szCs w:val="22"/>
                <w:lang w:eastAsia="en-CA"/>
              </w:rPr>
            </w:pPr>
            <w:r w:rsidRPr="00EE0850">
              <w:rPr>
                <w:szCs w:val="22"/>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0AF4E40"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1059E271"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6350BFD2" w14:textId="77777777" w:rsidR="00DE347C" w:rsidRPr="00EE0850" w:rsidRDefault="00DE347C" w:rsidP="000C6220">
            <w:pPr>
              <w:spacing w:after="0" w:line="240" w:lineRule="auto"/>
              <w:jc w:val="right"/>
              <w:rPr>
                <w:szCs w:val="22"/>
                <w:lang w:eastAsia="en-CA"/>
              </w:rPr>
            </w:pPr>
            <w:r w:rsidRPr="00EE0850">
              <w:rPr>
                <w:szCs w:val="22"/>
                <w:lang w:eastAsia="en-CA"/>
              </w:rPr>
              <w:t>67</w:t>
            </w:r>
          </w:p>
        </w:tc>
      </w:tr>
      <w:tr w:rsidR="00DE347C" w:rsidRPr="00EE0850" w14:paraId="16CC9C4E"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B3B7110" w14:textId="77777777" w:rsidR="00DE347C" w:rsidRPr="00EE0850" w:rsidRDefault="00DE347C" w:rsidP="000C6220">
            <w:pPr>
              <w:spacing w:after="0" w:line="240" w:lineRule="auto"/>
              <w:rPr>
                <w:szCs w:val="22"/>
                <w:lang w:eastAsia="en-CA"/>
              </w:rPr>
            </w:pPr>
            <w:r w:rsidRPr="00EE0850">
              <w:rPr>
                <w:szCs w:val="22"/>
                <w:lang w:eastAsia="en-CA"/>
              </w:rPr>
              <w:t>Viet Nam</w:t>
            </w:r>
          </w:p>
        </w:tc>
        <w:tc>
          <w:tcPr>
            <w:tcW w:w="1597" w:type="dxa"/>
            <w:tcBorders>
              <w:top w:val="nil"/>
              <w:left w:val="nil"/>
              <w:bottom w:val="single" w:sz="4" w:space="0" w:color="auto"/>
              <w:right w:val="single" w:sz="4" w:space="0" w:color="auto"/>
            </w:tcBorders>
            <w:shd w:val="clear" w:color="auto" w:fill="auto"/>
            <w:noWrap/>
            <w:vAlign w:val="center"/>
            <w:hideMark/>
          </w:tcPr>
          <w:p w14:paraId="226D2B29" w14:textId="77777777" w:rsidR="00DE347C" w:rsidRPr="00EE0850" w:rsidRDefault="00DE347C" w:rsidP="000C6220">
            <w:pPr>
              <w:spacing w:after="0" w:line="240" w:lineRule="auto"/>
              <w:jc w:val="right"/>
              <w:rPr>
                <w:szCs w:val="22"/>
                <w:lang w:eastAsia="en-CA"/>
              </w:rPr>
            </w:pPr>
            <w:r w:rsidRPr="00EE0850">
              <w:rPr>
                <w:szCs w:val="22"/>
                <w:lang w:eastAsia="en-CA"/>
              </w:rPr>
              <w:t>0.058</w:t>
            </w:r>
          </w:p>
        </w:tc>
        <w:tc>
          <w:tcPr>
            <w:tcW w:w="1597" w:type="dxa"/>
            <w:tcBorders>
              <w:top w:val="nil"/>
              <w:left w:val="nil"/>
              <w:bottom w:val="single" w:sz="4" w:space="0" w:color="auto"/>
              <w:right w:val="single" w:sz="4" w:space="0" w:color="auto"/>
            </w:tcBorders>
            <w:shd w:val="clear" w:color="auto" w:fill="auto"/>
            <w:noWrap/>
            <w:vAlign w:val="center"/>
            <w:hideMark/>
          </w:tcPr>
          <w:p w14:paraId="511D8E26" w14:textId="77777777" w:rsidR="00DE347C" w:rsidRPr="00EE0850" w:rsidRDefault="00DE347C" w:rsidP="000C6220">
            <w:pPr>
              <w:spacing w:after="0" w:line="240" w:lineRule="auto"/>
              <w:jc w:val="right"/>
              <w:rPr>
                <w:szCs w:val="22"/>
                <w:lang w:eastAsia="en-CA"/>
              </w:rPr>
            </w:pPr>
            <w:r w:rsidRPr="00EE0850">
              <w:rPr>
                <w:szCs w:val="22"/>
                <w:lang w:eastAsia="en-CA"/>
              </w:rPr>
              <w:t>0.107</w:t>
            </w:r>
          </w:p>
        </w:tc>
        <w:tc>
          <w:tcPr>
            <w:tcW w:w="1597" w:type="dxa"/>
            <w:tcBorders>
              <w:top w:val="nil"/>
              <w:left w:val="nil"/>
              <w:bottom w:val="single" w:sz="4" w:space="0" w:color="auto"/>
              <w:right w:val="single" w:sz="4" w:space="0" w:color="auto"/>
            </w:tcBorders>
            <w:shd w:val="clear" w:color="auto" w:fill="auto"/>
            <w:noWrap/>
            <w:vAlign w:val="center"/>
            <w:hideMark/>
          </w:tcPr>
          <w:p w14:paraId="75E321DE"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1 887</w:t>
            </w:r>
          </w:p>
        </w:tc>
        <w:tc>
          <w:tcPr>
            <w:tcW w:w="1597" w:type="dxa"/>
            <w:tcBorders>
              <w:top w:val="nil"/>
              <w:left w:val="nil"/>
              <w:bottom w:val="single" w:sz="4" w:space="0" w:color="auto"/>
              <w:right w:val="single" w:sz="4" w:space="0" w:color="auto"/>
            </w:tcBorders>
            <w:shd w:val="clear" w:color="auto" w:fill="auto"/>
            <w:noWrap/>
            <w:vAlign w:val="center"/>
            <w:hideMark/>
          </w:tcPr>
          <w:p w14:paraId="2597283A"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2 001</w:t>
            </w:r>
          </w:p>
        </w:tc>
        <w:tc>
          <w:tcPr>
            <w:tcW w:w="1598" w:type="dxa"/>
            <w:tcBorders>
              <w:top w:val="nil"/>
              <w:left w:val="nil"/>
              <w:bottom w:val="single" w:sz="4" w:space="0" w:color="auto"/>
              <w:right w:val="single" w:sz="4" w:space="0" w:color="auto"/>
            </w:tcBorders>
            <w:shd w:val="clear" w:color="auto" w:fill="auto"/>
            <w:noWrap/>
            <w:vAlign w:val="center"/>
            <w:hideMark/>
          </w:tcPr>
          <w:p w14:paraId="32EF062C" w14:textId="77777777" w:rsidR="00DE347C" w:rsidRPr="00EE0850" w:rsidRDefault="00DE347C" w:rsidP="000C6220">
            <w:pPr>
              <w:spacing w:after="0" w:line="240" w:lineRule="auto"/>
              <w:jc w:val="right"/>
              <w:rPr>
                <w:szCs w:val="22"/>
                <w:lang w:eastAsia="en-CA"/>
              </w:rPr>
            </w:pPr>
            <w:r w:rsidRPr="00EE0850">
              <w:rPr>
                <w:szCs w:val="22"/>
                <w:lang w:eastAsia="en-CA"/>
              </w:rPr>
              <w:t>3 888</w:t>
            </w:r>
          </w:p>
        </w:tc>
      </w:tr>
      <w:tr w:rsidR="00DE347C" w:rsidRPr="00EE0850" w14:paraId="4DF6F788"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2951967" w14:textId="77777777" w:rsidR="00DE347C" w:rsidRPr="00EE0850" w:rsidRDefault="00DE347C" w:rsidP="000C6220">
            <w:pPr>
              <w:spacing w:after="0" w:line="240" w:lineRule="auto"/>
              <w:rPr>
                <w:szCs w:val="22"/>
                <w:lang w:eastAsia="en-CA"/>
              </w:rPr>
            </w:pPr>
            <w:r w:rsidRPr="00EE0850">
              <w:rPr>
                <w:szCs w:val="22"/>
                <w:lang w:eastAsia="en-CA"/>
              </w:rPr>
              <w:t>Zambia</w:t>
            </w:r>
          </w:p>
        </w:tc>
        <w:tc>
          <w:tcPr>
            <w:tcW w:w="1597" w:type="dxa"/>
            <w:tcBorders>
              <w:top w:val="nil"/>
              <w:left w:val="nil"/>
              <w:bottom w:val="single" w:sz="4" w:space="0" w:color="auto"/>
              <w:right w:val="single" w:sz="4" w:space="0" w:color="auto"/>
            </w:tcBorders>
            <w:shd w:val="clear" w:color="auto" w:fill="auto"/>
            <w:noWrap/>
            <w:vAlign w:val="center"/>
            <w:hideMark/>
          </w:tcPr>
          <w:p w14:paraId="6CFC5FAE" w14:textId="77777777" w:rsidR="00DE347C" w:rsidRPr="00EE0850" w:rsidRDefault="00DE347C" w:rsidP="000C6220">
            <w:pPr>
              <w:spacing w:after="0" w:line="240" w:lineRule="auto"/>
              <w:jc w:val="right"/>
              <w:rPr>
                <w:szCs w:val="22"/>
                <w:lang w:eastAsia="en-CA"/>
              </w:rPr>
            </w:pPr>
            <w:r w:rsidRPr="00EE0850">
              <w:rPr>
                <w:szCs w:val="22"/>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28EF7931" w14:textId="77777777" w:rsidR="00DE347C" w:rsidRPr="00EE0850" w:rsidRDefault="00DE347C" w:rsidP="000C6220">
            <w:pPr>
              <w:spacing w:after="0" w:line="240" w:lineRule="auto"/>
              <w:jc w:val="right"/>
              <w:rPr>
                <w:szCs w:val="22"/>
                <w:lang w:eastAsia="en-CA"/>
              </w:rPr>
            </w:pPr>
            <w:r w:rsidRPr="00EE0850">
              <w:rPr>
                <w:szCs w:val="22"/>
                <w:lang w:eastAsia="en-CA"/>
              </w:rPr>
              <w:t>0.013</w:t>
            </w:r>
          </w:p>
        </w:tc>
        <w:tc>
          <w:tcPr>
            <w:tcW w:w="1597" w:type="dxa"/>
            <w:tcBorders>
              <w:top w:val="nil"/>
              <w:left w:val="nil"/>
              <w:bottom w:val="single" w:sz="4" w:space="0" w:color="auto"/>
              <w:right w:val="single" w:sz="4" w:space="0" w:color="auto"/>
            </w:tcBorders>
            <w:shd w:val="clear" w:color="auto" w:fill="auto"/>
            <w:noWrap/>
            <w:vAlign w:val="center"/>
            <w:hideMark/>
          </w:tcPr>
          <w:p w14:paraId="060924B2"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228</w:t>
            </w:r>
          </w:p>
        </w:tc>
        <w:tc>
          <w:tcPr>
            <w:tcW w:w="1597" w:type="dxa"/>
            <w:tcBorders>
              <w:top w:val="nil"/>
              <w:left w:val="nil"/>
              <w:bottom w:val="single" w:sz="4" w:space="0" w:color="auto"/>
              <w:right w:val="single" w:sz="4" w:space="0" w:color="auto"/>
            </w:tcBorders>
            <w:shd w:val="clear" w:color="auto" w:fill="auto"/>
            <w:noWrap/>
            <w:vAlign w:val="center"/>
            <w:hideMark/>
          </w:tcPr>
          <w:p w14:paraId="27D1769D"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242</w:t>
            </w:r>
          </w:p>
        </w:tc>
        <w:tc>
          <w:tcPr>
            <w:tcW w:w="1598" w:type="dxa"/>
            <w:tcBorders>
              <w:top w:val="nil"/>
              <w:left w:val="nil"/>
              <w:bottom w:val="single" w:sz="4" w:space="0" w:color="auto"/>
              <w:right w:val="single" w:sz="4" w:space="0" w:color="auto"/>
            </w:tcBorders>
            <w:shd w:val="clear" w:color="auto" w:fill="auto"/>
            <w:noWrap/>
            <w:vAlign w:val="center"/>
            <w:hideMark/>
          </w:tcPr>
          <w:p w14:paraId="29C0367C" w14:textId="77777777" w:rsidR="00DE347C" w:rsidRPr="00EE0850" w:rsidRDefault="00DE347C" w:rsidP="000C6220">
            <w:pPr>
              <w:spacing w:after="0" w:line="240" w:lineRule="auto"/>
              <w:jc w:val="right"/>
              <w:rPr>
                <w:szCs w:val="22"/>
                <w:lang w:eastAsia="en-CA"/>
              </w:rPr>
            </w:pPr>
            <w:r w:rsidRPr="00EE0850">
              <w:rPr>
                <w:szCs w:val="22"/>
                <w:lang w:eastAsia="en-CA"/>
              </w:rPr>
              <w:t>469</w:t>
            </w:r>
          </w:p>
        </w:tc>
      </w:tr>
      <w:tr w:rsidR="00DE347C" w:rsidRPr="00EE0850" w14:paraId="14C799BA"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682F6FF" w14:textId="77777777" w:rsidR="00DE347C" w:rsidRPr="00EE0850" w:rsidRDefault="00DE347C" w:rsidP="000C6220">
            <w:pPr>
              <w:spacing w:after="0" w:line="240" w:lineRule="auto"/>
              <w:rPr>
                <w:szCs w:val="22"/>
                <w:lang w:eastAsia="en-CA"/>
              </w:rPr>
            </w:pPr>
            <w:r w:rsidRPr="00EE0850">
              <w:rPr>
                <w:szCs w:val="22"/>
                <w:lang w:eastAsia="en-CA"/>
              </w:rPr>
              <w:t>Zimbabwe</w:t>
            </w:r>
          </w:p>
        </w:tc>
        <w:tc>
          <w:tcPr>
            <w:tcW w:w="1597" w:type="dxa"/>
            <w:tcBorders>
              <w:top w:val="nil"/>
              <w:left w:val="nil"/>
              <w:bottom w:val="single" w:sz="4" w:space="0" w:color="auto"/>
              <w:right w:val="single" w:sz="4" w:space="0" w:color="auto"/>
            </w:tcBorders>
            <w:shd w:val="clear" w:color="auto" w:fill="auto"/>
            <w:noWrap/>
            <w:vAlign w:val="center"/>
            <w:hideMark/>
          </w:tcPr>
          <w:p w14:paraId="394A5F44" w14:textId="77777777" w:rsidR="00DE347C" w:rsidRPr="00EE0850" w:rsidRDefault="00DE347C" w:rsidP="000C6220">
            <w:pPr>
              <w:spacing w:after="0" w:line="240" w:lineRule="auto"/>
              <w:jc w:val="right"/>
              <w:rPr>
                <w:szCs w:val="22"/>
                <w:lang w:eastAsia="en-CA"/>
              </w:rPr>
            </w:pPr>
            <w:r w:rsidRPr="00EE0850">
              <w:rPr>
                <w:szCs w:val="22"/>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75358A3E" w14:textId="77777777" w:rsidR="00DE347C" w:rsidRPr="00EE0850" w:rsidRDefault="00DE347C" w:rsidP="000C6220">
            <w:pPr>
              <w:spacing w:after="0" w:line="240" w:lineRule="auto"/>
              <w:jc w:val="right"/>
              <w:rPr>
                <w:szCs w:val="22"/>
                <w:lang w:eastAsia="en-CA"/>
              </w:rPr>
            </w:pPr>
            <w:r w:rsidRPr="00EE0850">
              <w:rPr>
                <w:szCs w:val="22"/>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220564DC"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43FB1AF9" w14:textId="77777777" w:rsidR="00DE347C" w:rsidRPr="00EE0850" w:rsidRDefault="00DE347C" w:rsidP="000C6220">
            <w:pPr>
              <w:spacing w:after="0" w:line="240" w:lineRule="auto"/>
              <w:jc w:val="right"/>
              <w:rPr>
                <w:color w:val="000000"/>
                <w:szCs w:val="22"/>
                <w:lang w:eastAsia="en-CA"/>
              </w:rPr>
            </w:pPr>
            <w:r w:rsidRPr="00EE0850">
              <w:rPr>
                <w:color w:val="000000"/>
                <w:szCs w:val="22"/>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13468E23" w14:textId="77777777" w:rsidR="00DE347C" w:rsidRPr="00EE0850" w:rsidRDefault="00DE347C" w:rsidP="000C6220">
            <w:pPr>
              <w:spacing w:after="0" w:line="240" w:lineRule="auto"/>
              <w:jc w:val="right"/>
              <w:rPr>
                <w:szCs w:val="22"/>
                <w:lang w:eastAsia="en-CA"/>
              </w:rPr>
            </w:pPr>
            <w:r w:rsidRPr="00EE0850">
              <w:rPr>
                <w:szCs w:val="22"/>
                <w:lang w:eastAsia="en-CA"/>
              </w:rPr>
              <w:t>268</w:t>
            </w:r>
          </w:p>
        </w:tc>
      </w:tr>
      <w:tr w:rsidR="00DE347C" w:rsidRPr="00EE0850" w14:paraId="2F29886F" w14:textId="77777777" w:rsidTr="00DE347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8613336" w14:textId="77777777" w:rsidR="00DE347C" w:rsidRPr="00EE0850" w:rsidRDefault="00DE347C" w:rsidP="000C6220">
            <w:pPr>
              <w:spacing w:after="0" w:line="240" w:lineRule="auto"/>
              <w:rPr>
                <w:b/>
                <w:bCs/>
                <w:szCs w:val="22"/>
                <w:lang w:eastAsia="en-CA"/>
              </w:rPr>
            </w:pPr>
            <w:r w:rsidRPr="00EE0850">
              <w:rPr>
                <w:b/>
                <w:bCs/>
                <w:szCs w:val="22"/>
                <w:lang w:eastAsia="en-CA"/>
              </w:rPr>
              <w:t>Total</w:t>
            </w:r>
          </w:p>
        </w:tc>
        <w:tc>
          <w:tcPr>
            <w:tcW w:w="1597" w:type="dxa"/>
            <w:tcBorders>
              <w:top w:val="nil"/>
              <w:left w:val="nil"/>
              <w:bottom w:val="single" w:sz="4" w:space="0" w:color="auto"/>
              <w:right w:val="single" w:sz="4" w:space="0" w:color="auto"/>
            </w:tcBorders>
            <w:shd w:val="clear" w:color="auto" w:fill="auto"/>
            <w:noWrap/>
            <w:vAlign w:val="center"/>
            <w:hideMark/>
          </w:tcPr>
          <w:p w14:paraId="53F672C3" w14:textId="77777777" w:rsidR="00DE347C" w:rsidRPr="00EE0850" w:rsidRDefault="00DE347C" w:rsidP="000C6220">
            <w:pPr>
              <w:spacing w:after="0" w:line="240" w:lineRule="auto"/>
              <w:jc w:val="right"/>
              <w:rPr>
                <w:b/>
                <w:bCs/>
                <w:color w:val="000000"/>
                <w:szCs w:val="22"/>
                <w:lang w:eastAsia="en-CA"/>
              </w:rPr>
            </w:pPr>
            <w:r w:rsidRPr="00EE0850">
              <w:rPr>
                <w:b/>
                <w:bCs/>
                <w:color w:val="000000"/>
                <w:szCs w:val="22"/>
                <w:lang w:eastAsia="en-CA"/>
              </w:rPr>
              <w:t>52.793</w:t>
            </w:r>
          </w:p>
        </w:tc>
        <w:tc>
          <w:tcPr>
            <w:tcW w:w="1597" w:type="dxa"/>
            <w:tcBorders>
              <w:top w:val="nil"/>
              <w:left w:val="nil"/>
              <w:bottom w:val="single" w:sz="4" w:space="0" w:color="auto"/>
              <w:right w:val="single" w:sz="4" w:space="0" w:color="auto"/>
            </w:tcBorders>
            <w:shd w:val="clear" w:color="auto" w:fill="auto"/>
            <w:noWrap/>
            <w:vAlign w:val="center"/>
            <w:hideMark/>
          </w:tcPr>
          <w:p w14:paraId="309D7C01" w14:textId="77777777" w:rsidR="00DE347C" w:rsidRPr="00EE0850" w:rsidRDefault="00DE347C" w:rsidP="000C6220">
            <w:pPr>
              <w:spacing w:after="0" w:line="240" w:lineRule="auto"/>
              <w:jc w:val="right"/>
              <w:rPr>
                <w:b/>
                <w:bCs/>
                <w:color w:val="000000"/>
                <w:szCs w:val="22"/>
                <w:lang w:eastAsia="en-CA"/>
              </w:rPr>
            </w:pPr>
            <w:r w:rsidRPr="00EE0850">
              <w:rPr>
                <w:b/>
                <w:bCs/>
                <w:color w:val="000000"/>
                <w:szCs w:val="22"/>
                <w:lang w:eastAsia="en-CA"/>
              </w:rPr>
              <w:t>100.000</w:t>
            </w:r>
          </w:p>
        </w:tc>
        <w:tc>
          <w:tcPr>
            <w:tcW w:w="1597" w:type="dxa"/>
            <w:tcBorders>
              <w:top w:val="nil"/>
              <w:left w:val="nil"/>
              <w:bottom w:val="single" w:sz="4" w:space="0" w:color="auto"/>
              <w:right w:val="single" w:sz="4" w:space="0" w:color="auto"/>
            </w:tcBorders>
            <w:shd w:val="clear" w:color="auto" w:fill="auto"/>
            <w:noWrap/>
            <w:vAlign w:val="center"/>
            <w:hideMark/>
          </w:tcPr>
          <w:p w14:paraId="24AB120C" w14:textId="77777777" w:rsidR="00DE347C" w:rsidRPr="00EE0850" w:rsidRDefault="00DE347C" w:rsidP="000C6220">
            <w:pPr>
              <w:spacing w:after="0" w:line="240" w:lineRule="auto"/>
              <w:jc w:val="right"/>
              <w:rPr>
                <w:b/>
                <w:bCs/>
                <w:color w:val="000000"/>
                <w:szCs w:val="22"/>
                <w:lang w:eastAsia="en-CA"/>
              </w:rPr>
            </w:pPr>
            <w:r w:rsidRPr="00EE0850">
              <w:rPr>
                <w:b/>
                <w:bCs/>
                <w:color w:val="000000"/>
                <w:szCs w:val="22"/>
                <w:lang w:eastAsia="en-CA"/>
              </w:rPr>
              <w:t>1 760 968</w:t>
            </w:r>
          </w:p>
        </w:tc>
        <w:tc>
          <w:tcPr>
            <w:tcW w:w="1597" w:type="dxa"/>
            <w:tcBorders>
              <w:top w:val="nil"/>
              <w:left w:val="nil"/>
              <w:bottom w:val="single" w:sz="4" w:space="0" w:color="auto"/>
              <w:right w:val="single" w:sz="4" w:space="0" w:color="auto"/>
            </w:tcBorders>
            <w:shd w:val="clear" w:color="auto" w:fill="auto"/>
            <w:noWrap/>
            <w:vAlign w:val="center"/>
            <w:hideMark/>
          </w:tcPr>
          <w:p w14:paraId="51E02E79" w14:textId="77777777" w:rsidR="00DE347C" w:rsidRPr="00EE0850" w:rsidRDefault="00DE347C" w:rsidP="000C6220">
            <w:pPr>
              <w:spacing w:after="0" w:line="240" w:lineRule="auto"/>
              <w:jc w:val="right"/>
              <w:rPr>
                <w:b/>
                <w:bCs/>
                <w:color w:val="000000"/>
                <w:szCs w:val="22"/>
                <w:lang w:eastAsia="en-CA"/>
              </w:rPr>
            </w:pPr>
            <w:r w:rsidRPr="00EE0850">
              <w:rPr>
                <w:b/>
                <w:bCs/>
                <w:color w:val="000000"/>
                <w:szCs w:val="22"/>
                <w:lang w:eastAsia="en-CA"/>
              </w:rPr>
              <w:t>1 867 338</w:t>
            </w:r>
          </w:p>
        </w:tc>
        <w:tc>
          <w:tcPr>
            <w:tcW w:w="1598" w:type="dxa"/>
            <w:tcBorders>
              <w:top w:val="nil"/>
              <w:left w:val="nil"/>
              <w:bottom w:val="single" w:sz="4" w:space="0" w:color="auto"/>
              <w:right w:val="single" w:sz="4" w:space="0" w:color="auto"/>
            </w:tcBorders>
            <w:shd w:val="clear" w:color="auto" w:fill="auto"/>
            <w:noWrap/>
            <w:vAlign w:val="center"/>
            <w:hideMark/>
          </w:tcPr>
          <w:p w14:paraId="2063C92D" w14:textId="77777777" w:rsidR="00DE347C" w:rsidRPr="00EE0850" w:rsidRDefault="00DE347C" w:rsidP="000C6220">
            <w:pPr>
              <w:spacing w:after="0" w:line="240" w:lineRule="auto"/>
              <w:jc w:val="right"/>
              <w:rPr>
                <w:b/>
                <w:bCs/>
                <w:color w:val="000000"/>
                <w:szCs w:val="22"/>
                <w:lang w:eastAsia="en-CA"/>
              </w:rPr>
            </w:pPr>
            <w:r w:rsidRPr="00EE0850">
              <w:rPr>
                <w:b/>
                <w:bCs/>
                <w:color w:val="000000"/>
                <w:szCs w:val="22"/>
                <w:lang w:eastAsia="en-CA"/>
              </w:rPr>
              <w:t>3 628 306</w:t>
            </w:r>
          </w:p>
        </w:tc>
      </w:tr>
    </w:tbl>
    <w:p w14:paraId="6763CFEE" w14:textId="77777777" w:rsidR="00DE347C" w:rsidRPr="00EE0850" w:rsidRDefault="00DE347C">
      <w:pPr>
        <w:jc w:val="left"/>
        <w:rPr>
          <w:kern w:val="22"/>
        </w:rPr>
      </w:pPr>
    </w:p>
    <w:p w14:paraId="7B2CD3D8" w14:textId="2CBCA98F" w:rsidR="00DE347C" w:rsidRPr="00EE0850" w:rsidRDefault="00DE347C" w:rsidP="00DE347C">
      <w:pPr>
        <w:shd w:val="clear" w:color="auto" w:fill="FFFFFF" w:themeFill="background1"/>
        <w:jc w:val="center"/>
        <w:rPr>
          <w:kern w:val="22"/>
        </w:rPr>
      </w:pPr>
    </w:p>
    <w:p w14:paraId="0948BE83" w14:textId="77777777" w:rsidR="003438E6" w:rsidRPr="00EE0850" w:rsidRDefault="003438E6">
      <w:pPr>
        <w:jc w:val="left"/>
        <w:sectPr w:rsidR="003438E6" w:rsidRPr="00EE0850" w:rsidSect="008635B2">
          <w:headerReference w:type="first" r:id="rId27"/>
          <w:pgSz w:w="15842" w:h="12242" w:orient="landscape" w:code="1"/>
          <w:pgMar w:top="1138" w:right="1138" w:bottom="1138" w:left="1022" w:header="403" w:footer="720" w:gutter="0"/>
          <w:cols w:space="720"/>
          <w:docGrid w:linePitch="299"/>
        </w:sectPr>
      </w:pPr>
    </w:p>
    <w:p w14:paraId="096AD523" w14:textId="5CC1939C" w:rsidR="00682B7B" w:rsidRPr="00EE0850" w:rsidRDefault="00682B7B">
      <w:pPr>
        <w:jc w:val="left"/>
      </w:pPr>
    </w:p>
    <w:p w14:paraId="76422605" w14:textId="77777777" w:rsidR="003438E6" w:rsidRPr="00EE0850" w:rsidRDefault="003438E6" w:rsidP="003A15C6">
      <w:pPr>
        <w:pStyle w:val="Heading1report"/>
        <w:numPr>
          <w:ilvl w:val="0"/>
          <w:numId w:val="0"/>
        </w:numPr>
        <w:sectPr w:rsidR="003438E6" w:rsidRPr="00EE0850" w:rsidSect="000C6220">
          <w:headerReference w:type="even" r:id="rId28"/>
          <w:headerReference w:type="first" r:id="rId29"/>
          <w:pgSz w:w="12242" w:h="15842" w:code="1"/>
          <w:pgMar w:top="1138" w:right="1138" w:bottom="1022" w:left="1138" w:header="403" w:footer="720" w:gutter="0"/>
          <w:cols w:num="3" w:space="720"/>
          <w:docGrid w:linePitch="299"/>
        </w:sectPr>
      </w:pPr>
      <w:bookmarkStart w:id="19" w:name="_Toc256217"/>
    </w:p>
    <w:p w14:paraId="0A011A8C" w14:textId="755F73BA" w:rsidR="00F729B5" w:rsidRPr="00EE0850" w:rsidRDefault="00F729B5" w:rsidP="000C6220">
      <w:pPr>
        <w:pStyle w:val="Heading1report"/>
        <w:numPr>
          <w:ilvl w:val="0"/>
          <w:numId w:val="0"/>
        </w:numPr>
        <w:spacing w:before="120" w:line="240" w:lineRule="auto"/>
        <w:rPr>
          <w:rFonts w:ascii="Times New Roman" w:hAnsi="Times New Roman" w:cs="Times New Roman"/>
        </w:rPr>
      </w:pPr>
      <w:r w:rsidRPr="00EE0850">
        <w:rPr>
          <w:rFonts w:ascii="Times New Roman" w:hAnsi="Times New Roman" w:cs="Times New Roman" w:hint="eastAsia"/>
        </w:rPr>
        <w:t>II.</w:t>
      </w:r>
      <w:r w:rsidRPr="00EE0850">
        <w:rPr>
          <w:rFonts w:ascii="Times New Roman" w:hAnsi="Times New Roman" w:cs="Times New Roman" w:hint="eastAsia"/>
        </w:rPr>
        <w:tab/>
        <w:t>ACCOUNT OF PROCEEDINGS</w:t>
      </w:r>
      <w:bookmarkEnd w:id="19"/>
    </w:p>
    <w:p w14:paraId="078CB12B" w14:textId="2CE17A1F" w:rsidR="006B7FB5" w:rsidRPr="00EE0850" w:rsidRDefault="006B7FB5" w:rsidP="000C6220">
      <w:pPr>
        <w:pStyle w:val="Heading2"/>
        <w:spacing w:before="120" w:line="240" w:lineRule="auto"/>
      </w:pPr>
      <w:r w:rsidRPr="00EE0850">
        <w:t>A.</w:t>
      </w:r>
      <w:r w:rsidRPr="00EE0850">
        <w:tab/>
        <w:t>Background</w:t>
      </w:r>
    </w:p>
    <w:p w14:paraId="3B756D3A" w14:textId="394529D5" w:rsidR="004C648F" w:rsidRPr="00EE0850" w:rsidRDefault="00DA4DAF" w:rsidP="000C6220">
      <w:pPr>
        <w:pStyle w:val="Para1"/>
        <w:tabs>
          <w:tab w:val="clear" w:pos="360"/>
          <w:tab w:val="clear" w:pos="567"/>
          <w:tab w:val="clear" w:pos="2912"/>
        </w:tabs>
        <w:spacing w:line="240" w:lineRule="auto"/>
      </w:pPr>
      <w:bookmarkStart w:id="20" w:name="_Hlk530336722"/>
      <w:r w:rsidRPr="00EE0850">
        <w:t xml:space="preserve">Following an offer of the Government of Egypt, which was welcomed by the Conference of the Parties to the Convention on Biological Diversity in decision </w:t>
      </w:r>
      <w:hyperlink r:id="rId30" w:history="1">
        <w:r w:rsidRPr="00EE0850">
          <w:rPr>
            <w:rStyle w:val="Hyperlink"/>
            <w:color w:val="auto"/>
            <w:sz w:val="22"/>
            <w:u w:val="none"/>
          </w:rPr>
          <w:t>XIII/33</w:t>
        </w:r>
      </w:hyperlink>
      <w:r w:rsidRPr="00EE0850">
        <w:t>,</w:t>
      </w:r>
      <w:bookmarkEnd w:id="20"/>
      <w:r w:rsidRPr="00EE0850">
        <w:t xml:space="preserve"> </w:t>
      </w:r>
      <w:bookmarkStart w:id="21" w:name="_Hlk530373832"/>
      <w:r w:rsidRPr="00EE0850">
        <w:t>and i</w:t>
      </w:r>
      <w:r w:rsidR="004C648F" w:rsidRPr="00EE0850">
        <w:t>n accordance with Article 26</w:t>
      </w:r>
      <w:r w:rsidR="00C05E4A" w:rsidRPr="00EE0850">
        <w:t>,</w:t>
      </w:r>
      <w:r w:rsidR="004C648F" w:rsidRPr="00EE0850">
        <w:t xml:space="preserve"> </w:t>
      </w:r>
      <w:r w:rsidR="00C05E4A" w:rsidRPr="00EE0850">
        <w:t xml:space="preserve">paragraph 6, </w:t>
      </w:r>
      <w:r w:rsidR="004C648F" w:rsidRPr="00EE0850">
        <w:t>of the Nagoya Protocol</w:t>
      </w:r>
      <w:bookmarkEnd w:id="21"/>
      <w:r w:rsidR="004C648F" w:rsidRPr="00EE0850">
        <w:t xml:space="preserve"> on Access to Genetic Resources and the Fair and Equitable Sharing of Benefits Arising from their Utilization to the Convention on Biological Diversity, the third meeting of the Conference of the Parties serving as the meeting of the Parties to the Nagoya Protocol was held </w:t>
      </w:r>
      <w:r w:rsidR="004A6ECD" w:rsidRPr="00EE0850">
        <w:t>in Sharm El-Sheikh, Egypt, from 17 to 29</w:t>
      </w:r>
      <w:r w:rsidR="004635DF" w:rsidRPr="00EE0850">
        <w:t> </w:t>
      </w:r>
      <w:r w:rsidR="004A6ECD" w:rsidRPr="00EE0850">
        <w:t xml:space="preserve">November 2018, </w:t>
      </w:r>
      <w:r w:rsidR="004C648F" w:rsidRPr="00EE0850">
        <w:t>concurrently with the fourteenth meeting of the Conference of the Parties.</w:t>
      </w:r>
    </w:p>
    <w:p w14:paraId="22EC232A" w14:textId="2D62A606" w:rsidR="00DA4DAF" w:rsidRPr="00EE0850" w:rsidRDefault="00DA4DAF" w:rsidP="000C6220">
      <w:pPr>
        <w:pStyle w:val="Heading2"/>
        <w:spacing w:before="120" w:line="240" w:lineRule="auto"/>
      </w:pPr>
      <w:r w:rsidRPr="00EE0850">
        <w:t>B.</w:t>
      </w:r>
      <w:r w:rsidRPr="00EE0850">
        <w:tab/>
        <w:t>Attendance</w:t>
      </w:r>
    </w:p>
    <w:p w14:paraId="45BC7FE2" w14:textId="77777777" w:rsidR="003438E6" w:rsidRPr="00EE0850" w:rsidRDefault="00DA4DAF" w:rsidP="000C6220">
      <w:pPr>
        <w:pStyle w:val="Para1"/>
        <w:tabs>
          <w:tab w:val="clear" w:pos="360"/>
          <w:tab w:val="clear" w:pos="567"/>
          <w:tab w:val="clear" w:pos="2912"/>
        </w:tabs>
        <w:spacing w:line="240" w:lineRule="auto"/>
      </w:pPr>
      <w:r w:rsidRPr="00EE0850">
        <w:t>All States were invited to participate in the meeting. The following Parties to the Nagoya Protocol attended:</w:t>
      </w:r>
    </w:p>
    <w:p w14:paraId="0111C405" w14:textId="77777777" w:rsidR="001D4A8D" w:rsidRPr="00EE0850" w:rsidRDefault="001D4A8D" w:rsidP="000C6220">
      <w:pPr>
        <w:pStyle w:val="Para1"/>
        <w:numPr>
          <w:ilvl w:val="0"/>
          <w:numId w:val="0"/>
        </w:numPr>
        <w:tabs>
          <w:tab w:val="clear" w:pos="567"/>
          <w:tab w:val="clear" w:pos="2912"/>
        </w:tabs>
        <w:spacing w:line="240" w:lineRule="auto"/>
        <w:sectPr w:rsidR="001D4A8D" w:rsidRPr="00EE0850" w:rsidSect="000C6220">
          <w:type w:val="continuous"/>
          <w:pgSz w:w="12242" w:h="15842" w:code="1"/>
          <w:pgMar w:top="1138" w:right="1138" w:bottom="1022" w:left="1138" w:header="403" w:footer="720" w:gutter="0"/>
          <w:cols w:space="720"/>
          <w:titlePg/>
          <w:docGrid w:linePitch="299"/>
        </w:sectPr>
      </w:pPr>
    </w:p>
    <w:p w14:paraId="72B7C351" w14:textId="6A660816" w:rsidR="00AA2E04" w:rsidRPr="00EE0850" w:rsidRDefault="00AA2E04" w:rsidP="000C6220">
      <w:pPr>
        <w:pStyle w:val="Para1"/>
        <w:numPr>
          <w:ilvl w:val="0"/>
          <w:numId w:val="0"/>
        </w:numPr>
        <w:spacing w:line="240" w:lineRule="auto"/>
        <w:rPr>
          <w:szCs w:val="22"/>
        </w:rPr>
      </w:pPr>
      <w:r w:rsidRPr="00EE0850">
        <w:rPr>
          <w:szCs w:val="22"/>
        </w:rPr>
        <w:t>Afghanistan</w:t>
      </w:r>
    </w:p>
    <w:p w14:paraId="0ECCEE58" w14:textId="77777777" w:rsidR="00AA2E04" w:rsidRPr="00EE0850" w:rsidRDefault="00AA2E04" w:rsidP="000C6220">
      <w:pPr>
        <w:pStyle w:val="Para1"/>
        <w:numPr>
          <w:ilvl w:val="0"/>
          <w:numId w:val="0"/>
        </w:numPr>
        <w:spacing w:before="0" w:after="0" w:line="240" w:lineRule="auto"/>
        <w:rPr>
          <w:szCs w:val="22"/>
        </w:rPr>
      </w:pPr>
      <w:r w:rsidRPr="00EE0850">
        <w:rPr>
          <w:szCs w:val="22"/>
        </w:rPr>
        <w:t>Albania</w:t>
      </w:r>
    </w:p>
    <w:p w14:paraId="089BEE0B" w14:textId="77777777" w:rsidR="00AA2E04" w:rsidRPr="00EE0850" w:rsidRDefault="00AA2E04" w:rsidP="000C6220">
      <w:pPr>
        <w:pStyle w:val="Para1"/>
        <w:numPr>
          <w:ilvl w:val="0"/>
          <w:numId w:val="0"/>
        </w:numPr>
        <w:spacing w:before="0" w:after="0" w:line="240" w:lineRule="auto"/>
        <w:ind w:left="284" w:hanging="284"/>
        <w:jc w:val="left"/>
        <w:rPr>
          <w:kern w:val="22"/>
          <w:szCs w:val="22"/>
        </w:rPr>
      </w:pPr>
      <w:r w:rsidRPr="00EE0850">
        <w:rPr>
          <w:kern w:val="22"/>
          <w:szCs w:val="22"/>
        </w:rPr>
        <w:t>Angola</w:t>
      </w:r>
    </w:p>
    <w:p w14:paraId="066F36DB" w14:textId="77777777" w:rsidR="00AA2E04" w:rsidRPr="00EE0850" w:rsidRDefault="00AA2E04" w:rsidP="000C6220">
      <w:pPr>
        <w:pStyle w:val="Para1"/>
        <w:numPr>
          <w:ilvl w:val="0"/>
          <w:numId w:val="0"/>
        </w:numPr>
        <w:spacing w:before="0" w:after="0" w:line="240" w:lineRule="auto"/>
        <w:ind w:left="284" w:hanging="284"/>
        <w:jc w:val="left"/>
        <w:rPr>
          <w:kern w:val="22"/>
          <w:szCs w:val="22"/>
        </w:rPr>
      </w:pPr>
      <w:r w:rsidRPr="00EE0850">
        <w:rPr>
          <w:kern w:val="22"/>
          <w:szCs w:val="22"/>
        </w:rPr>
        <w:t>Antigua and Barbuda</w:t>
      </w:r>
    </w:p>
    <w:p w14:paraId="382A33AA" w14:textId="739826EE" w:rsidR="00A808D0" w:rsidRPr="00EE0850" w:rsidRDefault="00AA2E04" w:rsidP="000C6220">
      <w:pPr>
        <w:pStyle w:val="Para1"/>
        <w:numPr>
          <w:ilvl w:val="0"/>
          <w:numId w:val="0"/>
        </w:numPr>
        <w:spacing w:before="0" w:after="0" w:line="240" w:lineRule="auto"/>
        <w:ind w:left="284" w:hanging="284"/>
        <w:jc w:val="left"/>
        <w:rPr>
          <w:kern w:val="22"/>
          <w:szCs w:val="22"/>
        </w:rPr>
      </w:pPr>
      <w:r w:rsidRPr="00EE0850">
        <w:rPr>
          <w:kern w:val="22"/>
          <w:szCs w:val="22"/>
        </w:rPr>
        <w:t>Argentina</w:t>
      </w:r>
    </w:p>
    <w:p w14:paraId="2F1A5B38" w14:textId="7BFCE3D9" w:rsidR="00AA2E04" w:rsidRPr="00EE0850" w:rsidRDefault="00AA2E04" w:rsidP="000C6220">
      <w:pPr>
        <w:pStyle w:val="Para1"/>
        <w:numPr>
          <w:ilvl w:val="0"/>
          <w:numId w:val="0"/>
        </w:numPr>
        <w:spacing w:before="0" w:after="0" w:line="240" w:lineRule="auto"/>
        <w:ind w:left="284" w:hanging="284"/>
        <w:jc w:val="left"/>
        <w:rPr>
          <w:kern w:val="22"/>
          <w:szCs w:val="22"/>
        </w:rPr>
      </w:pPr>
      <w:r w:rsidRPr="00EE0850">
        <w:rPr>
          <w:kern w:val="22"/>
          <w:szCs w:val="22"/>
        </w:rPr>
        <w:t>Austria</w:t>
      </w:r>
    </w:p>
    <w:p w14:paraId="532BB2BE" w14:textId="77777777" w:rsidR="00AA2E04" w:rsidRPr="00EE0850" w:rsidRDefault="00AA2E04"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Belarus</w:t>
      </w:r>
    </w:p>
    <w:p w14:paraId="4E74F7C5" w14:textId="77777777" w:rsidR="00AA2E04" w:rsidRPr="00EE0850" w:rsidRDefault="00AA2E04"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Belgium</w:t>
      </w:r>
    </w:p>
    <w:p w14:paraId="21EECF73" w14:textId="77777777" w:rsidR="00AA2E04" w:rsidRPr="00EE0850" w:rsidRDefault="00AA2E04"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Benin</w:t>
      </w:r>
    </w:p>
    <w:p w14:paraId="6199386E" w14:textId="77777777" w:rsidR="00AA2E04" w:rsidRPr="00EE0850" w:rsidRDefault="00AA2E04"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Bhutan</w:t>
      </w:r>
    </w:p>
    <w:p w14:paraId="4E16C301" w14:textId="77777777" w:rsidR="00AA2E04" w:rsidRPr="00EE0850" w:rsidRDefault="00AA2E04"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Bolivia (</w:t>
      </w:r>
      <w:proofErr w:type="spellStart"/>
      <w:r w:rsidRPr="00EE0850">
        <w:rPr>
          <w:rFonts w:eastAsia="Times New Roman"/>
          <w:snapToGrid w:val="0"/>
          <w:kern w:val="22"/>
          <w:szCs w:val="22"/>
        </w:rPr>
        <w:t>Plurinational</w:t>
      </w:r>
      <w:proofErr w:type="spellEnd"/>
      <w:r w:rsidRPr="00EE0850">
        <w:rPr>
          <w:rFonts w:eastAsia="Times New Roman"/>
          <w:snapToGrid w:val="0"/>
          <w:kern w:val="22"/>
          <w:szCs w:val="22"/>
        </w:rPr>
        <w:t xml:space="preserve"> State of)</w:t>
      </w:r>
    </w:p>
    <w:p w14:paraId="2FBDE329" w14:textId="759B1494" w:rsidR="00AA2E04" w:rsidRPr="00EE0850" w:rsidRDefault="00AA2E04" w:rsidP="000C6220">
      <w:pPr>
        <w:pStyle w:val="Para1"/>
        <w:numPr>
          <w:ilvl w:val="0"/>
          <w:numId w:val="0"/>
        </w:numPr>
        <w:spacing w:before="0" w:after="0" w:line="240" w:lineRule="auto"/>
        <w:ind w:left="284" w:hanging="284"/>
        <w:jc w:val="left"/>
        <w:rPr>
          <w:kern w:val="22"/>
          <w:szCs w:val="22"/>
        </w:rPr>
      </w:pPr>
      <w:r w:rsidRPr="00EE0850">
        <w:rPr>
          <w:kern w:val="22"/>
          <w:szCs w:val="22"/>
        </w:rPr>
        <w:t>Botswana</w:t>
      </w:r>
    </w:p>
    <w:p w14:paraId="750E4E81"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Bulgaria</w:t>
      </w:r>
    </w:p>
    <w:p w14:paraId="40E69CD4"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Burkina Faso</w:t>
      </w:r>
    </w:p>
    <w:p w14:paraId="59716108" w14:textId="6298DD90" w:rsidR="00AA2E04" w:rsidRPr="00EE0850" w:rsidRDefault="00A44021" w:rsidP="000C6220">
      <w:pPr>
        <w:pStyle w:val="Para1"/>
        <w:numPr>
          <w:ilvl w:val="0"/>
          <w:numId w:val="0"/>
        </w:numPr>
        <w:spacing w:before="0" w:after="0" w:line="240" w:lineRule="auto"/>
        <w:ind w:left="284" w:hanging="284"/>
        <w:jc w:val="left"/>
        <w:rPr>
          <w:rFonts w:eastAsia="Times New Roman"/>
          <w:kern w:val="22"/>
          <w:szCs w:val="22"/>
        </w:rPr>
      </w:pPr>
      <w:r w:rsidRPr="00EE0850">
        <w:rPr>
          <w:rFonts w:eastAsia="Times New Roman"/>
          <w:kern w:val="22"/>
          <w:szCs w:val="22"/>
        </w:rPr>
        <w:t>Burundi</w:t>
      </w:r>
    </w:p>
    <w:p w14:paraId="07663E89"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Cambodia</w:t>
      </w:r>
    </w:p>
    <w:p w14:paraId="7879D10D"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Cameroon</w:t>
      </w:r>
    </w:p>
    <w:p w14:paraId="425D348F"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Central African Republic</w:t>
      </w:r>
    </w:p>
    <w:p w14:paraId="0CB638C1"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Chad</w:t>
      </w:r>
    </w:p>
    <w:p w14:paraId="1D78D174" w14:textId="320219A0"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China</w:t>
      </w:r>
    </w:p>
    <w:p w14:paraId="4E30E0DB"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Comoros</w:t>
      </w:r>
    </w:p>
    <w:p w14:paraId="442F1776"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Congo</w:t>
      </w:r>
    </w:p>
    <w:p w14:paraId="2C10953D"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Croatia</w:t>
      </w:r>
    </w:p>
    <w:p w14:paraId="133A1975"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Cuba</w:t>
      </w:r>
    </w:p>
    <w:p w14:paraId="3778A799" w14:textId="67512A90"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Czech</w:t>
      </w:r>
      <w:r w:rsidR="005A59F9" w:rsidRPr="00EE0850">
        <w:rPr>
          <w:kern w:val="22"/>
          <w:szCs w:val="22"/>
        </w:rPr>
        <w:t>ia</w:t>
      </w:r>
    </w:p>
    <w:p w14:paraId="159DDF87" w14:textId="2FDAD47E"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Côte d</w:t>
      </w:r>
      <w:r w:rsidR="007B2AEA" w:rsidRPr="00EE0850">
        <w:rPr>
          <w:kern w:val="22"/>
          <w:szCs w:val="22"/>
        </w:rPr>
        <w:t>’</w:t>
      </w:r>
      <w:r w:rsidRPr="00EE0850">
        <w:rPr>
          <w:kern w:val="22"/>
          <w:szCs w:val="22"/>
        </w:rPr>
        <w:t>Ivoire</w:t>
      </w:r>
    </w:p>
    <w:p w14:paraId="64F16E66"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Democratic Republic of the Congo</w:t>
      </w:r>
    </w:p>
    <w:p w14:paraId="1D2521B3"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Denmark</w:t>
      </w:r>
    </w:p>
    <w:p w14:paraId="348A9BB5"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Djibouti</w:t>
      </w:r>
    </w:p>
    <w:p w14:paraId="448433C3"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Dominican Republic</w:t>
      </w:r>
    </w:p>
    <w:p w14:paraId="1EC2A4D8"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Ecuador</w:t>
      </w:r>
    </w:p>
    <w:p w14:paraId="2C3AC69D"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Egypt</w:t>
      </w:r>
    </w:p>
    <w:p w14:paraId="1226FB07"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proofErr w:type="spellStart"/>
      <w:r w:rsidRPr="00EE0850">
        <w:rPr>
          <w:rFonts w:eastAsia="Times New Roman"/>
          <w:snapToGrid w:val="0"/>
          <w:kern w:val="22"/>
          <w:szCs w:val="22"/>
        </w:rPr>
        <w:t>Eswatini</w:t>
      </w:r>
      <w:proofErr w:type="spellEnd"/>
    </w:p>
    <w:p w14:paraId="7C7900D9"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Ethiopia</w:t>
      </w:r>
    </w:p>
    <w:p w14:paraId="492285B5"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European Union</w:t>
      </w:r>
    </w:p>
    <w:p w14:paraId="4C705AC7"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Fiji</w:t>
      </w:r>
    </w:p>
    <w:p w14:paraId="0D575EF6"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Finland</w:t>
      </w:r>
    </w:p>
    <w:p w14:paraId="6BE2AE99"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France</w:t>
      </w:r>
    </w:p>
    <w:p w14:paraId="72511C5D"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Gabon</w:t>
      </w:r>
    </w:p>
    <w:p w14:paraId="2CBA147F" w14:textId="7916BB1D"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Gambia</w:t>
      </w:r>
    </w:p>
    <w:p w14:paraId="4CB083D1" w14:textId="2DAB854F"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Germany</w:t>
      </w:r>
    </w:p>
    <w:p w14:paraId="40AE4E50"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Guatemala</w:t>
      </w:r>
    </w:p>
    <w:p w14:paraId="79FF36CA"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Guinea</w:t>
      </w:r>
    </w:p>
    <w:p w14:paraId="4EE5DA85"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Guinea-Bissau</w:t>
      </w:r>
    </w:p>
    <w:p w14:paraId="2825E24C" w14:textId="1D01AE9F"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Guyana</w:t>
      </w:r>
    </w:p>
    <w:p w14:paraId="10C7E754"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Honduras</w:t>
      </w:r>
    </w:p>
    <w:p w14:paraId="60023211"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Hungary</w:t>
      </w:r>
    </w:p>
    <w:p w14:paraId="59615ACD"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India</w:t>
      </w:r>
    </w:p>
    <w:p w14:paraId="06E54F08" w14:textId="7777777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Indonesia</w:t>
      </w:r>
    </w:p>
    <w:p w14:paraId="067F7D58"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Japan</w:t>
      </w:r>
    </w:p>
    <w:p w14:paraId="63F84F97"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Jordan</w:t>
      </w:r>
    </w:p>
    <w:p w14:paraId="48123DA7"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Kenya</w:t>
      </w:r>
    </w:p>
    <w:p w14:paraId="7F109FEE"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Kuwait</w:t>
      </w:r>
    </w:p>
    <w:p w14:paraId="3BD46A5E"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Kyrgyzstan</w:t>
      </w:r>
    </w:p>
    <w:p w14:paraId="5F016A31"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Lao People's Democratic Republic</w:t>
      </w:r>
    </w:p>
    <w:p w14:paraId="7397A9E3"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Lebanon</w:t>
      </w:r>
    </w:p>
    <w:p w14:paraId="1C5D5A29"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Lesotho</w:t>
      </w:r>
    </w:p>
    <w:p w14:paraId="44589190"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Liberia</w:t>
      </w:r>
    </w:p>
    <w:p w14:paraId="6BFA42AD"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Luxembourg</w:t>
      </w:r>
    </w:p>
    <w:p w14:paraId="7ADCE9F8"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Madagascar</w:t>
      </w:r>
    </w:p>
    <w:p w14:paraId="0808CA81"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Malawi</w:t>
      </w:r>
    </w:p>
    <w:p w14:paraId="63BF7D15"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Mali</w:t>
      </w:r>
    </w:p>
    <w:p w14:paraId="442E7428"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Malta</w:t>
      </w:r>
    </w:p>
    <w:p w14:paraId="452B0117"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Marshall Islands</w:t>
      </w:r>
    </w:p>
    <w:p w14:paraId="1DD5B20A"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Mauritania</w:t>
      </w:r>
    </w:p>
    <w:p w14:paraId="2A1BE594"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Mauritius</w:t>
      </w:r>
    </w:p>
    <w:p w14:paraId="0B431E3C"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Mexico</w:t>
      </w:r>
    </w:p>
    <w:p w14:paraId="6494C8C6" w14:textId="28EB9181"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rFonts w:eastAsia="Times New Roman"/>
          <w:kern w:val="22"/>
          <w:szCs w:val="22"/>
        </w:rPr>
        <w:t>Micronesia (Federated States of)</w:t>
      </w:r>
    </w:p>
    <w:p w14:paraId="136328E3"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proofErr w:type="spellStart"/>
      <w:r w:rsidRPr="00AF123C">
        <w:rPr>
          <w:rFonts w:eastAsia="Times New Roman"/>
          <w:snapToGrid w:val="0"/>
          <w:kern w:val="22"/>
          <w:szCs w:val="22"/>
          <w:lang w:val="fr-FR"/>
        </w:rPr>
        <w:t>Mongolia</w:t>
      </w:r>
      <w:proofErr w:type="spellEnd"/>
    </w:p>
    <w:p w14:paraId="1B5D2490"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Mozambique</w:t>
      </w:r>
    </w:p>
    <w:p w14:paraId="5F5071F7"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Myanmar</w:t>
      </w:r>
    </w:p>
    <w:p w14:paraId="2C30FFC7"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Namibia</w:t>
      </w:r>
    </w:p>
    <w:p w14:paraId="6A2F9290"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proofErr w:type="spellStart"/>
      <w:r w:rsidRPr="00AF123C">
        <w:rPr>
          <w:rFonts w:eastAsia="Times New Roman"/>
          <w:snapToGrid w:val="0"/>
          <w:kern w:val="22"/>
          <w:szCs w:val="22"/>
          <w:lang w:val="fr-FR"/>
        </w:rPr>
        <w:t>Netherlands</w:t>
      </w:r>
      <w:proofErr w:type="spellEnd"/>
    </w:p>
    <w:p w14:paraId="0B778C92" w14:textId="37AAB9A0" w:rsidR="00A44021" w:rsidRPr="00AF123C" w:rsidRDefault="00A44021" w:rsidP="000C6220">
      <w:pPr>
        <w:pStyle w:val="Para1"/>
        <w:numPr>
          <w:ilvl w:val="0"/>
          <w:numId w:val="0"/>
        </w:numPr>
        <w:spacing w:before="0" w:after="0" w:line="240" w:lineRule="auto"/>
        <w:ind w:left="284" w:hanging="284"/>
        <w:jc w:val="left"/>
        <w:rPr>
          <w:kern w:val="22"/>
          <w:szCs w:val="22"/>
          <w:lang w:val="fr-FR"/>
        </w:rPr>
      </w:pPr>
      <w:r w:rsidRPr="00AF123C">
        <w:rPr>
          <w:kern w:val="22"/>
          <w:szCs w:val="22"/>
          <w:lang w:val="fr-FR"/>
        </w:rPr>
        <w:t>Niger</w:t>
      </w:r>
    </w:p>
    <w:p w14:paraId="2B9FFB54" w14:textId="366CF8F1" w:rsidR="00A44021" w:rsidRPr="00AF123C" w:rsidRDefault="00A44021" w:rsidP="000C6220">
      <w:pPr>
        <w:pStyle w:val="Para1"/>
        <w:numPr>
          <w:ilvl w:val="0"/>
          <w:numId w:val="0"/>
        </w:numPr>
        <w:spacing w:before="0" w:after="0" w:line="240" w:lineRule="auto"/>
        <w:ind w:left="284" w:hanging="284"/>
        <w:jc w:val="left"/>
        <w:rPr>
          <w:kern w:val="22"/>
          <w:szCs w:val="22"/>
          <w:lang w:val="fr-FR"/>
        </w:rPr>
      </w:pPr>
      <w:proofErr w:type="spellStart"/>
      <w:r w:rsidRPr="00AF123C">
        <w:rPr>
          <w:kern w:val="22"/>
          <w:szCs w:val="22"/>
          <w:lang w:val="fr-FR"/>
        </w:rPr>
        <w:t>Norway</w:t>
      </w:r>
      <w:proofErr w:type="spellEnd"/>
    </w:p>
    <w:p w14:paraId="3BA2C61E"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Palau</w:t>
      </w:r>
    </w:p>
    <w:p w14:paraId="6E9748D5"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Panama</w:t>
      </w:r>
    </w:p>
    <w:p w14:paraId="348ACAB6"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proofErr w:type="spellStart"/>
      <w:r w:rsidRPr="00AF123C">
        <w:rPr>
          <w:rFonts w:eastAsia="Times New Roman"/>
          <w:snapToGrid w:val="0"/>
          <w:kern w:val="22"/>
          <w:szCs w:val="22"/>
          <w:lang w:val="fr-FR"/>
        </w:rPr>
        <w:t>Peru</w:t>
      </w:r>
      <w:proofErr w:type="spellEnd"/>
    </w:p>
    <w:p w14:paraId="4B8F7C1D"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Philippines</w:t>
      </w:r>
    </w:p>
    <w:p w14:paraId="2F04CE1F" w14:textId="77777777" w:rsidR="00A44021" w:rsidRPr="00AF123C" w:rsidRDefault="00A44021" w:rsidP="000C6220">
      <w:pPr>
        <w:tabs>
          <w:tab w:val="left" w:pos="567"/>
        </w:tabs>
        <w:spacing w:after="0" w:line="240" w:lineRule="auto"/>
        <w:ind w:left="284" w:hanging="284"/>
        <w:jc w:val="left"/>
        <w:rPr>
          <w:rFonts w:eastAsia="Times New Roman"/>
          <w:snapToGrid w:val="0"/>
          <w:kern w:val="22"/>
          <w:szCs w:val="22"/>
          <w:lang w:val="fr-FR"/>
        </w:rPr>
      </w:pPr>
      <w:r w:rsidRPr="00AF123C">
        <w:rPr>
          <w:rFonts w:eastAsia="Times New Roman"/>
          <w:snapToGrid w:val="0"/>
          <w:kern w:val="22"/>
          <w:szCs w:val="22"/>
          <w:lang w:val="fr-FR"/>
        </w:rPr>
        <w:t>Portugal</w:t>
      </w:r>
    </w:p>
    <w:p w14:paraId="66643D1F"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Qatar</w:t>
      </w:r>
    </w:p>
    <w:p w14:paraId="2E89C181"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Republic of Korea</w:t>
      </w:r>
    </w:p>
    <w:p w14:paraId="75D13346"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Republic of Moldova</w:t>
      </w:r>
    </w:p>
    <w:p w14:paraId="6DAE08D8"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Rwanda</w:t>
      </w:r>
    </w:p>
    <w:p w14:paraId="081F50E9"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Samoa</w:t>
      </w:r>
    </w:p>
    <w:p w14:paraId="346FB491"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Sao Tome and Principe</w:t>
      </w:r>
    </w:p>
    <w:p w14:paraId="0D970A4C" w14:textId="2F93CBA5"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Senegal</w:t>
      </w:r>
    </w:p>
    <w:p w14:paraId="1C308068"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Seychelles</w:t>
      </w:r>
    </w:p>
    <w:p w14:paraId="0BBADC98"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Sierra Leone</w:t>
      </w:r>
    </w:p>
    <w:p w14:paraId="53F848BD" w14:textId="4A5D8E34"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Slovakia</w:t>
      </w:r>
    </w:p>
    <w:p w14:paraId="4D2A6AFC"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South Africa</w:t>
      </w:r>
    </w:p>
    <w:p w14:paraId="022538C9" w14:textId="1CBD5ED1"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Spain</w:t>
      </w:r>
    </w:p>
    <w:p w14:paraId="27EB49F9" w14:textId="2E806D57"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Sudan</w:t>
      </w:r>
    </w:p>
    <w:p w14:paraId="3EB7E7AF"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Sweden</w:t>
      </w:r>
    </w:p>
    <w:p w14:paraId="303FF785"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Switzerland</w:t>
      </w:r>
    </w:p>
    <w:p w14:paraId="21078614"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Syrian Arab Republic</w:t>
      </w:r>
    </w:p>
    <w:p w14:paraId="0FEF6931" w14:textId="40213104" w:rsidR="00A44021" w:rsidRPr="00EE0850" w:rsidRDefault="00A44021" w:rsidP="000C6220">
      <w:pPr>
        <w:pStyle w:val="Para1"/>
        <w:numPr>
          <w:ilvl w:val="0"/>
          <w:numId w:val="0"/>
        </w:numPr>
        <w:spacing w:before="0" w:after="0" w:line="240" w:lineRule="auto"/>
        <w:ind w:left="284" w:hanging="284"/>
        <w:jc w:val="left"/>
        <w:rPr>
          <w:rFonts w:eastAsia="Times New Roman"/>
          <w:kern w:val="22"/>
          <w:szCs w:val="22"/>
        </w:rPr>
      </w:pPr>
      <w:r w:rsidRPr="00EE0850">
        <w:rPr>
          <w:rFonts w:eastAsia="Times New Roman"/>
          <w:kern w:val="22"/>
          <w:szCs w:val="22"/>
        </w:rPr>
        <w:t>Tajikistan</w:t>
      </w:r>
    </w:p>
    <w:p w14:paraId="5462434A" w14:textId="4C6A9FB0"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Togo</w:t>
      </w:r>
    </w:p>
    <w:p w14:paraId="317D02B2" w14:textId="01153464" w:rsidR="00A44021" w:rsidRPr="00EE0850" w:rsidRDefault="00A44021" w:rsidP="000C6220">
      <w:pPr>
        <w:pStyle w:val="Para1"/>
        <w:numPr>
          <w:ilvl w:val="0"/>
          <w:numId w:val="0"/>
        </w:numPr>
        <w:spacing w:before="0" w:after="0" w:line="240" w:lineRule="auto"/>
        <w:ind w:left="284" w:hanging="284"/>
        <w:jc w:val="left"/>
        <w:rPr>
          <w:kern w:val="22"/>
          <w:szCs w:val="22"/>
        </w:rPr>
      </w:pPr>
      <w:r w:rsidRPr="00EE0850">
        <w:rPr>
          <w:kern w:val="22"/>
          <w:szCs w:val="22"/>
        </w:rPr>
        <w:t>Uganda</w:t>
      </w:r>
    </w:p>
    <w:p w14:paraId="31A704EC"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United Arab Emirates</w:t>
      </w:r>
    </w:p>
    <w:p w14:paraId="6F749DDC"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United Kingdom of Great Britain and Northern Ireland</w:t>
      </w:r>
    </w:p>
    <w:p w14:paraId="67D8EFBD"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United Republic of Tanzania</w:t>
      </w:r>
    </w:p>
    <w:p w14:paraId="2587A2B7" w14:textId="1C1DF83D" w:rsidR="00A44021" w:rsidRPr="00EE0850" w:rsidRDefault="00A44021" w:rsidP="000C6220">
      <w:pPr>
        <w:pStyle w:val="Para1"/>
        <w:numPr>
          <w:ilvl w:val="0"/>
          <w:numId w:val="0"/>
        </w:numPr>
        <w:spacing w:before="0" w:after="0" w:line="240" w:lineRule="auto"/>
        <w:ind w:left="284" w:hanging="284"/>
        <w:jc w:val="left"/>
        <w:rPr>
          <w:rFonts w:eastAsia="Times New Roman"/>
          <w:kern w:val="22"/>
          <w:szCs w:val="22"/>
        </w:rPr>
      </w:pPr>
      <w:r w:rsidRPr="00EE0850">
        <w:rPr>
          <w:rFonts w:eastAsia="Times New Roman"/>
          <w:kern w:val="22"/>
          <w:szCs w:val="22"/>
        </w:rPr>
        <w:t>Uruguay</w:t>
      </w:r>
    </w:p>
    <w:p w14:paraId="74264384"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Viet Nam</w:t>
      </w:r>
    </w:p>
    <w:p w14:paraId="50C85194" w14:textId="77777777" w:rsidR="00A44021" w:rsidRPr="00EE0850" w:rsidRDefault="00A44021" w:rsidP="000C6220">
      <w:pPr>
        <w:tabs>
          <w:tab w:val="left" w:pos="567"/>
        </w:tabs>
        <w:spacing w:after="0" w:line="240" w:lineRule="auto"/>
        <w:ind w:left="284" w:hanging="284"/>
        <w:jc w:val="left"/>
        <w:rPr>
          <w:rFonts w:eastAsia="Times New Roman"/>
          <w:snapToGrid w:val="0"/>
          <w:kern w:val="22"/>
          <w:szCs w:val="22"/>
        </w:rPr>
      </w:pPr>
      <w:r w:rsidRPr="00EE0850">
        <w:rPr>
          <w:rFonts w:eastAsia="Times New Roman"/>
          <w:snapToGrid w:val="0"/>
          <w:kern w:val="22"/>
          <w:szCs w:val="22"/>
        </w:rPr>
        <w:t>Zambia</w:t>
      </w:r>
    </w:p>
    <w:p w14:paraId="0030DCEE" w14:textId="77777777" w:rsidR="00544AB3" w:rsidRPr="00EE0850" w:rsidRDefault="00A44021" w:rsidP="000C6220">
      <w:pPr>
        <w:pStyle w:val="Para1"/>
        <w:numPr>
          <w:ilvl w:val="0"/>
          <w:numId w:val="0"/>
        </w:numPr>
        <w:spacing w:before="0" w:after="0" w:line="240" w:lineRule="auto"/>
        <w:ind w:left="284" w:hanging="284"/>
        <w:jc w:val="left"/>
        <w:rPr>
          <w:rFonts w:eastAsia="Times New Roman"/>
          <w:kern w:val="22"/>
          <w:szCs w:val="22"/>
        </w:rPr>
        <w:sectPr w:rsidR="00544AB3" w:rsidRPr="00EE0850" w:rsidSect="000C6220">
          <w:type w:val="continuous"/>
          <w:pgSz w:w="12242" w:h="15842" w:code="1"/>
          <w:pgMar w:top="1138" w:right="1138" w:bottom="1022" w:left="1138" w:header="403" w:footer="720" w:gutter="0"/>
          <w:cols w:num="3" w:space="720"/>
          <w:titlePg/>
          <w:docGrid w:linePitch="299"/>
        </w:sectPr>
      </w:pPr>
      <w:r w:rsidRPr="00EE0850">
        <w:rPr>
          <w:rFonts w:eastAsia="Times New Roman"/>
          <w:kern w:val="22"/>
          <w:szCs w:val="22"/>
        </w:rPr>
        <w:t>Zimbabwe</w:t>
      </w:r>
    </w:p>
    <w:p w14:paraId="70A3107E" w14:textId="78154377" w:rsidR="00A44021" w:rsidRPr="00EE0850" w:rsidRDefault="008E2E46" w:rsidP="000C6220">
      <w:pPr>
        <w:pStyle w:val="Para1"/>
        <w:keepNext/>
        <w:tabs>
          <w:tab w:val="clear" w:pos="360"/>
          <w:tab w:val="clear" w:pos="567"/>
          <w:tab w:val="clear" w:pos="2912"/>
        </w:tabs>
        <w:spacing w:line="240" w:lineRule="auto"/>
      </w:pPr>
      <w:bookmarkStart w:id="22" w:name="_Hlk530317937"/>
      <w:r w:rsidRPr="00EE0850">
        <w:t>The following States not party to the Nagoya Protocol were also represented:</w:t>
      </w:r>
    </w:p>
    <w:p w14:paraId="7E6E85A8" w14:textId="0145DFB0" w:rsidR="001D4A8D" w:rsidRPr="00EE0850" w:rsidRDefault="001D4A8D" w:rsidP="000C6220">
      <w:pPr>
        <w:pStyle w:val="Para1"/>
        <w:numPr>
          <w:ilvl w:val="0"/>
          <w:numId w:val="0"/>
        </w:numPr>
        <w:tabs>
          <w:tab w:val="clear" w:pos="2912"/>
        </w:tabs>
        <w:spacing w:line="240" w:lineRule="auto"/>
        <w:sectPr w:rsidR="001D4A8D" w:rsidRPr="00EE0850" w:rsidSect="00A44021">
          <w:type w:val="continuous"/>
          <w:pgSz w:w="12242" w:h="15842" w:code="1"/>
          <w:pgMar w:top="1138" w:right="1138" w:bottom="1022" w:left="1138" w:header="403" w:footer="720" w:gutter="0"/>
          <w:cols w:space="720"/>
          <w:titlePg/>
          <w:docGrid w:linePitch="299"/>
        </w:sectPr>
      </w:pPr>
    </w:p>
    <w:p w14:paraId="710A6D72"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Algeria</w:t>
      </w:r>
    </w:p>
    <w:p w14:paraId="3815B283"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Andorra</w:t>
      </w:r>
    </w:p>
    <w:p w14:paraId="336E2E6C"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Armenia</w:t>
      </w:r>
    </w:p>
    <w:p w14:paraId="24F7AF1E"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Azerbaijan</w:t>
      </w:r>
    </w:p>
    <w:p w14:paraId="4D05C91F"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Bahrain</w:t>
      </w:r>
    </w:p>
    <w:p w14:paraId="72017F14"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Bangladesh</w:t>
      </w:r>
    </w:p>
    <w:p w14:paraId="3E7513C8"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Belize</w:t>
      </w:r>
    </w:p>
    <w:p w14:paraId="2C84C0B1"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Bosnia and Herzegovina</w:t>
      </w:r>
    </w:p>
    <w:p w14:paraId="7BE10264"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Brazil</w:t>
      </w:r>
    </w:p>
    <w:p w14:paraId="0225AA19"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Cabo Verde</w:t>
      </w:r>
    </w:p>
    <w:p w14:paraId="79FB269E"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Canada</w:t>
      </w:r>
    </w:p>
    <w:p w14:paraId="33057BAE"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Chile</w:t>
      </w:r>
    </w:p>
    <w:p w14:paraId="74668B90"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Colombia</w:t>
      </w:r>
    </w:p>
    <w:p w14:paraId="1D050CD9"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Cook Islands</w:t>
      </w:r>
    </w:p>
    <w:p w14:paraId="65CAAC48"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Costa Rica</w:t>
      </w:r>
    </w:p>
    <w:p w14:paraId="2B4042FD"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Cyprus</w:t>
      </w:r>
    </w:p>
    <w:p w14:paraId="5B56AEE9" w14:textId="62CA16DA"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Democratic People</w:t>
      </w:r>
      <w:r w:rsidR="00E83AE8" w:rsidRPr="00EE0850">
        <w:rPr>
          <w:szCs w:val="22"/>
        </w:rPr>
        <w:t>’</w:t>
      </w:r>
      <w:r w:rsidRPr="00EE0850">
        <w:rPr>
          <w:szCs w:val="22"/>
        </w:rPr>
        <w:t>s Republic of Korea</w:t>
      </w:r>
    </w:p>
    <w:p w14:paraId="27811A08"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El Salvador</w:t>
      </w:r>
    </w:p>
    <w:p w14:paraId="1ED06246"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Equatorial Guinea</w:t>
      </w:r>
    </w:p>
    <w:p w14:paraId="3B56E834"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Eritrea</w:t>
      </w:r>
    </w:p>
    <w:p w14:paraId="1016E564"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Estonia</w:t>
      </w:r>
    </w:p>
    <w:p w14:paraId="596AE047"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Georgia</w:t>
      </w:r>
    </w:p>
    <w:p w14:paraId="742AF169"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Ghana</w:t>
      </w:r>
    </w:p>
    <w:p w14:paraId="2E7C3F62"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Greece</w:t>
      </w:r>
    </w:p>
    <w:p w14:paraId="6F985E5A"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Grenada</w:t>
      </w:r>
    </w:p>
    <w:p w14:paraId="43689509"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Haiti</w:t>
      </w:r>
    </w:p>
    <w:p w14:paraId="1D0EC0A9" w14:textId="77777777" w:rsidR="00677BC0" w:rsidRPr="00EE0850" w:rsidRDefault="00677BC0" w:rsidP="000C6220">
      <w:pPr>
        <w:pStyle w:val="Para1"/>
        <w:widowControl w:val="0"/>
        <w:numPr>
          <w:ilvl w:val="0"/>
          <w:numId w:val="0"/>
        </w:numPr>
        <w:spacing w:before="0" w:after="0" w:line="240" w:lineRule="auto"/>
        <w:ind w:left="284" w:hanging="284"/>
        <w:jc w:val="left"/>
        <w:rPr>
          <w:szCs w:val="22"/>
        </w:rPr>
      </w:pPr>
      <w:r w:rsidRPr="00EE0850">
        <w:rPr>
          <w:szCs w:val="22"/>
        </w:rPr>
        <w:t>Holy See</w:t>
      </w:r>
    </w:p>
    <w:p w14:paraId="1E2A5B4E" w14:textId="6490AB76"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Iceland</w:t>
      </w:r>
    </w:p>
    <w:p w14:paraId="59FD7B6D"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Iran (Islamic Republic of)</w:t>
      </w:r>
    </w:p>
    <w:p w14:paraId="6C74F85C"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Iraq</w:t>
      </w:r>
    </w:p>
    <w:p w14:paraId="5E68D39C"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Ireland</w:t>
      </w:r>
    </w:p>
    <w:p w14:paraId="768B00FA"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Israel</w:t>
      </w:r>
    </w:p>
    <w:p w14:paraId="4DB179F2"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Italy</w:t>
      </w:r>
    </w:p>
    <w:p w14:paraId="2CA00DF6"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Jamaica</w:t>
      </w:r>
    </w:p>
    <w:p w14:paraId="13445011"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Kiribati</w:t>
      </w:r>
    </w:p>
    <w:p w14:paraId="3EC04A68"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Latvia</w:t>
      </w:r>
    </w:p>
    <w:p w14:paraId="71F35464"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Libya</w:t>
      </w:r>
    </w:p>
    <w:p w14:paraId="1EF96DA7"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Liechtenstein</w:t>
      </w:r>
    </w:p>
    <w:p w14:paraId="61F053BE"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Lithuania</w:t>
      </w:r>
    </w:p>
    <w:p w14:paraId="5BC98314"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Malaysia</w:t>
      </w:r>
    </w:p>
    <w:p w14:paraId="5CB6750C"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Maldives</w:t>
      </w:r>
    </w:p>
    <w:p w14:paraId="5EB544F2"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Monaco</w:t>
      </w:r>
    </w:p>
    <w:p w14:paraId="6B22CDDB"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Morocco</w:t>
      </w:r>
    </w:p>
    <w:p w14:paraId="31403183"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Nepal</w:t>
      </w:r>
    </w:p>
    <w:p w14:paraId="06B83840"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New Zealand</w:t>
      </w:r>
    </w:p>
    <w:p w14:paraId="64529191"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Nicaragua</w:t>
      </w:r>
    </w:p>
    <w:p w14:paraId="4EA748DB"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Nigeria</w:t>
      </w:r>
    </w:p>
    <w:p w14:paraId="02A2E9F5"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Oman</w:t>
      </w:r>
    </w:p>
    <w:p w14:paraId="3EF5FACD"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Papua New Guinea</w:t>
      </w:r>
    </w:p>
    <w:p w14:paraId="7DA3570C"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Paraguay</w:t>
      </w:r>
    </w:p>
    <w:p w14:paraId="7E4F70A0"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Poland</w:t>
      </w:r>
    </w:p>
    <w:p w14:paraId="48A0A156"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Romania</w:t>
      </w:r>
    </w:p>
    <w:p w14:paraId="555A39C8"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Russian Federation</w:t>
      </w:r>
    </w:p>
    <w:p w14:paraId="016789D2"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Saint Kitts and Nevis</w:t>
      </w:r>
    </w:p>
    <w:p w14:paraId="7C1F00CC"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Saint Lucia</w:t>
      </w:r>
    </w:p>
    <w:p w14:paraId="4C6E8533"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Saint Vincent and the Grenadines</w:t>
      </w:r>
    </w:p>
    <w:p w14:paraId="46F8DAE8"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Saudi Arabia</w:t>
      </w:r>
    </w:p>
    <w:p w14:paraId="53F2C6E7"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Serbia</w:t>
      </w:r>
    </w:p>
    <w:p w14:paraId="23C576D8"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Singapore</w:t>
      </w:r>
    </w:p>
    <w:p w14:paraId="696CF7A9"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Slovenia</w:t>
      </w:r>
    </w:p>
    <w:p w14:paraId="1465FB45"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Solomon Islands</w:t>
      </w:r>
    </w:p>
    <w:p w14:paraId="2765369F"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Somalia</w:t>
      </w:r>
    </w:p>
    <w:p w14:paraId="70ED4035"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South Sudan</w:t>
      </w:r>
    </w:p>
    <w:p w14:paraId="58C53846"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Sri Lanka</w:t>
      </w:r>
    </w:p>
    <w:p w14:paraId="210CBB8F"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State of Palestine</w:t>
      </w:r>
    </w:p>
    <w:p w14:paraId="00842688"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Suriname</w:t>
      </w:r>
    </w:p>
    <w:p w14:paraId="68C6F11E"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Thailand</w:t>
      </w:r>
    </w:p>
    <w:p w14:paraId="785E2D02"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Tonga</w:t>
      </w:r>
    </w:p>
    <w:p w14:paraId="4FF18CC1"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Trinidad and Tobago</w:t>
      </w:r>
    </w:p>
    <w:p w14:paraId="00B198AA"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Tunisia</w:t>
      </w:r>
    </w:p>
    <w:p w14:paraId="383A6F5A"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Turkey</w:t>
      </w:r>
    </w:p>
    <w:p w14:paraId="34CE8F03"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Turkmenistan</w:t>
      </w:r>
    </w:p>
    <w:p w14:paraId="735137AF"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Tuvalu</w:t>
      </w:r>
    </w:p>
    <w:p w14:paraId="0DD22D5D" w14:textId="1D8750DA"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Ukraine</w:t>
      </w:r>
    </w:p>
    <w:p w14:paraId="6B3582F9" w14:textId="2E108737" w:rsidR="00677BC0" w:rsidRPr="00EE0850" w:rsidRDefault="00677BC0" w:rsidP="000C6220">
      <w:pPr>
        <w:pStyle w:val="Para1"/>
        <w:widowControl w:val="0"/>
        <w:numPr>
          <w:ilvl w:val="0"/>
          <w:numId w:val="0"/>
        </w:numPr>
        <w:spacing w:before="0" w:after="0" w:line="240" w:lineRule="auto"/>
        <w:ind w:left="284" w:hanging="284"/>
        <w:jc w:val="left"/>
        <w:rPr>
          <w:szCs w:val="22"/>
        </w:rPr>
      </w:pPr>
      <w:r w:rsidRPr="00EE0850">
        <w:rPr>
          <w:szCs w:val="22"/>
        </w:rPr>
        <w:t>United States of America</w:t>
      </w:r>
    </w:p>
    <w:p w14:paraId="5322F4C4" w14:textId="77777777" w:rsidR="00A44021" w:rsidRPr="00EE0850" w:rsidRDefault="00A44021" w:rsidP="000C6220">
      <w:pPr>
        <w:pStyle w:val="Para1"/>
        <w:widowControl w:val="0"/>
        <w:numPr>
          <w:ilvl w:val="0"/>
          <w:numId w:val="0"/>
        </w:numPr>
        <w:spacing w:before="0" w:after="0" w:line="240" w:lineRule="auto"/>
        <w:ind w:left="284" w:hanging="284"/>
        <w:jc w:val="left"/>
        <w:rPr>
          <w:szCs w:val="22"/>
        </w:rPr>
      </w:pPr>
      <w:r w:rsidRPr="00EE0850">
        <w:rPr>
          <w:szCs w:val="22"/>
        </w:rPr>
        <w:t>Venezuela (Bolivarian Republic of)</w:t>
      </w:r>
    </w:p>
    <w:p w14:paraId="3D941A74" w14:textId="77777777" w:rsidR="001D4A8D" w:rsidRPr="00EE0850" w:rsidRDefault="00A44021" w:rsidP="000C6220">
      <w:pPr>
        <w:pStyle w:val="Para1"/>
        <w:widowControl w:val="0"/>
        <w:numPr>
          <w:ilvl w:val="0"/>
          <w:numId w:val="0"/>
        </w:numPr>
        <w:spacing w:before="0" w:after="0" w:line="240" w:lineRule="auto"/>
        <w:ind w:left="284" w:hanging="284"/>
        <w:jc w:val="left"/>
        <w:rPr>
          <w:szCs w:val="22"/>
        </w:rPr>
        <w:sectPr w:rsidR="001D4A8D" w:rsidRPr="00EE0850" w:rsidSect="000C6220">
          <w:type w:val="continuous"/>
          <w:pgSz w:w="12242" w:h="15842" w:code="1"/>
          <w:pgMar w:top="1138" w:right="1138" w:bottom="1022" w:left="1138" w:header="403" w:footer="720" w:gutter="0"/>
          <w:cols w:num="3" w:space="720"/>
          <w:titlePg/>
          <w:docGrid w:linePitch="299"/>
        </w:sectPr>
      </w:pPr>
      <w:r w:rsidRPr="00EE0850">
        <w:rPr>
          <w:szCs w:val="22"/>
        </w:rPr>
        <w:t>Yemen</w:t>
      </w:r>
    </w:p>
    <w:bookmarkEnd w:id="22"/>
    <w:p w14:paraId="64E7D51F" w14:textId="6FDA6CF1" w:rsidR="008E2E46" w:rsidRPr="00EE0850" w:rsidRDefault="008E2E46" w:rsidP="000C6220">
      <w:pPr>
        <w:pStyle w:val="Para1"/>
        <w:tabs>
          <w:tab w:val="clear" w:pos="360"/>
          <w:tab w:val="clear" w:pos="567"/>
          <w:tab w:val="clear" w:pos="2912"/>
        </w:tabs>
        <w:spacing w:line="240" w:lineRule="auto"/>
      </w:pPr>
      <w:r w:rsidRPr="00EE0850">
        <w:t>For all other participants, see annex I to the report of the fourteenth meeting of the Conference of the Parties (CBD/COP/14/</w:t>
      </w:r>
      <w:r w:rsidR="003B2173" w:rsidRPr="00EE0850">
        <w:t>14</w:t>
      </w:r>
      <w:r w:rsidRPr="00EE0850">
        <w:t>).</w:t>
      </w:r>
    </w:p>
    <w:p w14:paraId="2CE7F53B" w14:textId="77777777" w:rsidR="00CF77B5" w:rsidRPr="00EE0850" w:rsidRDefault="002863A3" w:rsidP="000C6220">
      <w:pPr>
        <w:pStyle w:val="Heading1-item"/>
        <w:tabs>
          <w:tab w:val="left" w:pos="993"/>
        </w:tabs>
        <w:spacing w:before="120" w:line="240" w:lineRule="auto"/>
        <w:ind w:right="0"/>
        <w:rPr>
          <w:rFonts w:ascii="Times New Roman" w:hAnsi="Times New Roman" w:cs="Times New Roman"/>
          <w:i/>
        </w:rPr>
      </w:pPr>
      <w:bookmarkStart w:id="23" w:name="_Toc256218"/>
      <w:r w:rsidRPr="00EE0850">
        <w:rPr>
          <w:rFonts w:ascii="Times New Roman" w:hAnsi="Times New Roman" w:cs="Times New Roman" w:hint="eastAsia"/>
        </w:rPr>
        <w:t>ITEM 1.</w:t>
      </w:r>
      <w:r w:rsidR="009E384C" w:rsidRPr="00EE0850">
        <w:rPr>
          <w:rFonts w:ascii="Times New Roman" w:hAnsi="Times New Roman" w:cs="Times New Roman" w:hint="eastAsia"/>
        </w:rPr>
        <w:tab/>
      </w:r>
      <w:r w:rsidRPr="00EE0850">
        <w:rPr>
          <w:rFonts w:ascii="Times New Roman" w:hAnsi="Times New Roman" w:cs="Times New Roman" w:hint="eastAsia"/>
        </w:rPr>
        <w:t>OPENING OF THE MEETING</w:t>
      </w:r>
      <w:bookmarkEnd w:id="23"/>
    </w:p>
    <w:p w14:paraId="59B7B2A5" w14:textId="5D2BAA5A" w:rsidR="0073733B" w:rsidRPr="00EE0850" w:rsidRDefault="004C648F" w:rsidP="000C6220">
      <w:pPr>
        <w:pStyle w:val="Para1"/>
        <w:tabs>
          <w:tab w:val="clear" w:pos="360"/>
          <w:tab w:val="clear" w:pos="567"/>
          <w:tab w:val="clear" w:pos="2912"/>
        </w:tabs>
        <w:spacing w:line="240" w:lineRule="auto"/>
      </w:pPr>
      <w:r w:rsidRPr="00EE0850">
        <w:t xml:space="preserve">The third meeting of the Conference of the Parties serving as the meeting of the Parties to the Nagoya Protocol was opened at </w:t>
      </w:r>
      <w:r w:rsidR="0073733B" w:rsidRPr="00EE0850">
        <w:t xml:space="preserve">11 a.m. on 17 November </w:t>
      </w:r>
      <w:r w:rsidR="004A6ECD" w:rsidRPr="00EE0850">
        <w:t xml:space="preserve">2018 </w:t>
      </w:r>
      <w:r w:rsidR="0073733B" w:rsidRPr="00EE0850">
        <w:t xml:space="preserve">by Mr. </w:t>
      </w:r>
      <w:r w:rsidR="0073733B" w:rsidRPr="00EE0850">
        <w:rPr>
          <w:bCs/>
        </w:rPr>
        <w:t>José Octavio</w:t>
      </w:r>
      <w:r w:rsidR="00941D4C" w:rsidRPr="00EE0850">
        <w:t xml:space="preserve"> </w:t>
      </w:r>
      <w:r w:rsidR="0073733B" w:rsidRPr="00EE0850">
        <w:t>Tripp Villanueva, Ambassador of Mexico to Egypt,</w:t>
      </w:r>
      <w:r w:rsidR="0073733B" w:rsidRPr="00EE0850">
        <w:rPr>
          <w:bCs/>
          <w:i/>
        </w:rPr>
        <w:t xml:space="preserve"> </w:t>
      </w:r>
      <w:r w:rsidR="0073733B" w:rsidRPr="00EE0850">
        <w:rPr>
          <w:bCs/>
        </w:rPr>
        <w:t xml:space="preserve">on behalf of Mr. </w:t>
      </w:r>
      <w:r w:rsidR="0073733B" w:rsidRPr="00EE0850">
        <w:rPr>
          <w:bCs/>
          <w:noProof/>
          <w:lang w:val="es-ES"/>
        </w:rPr>
        <w:t>Rafael Pacchiano Alamán</w:t>
      </w:r>
      <w:r w:rsidR="0073733B" w:rsidRPr="00EE0850">
        <w:rPr>
          <w:bCs/>
        </w:rPr>
        <w:t xml:space="preserve">, Minister of Environment and Natural Resources of Mexico and outgoing President of the Conference of the Parties, who </w:t>
      </w:r>
      <w:r w:rsidR="0073733B" w:rsidRPr="00EE0850">
        <w:t xml:space="preserve">also served as President of the </w:t>
      </w:r>
      <w:r w:rsidR="00A25490" w:rsidRPr="00EE0850">
        <w:t>second</w:t>
      </w:r>
      <w:r w:rsidR="0073733B" w:rsidRPr="00EE0850">
        <w:t xml:space="preserve"> Conference of the Parties serving as the meeting of the Parties to the </w:t>
      </w:r>
      <w:r w:rsidR="004A6ECD" w:rsidRPr="00EE0850">
        <w:t>Nagoya</w:t>
      </w:r>
      <w:r w:rsidR="0073733B" w:rsidRPr="00EE0850">
        <w:t xml:space="preserve"> Protocol.</w:t>
      </w:r>
    </w:p>
    <w:p w14:paraId="774D5874" w14:textId="03E23929" w:rsidR="0073733B" w:rsidRPr="00EE0850" w:rsidRDefault="0073733B" w:rsidP="000C6220">
      <w:pPr>
        <w:pStyle w:val="Para1"/>
        <w:tabs>
          <w:tab w:val="clear" w:pos="360"/>
          <w:tab w:val="clear" w:pos="567"/>
          <w:tab w:val="clear" w:pos="2912"/>
        </w:tabs>
        <w:spacing w:line="240" w:lineRule="auto"/>
        <w:rPr>
          <w:szCs w:val="22"/>
        </w:rPr>
      </w:pPr>
      <w:r w:rsidRPr="00EE0850">
        <w:rPr>
          <w:szCs w:val="22"/>
        </w:rPr>
        <w:t xml:space="preserve">Opening statements were made by Ms. Yasmine Fouad, Minister of Environment of Egypt and President of the Conference of the Parties at its fourteenth meeting, also serving as President of the </w:t>
      </w:r>
      <w:r w:rsidR="00A25490" w:rsidRPr="00EE0850">
        <w:rPr>
          <w:szCs w:val="22"/>
        </w:rPr>
        <w:t>third</w:t>
      </w:r>
      <w:r w:rsidRPr="00EE0850">
        <w:rPr>
          <w:szCs w:val="22"/>
        </w:rPr>
        <w:t xml:space="preserve"> meeting of the Conference of the Parties serving as the meeting of the Parties to the </w:t>
      </w:r>
      <w:r w:rsidR="00A25490" w:rsidRPr="00EE0850">
        <w:rPr>
          <w:szCs w:val="22"/>
        </w:rPr>
        <w:t>Nagoya</w:t>
      </w:r>
      <w:r w:rsidRPr="00EE0850">
        <w:rPr>
          <w:szCs w:val="22"/>
        </w:rPr>
        <w:t xml:space="preserve"> Protocol; Ms. </w:t>
      </w:r>
      <w:r w:rsidRPr="00EE0850">
        <w:rPr>
          <w:noProof/>
          <w:szCs w:val="22"/>
        </w:rPr>
        <w:t>Cristiana Paşca Palmer</w:t>
      </w:r>
      <w:r w:rsidRPr="00EE0850">
        <w:rPr>
          <w:szCs w:val="22"/>
        </w:rPr>
        <w:t xml:space="preserve">, Executive Secretary of the Convention on Biological Diversity; Ms. Maria Fernanda Espinosa, President of the United Nations General Assembly, via video; and </w:t>
      </w:r>
      <w:r w:rsidRPr="00EE0850">
        <w:rPr>
          <w:szCs w:val="22"/>
          <w:lang w:val="en-US"/>
        </w:rPr>
        <w:t xml:space="preserve">Mr. Abdel Fattah </w:t>
      </w:r>
      <w:r w:rsidR="00C55876" w:rsidRPr="00EE0850">
        <w:rPr>
          <w:szCs w:val="22"/>
          <w:lang w:val="en-US"/>
        </w:rPr>
        <w:t>E</w:t>
      </w:r>
      <w:r w:rsidRPr="00EE0850">
        <w:rPr>
          <w:szCs w:val="22"/>
          <w:lang w:val="en-US"/>
        </w:rPr>
        <w:t>l</w:t>
      </w:r>
      <w:r w:rsidR="00C55876" w:rsidRPr="00EE0850">
        <w:rPr>
          <w:szCs w:val="22"/>
          <w:lang w:val="en-US"/>
        </w:rPr>
        <w:t xml:space="preserve"> </w:t>
      </w:r>
      <w:proofErr w:type="spellStart"/>
      <w:r w:rsidRPr="00EE0850">
        <w:rPr>
          <w:szCs w:val="22"/>
          <w:lang w:val="en-US"/>
        </w:rPr>
        <w:t>Sisi</w:t>
      </w:r>
      <w:proofErr w:type="spellEnd"/>
      <w:r w:rsidRPr="00EE0850">
        <w:rPr>
          <w:szCs w:val="22"/>
          <w:lang w:val="en-US"/>
        </w:rPr>
        <w:t>, President of Egypt</w:t>
      </w:r>
      <w:r w:rsidRPr="00EE0850">
        <w:rPr>
          <w:szCs w:val="22"/>
        </w:rPr>
        <w:t>.</w:t>
      </w:r>
    </w:p>
    <w:p w14:paraId="6D474549" w14:textId="78B269A6" w:rsidR="0073733B" w:rsidRPr="00EE0850" w:rsidRDefault="0073733B" w:rsidP="000C6220">
      <w:pPr>
        <w:pStyle w:val="Para1"/>
        <w:tabs>
          <w:tab w:val="clear" w:pos="360"/>
          <w:tab w:val="clear" w:pos="567"/>
          <w:tab w:val="clear" w:pos="2912"/>
        </w:tabs>
        <w:spacing w:line="240" w:lineRule="auto"/>
        <w:rPr>
          <w:szCs w:val="22"/>
        </w:rPr>
      </w:pPr>
      <w:bookmarkStart w:id="24" w:name="_Hlk530320314"/>
      <w:r w:rsidRPr="00EE0850">
        <w:rPr>
          <w:szCs w:val="22"/>
        </w:rPr>
        <w:t xml:space="preserve">In her statement, the President referred to the outcomes of the high-level segment, including the </w:t>
      </w:r>
      <w:r w:rsidR="00307683" w:rsidRPr="00EE0850">
        <w:rPr>
          <w:szCs w:val="22"/>
        </w:rPr>
        <w:t>Sharm El-Sheikh</w:t>
      </w:r>
      <w:r w:rsidRPr="00EE0850">
        <w:rPr>
          <w:szCs w:val="22"/>
        </w:rPr>
        <w:t xml:space="preserve"> Declaration: Investing in Biodiversity for People and Planet. The </w:t>
      </w:r>
      <w:r w:rsidR="00307683" w:rsidRPr="00EE0850">
        <w:rPr>
          <w:szCs w:val="22"/>
        </w:rPr>
        <w:t xml:space="preserve">Sharm El-Sheikh </w:t>
      </w:r>
      <w:r w:rsidRPr="00EE0850">
        <w:rPr>
          <w:szCs w:val="22"/>
        </w:rPr>
        <w:t xml:space="preserve">Declaration was </w:t>
      </w:r>
      <w:r w:rsidR="00FD0C53" w:rsidRPr="00EE0850">
        <w:rPr>
          <w:szCs w:val="22"/>
        </w:rPr>
        <w:t>issued</w:t>
      </w:r>
      <w:r w:rsidR="00E80A69" w:rsidRPr="00EE0850">
        <w:rPr>
          <w:szCs w:val="22"/>
        </w:rPr>
        <w:t xml:space="preserve"> as </w:t>
      </w:r>
      <w:r w:rsidRPr="00EE0850">
        <w:rPr>
          <w:szCs w:val="22"/>
        </w:rPr>
        <w:t>CBD/COP/14/12 and the report of the high</w:t>
      </w:r>
      <w:r w:rsidR="00E80A69" w:rsidRPr="00EE0850">
        <w:rPr>
          <w:szCs w:val="22"/>
        </w:rPr>
        <w:t xml:space="preserve">-level segment as </w:t>
      </w:r>
      <w:r w:rsidRPr="00EE0850">
        <w:rPr>
          <w:szCs w:val="22"/>
        </w:rPr>
        <w:t>CBD/COP/14/12/Add.1.</w:t>
      </w:r>
    </w:p>
    <w:bookmarkEnd w:id="24"/>
    <w:p w14:paraId="6239F821" w14:textId="66DF1EE0" w:rsidR="0073733B" w:rsidRPr="00EE0850" w:rsidRDefault="0073733B" w:rsidP="000C6220">
      <w:pPr>
        <w:pStyle w:val="Para1"/>
        <w:tabs>
          <w:tab w:val="clear" w:pos="360"/>
          <w:tab w:val="clear" w:pos="567"/>
          <w:tab w:val="clear" w:pos="2912"/>
        </w:tabs>
        <w:spacing w:line="240" w:lineRule="auto"/>
        <w:rPr>
          <w:szCs w:val="22"/>
        </w:rPr>
      </w:pPr>
      <w:r w:rsidRPr="00EE0850">
        <w:rPr>
          <w:noProof/>
          <w:szCs w:val="22"/>
        </w:rPr>
        <w:t xml:space="preserve">Two video presentations were screened, the first prepared by the Government of Mexico on mainstreaming biodiversity and the second by the Government of Egypt on biodiversity and its vital connection with the survival of humanity. </w:t>
      </w:r>
      <w:bookmarkStart w:id="25" w:name="_Hlk530395780"/>
      <w:r w:rsidR="004A6ECD" w:rsidRPr="00EE0850">
        <w:rPr>
          <w:noProof/>
          <w:szCs w:val="22"/>
        </w:rPr>
        <w:t xml:space="preserve">There was also </w:t>
      </w:r>
      <w:r w:rsidRPr="00EE0850">
        <w:rPr>
          <w:noProof/>
          <w:szCs w:val="22"/>
        </w:rPr>
        <w:t>a performance</w:t>
      </w:r>
      <w:r w:rsidR="004A6ECD" w:rsidRPr="00EE0850">
        <w:rPr>
          <w:noProof/>
          <w:szCs w:val="22"/>
        </w:rPr>
        <w:t xml:space="preserve"> by schoolchildren </w:t>
      </w:r>
      <w:r w:rsidR="001024C7" w:rsidRPr="00EE0850">
        <w:rPr>
          <w:noProof/>
          <w:szCs w:val="22"/>
        </w:rPr>
        <w:t>o</w:t>
      </w:r>
      <w:r w:rsidR="004A6ECD" w:rsidRPr="00EE0850">
        <w:rPr>
          <w:noProof/>
          <w:szCs w:val="22"/>
        </w:rPr>
        <w:t>n the importance of biodiversity</w:t>
      </w:r>
      <w:bookmarkEnd w:id="25"/>
      <w:r w:rsidRPr="00EE0850">
        <w:rPr>
          <w:szCs w:val="22"/>
        </w:rPr>
        <w:t>.</w:t>
      </w:r>
    </w:p>
    <w:p w14:paraId="64F0F881" w14:textId="415BE34E" w:rsidR="0073733B" w:rsidRPr="00EE0850" w:rsidRDefault="0073733B" w:rsidP="000C6220">
      <w:pPr>
        <w:pStyle w:val="Para1"/>
        <w:tabs>
          <w:tab w:val="clear" w:pos="360"/>
          <w:tab w:val="clear" w:pos="567"/>
          <w:tab w:val="clear" w:pos="2912"/>
        </w:tabs>
        <w:spacing w:line="240" w:lineRule="auto"/>
        <w:rPr>
          <w:szCs w:val="22"/>
        </w:rPr>
      </w:pPr>
      <w:r w:rsidRPr="00EE0850">
        <w:rPr>
          <w:szCs w:val="22"/>
        </w:rPr>
        <w:t>At the 2nd plenary session of the meeting, on 17 November 2018, statements were made by Ms. Amina Mohammed, Deputy Secretary</w:t>
      </w:r>
      <w:r w:rsidR="002E3E97" w:rsidRPr="00EE0850">
        <w:rPr>
          <w:szCs w:val="22"/>
        </w:rPr>
        <w:t>-</w:t>
      </w:r>
      <w:r w:rsidRPr="00EE0850">
        <w:rPr>
          <w:szCs w:val="22"/>
        </w:rPr>
        <w:t xml:space="preserve">General of the United Nations, via video, and </w:t>
      </w:r>
      <w:r w:rsidRPr="00EE0850">
        <w:rPr>
          <w:rFonts w:eastAsiaTheme="minorEastAsia"/>
          <w:bCs/>
          <w:szCs w:val="22"/>
        </w:rPr>
        <w:t xml:space="preserve">Ms. </w:t>
      </w:r>
      <w:r w:rsidRPr="00EE0850">
        <w:rPr>
          <w:rFonts w:eastAsiaTheme="minorEastAsia"/>
          <w:bCs/>
          <w:noProof/>
          <w:szCs w:val="22"/>
        </w:rPr>
        <w:t>Corli Pretorius</w:t>
      </w:r>
      <w:r w:rsidRPr="00EE0850">
        <w:rPr>
          <w:rFonts w:eastAsiaTheme="minorEastAsia"/>
          <w:bCs/>
          <w:szCs w:val="22"/>
        </w:rPr>
        <w:t>, Deputy Director of the United Nations Environment Programme</w:t>
      </w:r>
      <w:r w:rsidR="0092680A" w:rsidRPr="00EE0850">
        <w:rPr>
          <w:rFonts w:eastAsiaTheme="minorEastAsia"/>
          <w:bCs/>
          <w:szCs w:val="22"/>
        </w:rPr>
        <w:t>’s</w:t>
      </w:r>
      <w:r w:rsidRPr="00EE0850">
        <w:rPr>
          <w:rFonts w:eastAsiaTheme="minorEastAsia"/>
          <w:bCs/>
          <w:szCs w:val="22"/>
        </w:rPr>
        <w:t xml:space="preserve"> (UNEP) World Conservation Monitoring Centre.</w:t>
      </w:r>
    </w:p>
    <w:p w14:paraId="0B7A69FF" w14:textId="77777777" w:rsidR="0073733B" w:rsidRPr="00EE0850" w:rsidRDefault="0073733B" w:rsidP="000C6220">
      <w:pPr>
        <w:pStyle w:val="Para1"/>
        <w:tabs>
          <w:tab w:val="clear" w:pos="360"/>
          <w:tab w:val="clear" w:pos="567"/>
          <w:tab w:val="clear" w:pos="2912"/>
        </w:tabs>
        <w:spacing w:line="240" w:lineRule="auto"/>
        <w:rPr>
          <w:szCs w:val="22"/>
        </w:rPr>
      </w:pPr>
      <w:r w:rsidRPr="00EE0850">
        <w:rPr>
          <w:szCs w:val="22"/>
        </w:rPr>
        <w:t>Representatives viewed two films, one by the National Geographic Society and the other by the World Wide Fund for Nature (WWF), as well as a video message from Mr. Paul McCartney.</w:t>
      </w:r>
    </w:p>
    <w:p w14:paraId="72411C26" w14:textId="2BF734D9" w:rsidR="0073733B" w:rsidRPr="00EE0850" w:rsidRDefault="0073733B" w:rsidP="000C6220">
      <w:pPr>
        <w:pStyle w:val="Para1"/>
        <w:tabs>
          <w:tab w:val="clear" w:pos="360"/>
          <w:tab w:val="clear" w:pos="567"/>
          <w:tab w:val="clear" w:pos="2912"/>
        </w:tabs>
        <w:spacing w:line="240" w:lineRule="auto"/>
        <w:rPr>
          <w:szCs w:val="22"/>
        </w:rPr>
      </w:pPr>
      <w:r w:rsidRPr="00EE0850">
        <w:rPr>
          <w:szCs w:val="22"/>
        </w:rPr>
        <w:t xml:space="preserve">General statements were made by representatives of Argentina (on behalf of the Latin American and Caribbean Group), Canada (on behalf of </w:t>
      </w:r>
      <w:r w:rsidR="004C30BD" w:rsidRPr="00EE0850">
        <w:rPr>
          <w:szCs w:val="22"/>
        </w:rPr>
        <w:t>the</w:t>
      </w:r>
      <w:r w:rsidRPr="00EE0850">
        <w:rPr>
          <w:szCs w:val="22"/>
        </w:rPr>
        <w:t xml:space="preserve"> </w:t>
      </w:r>
      <w:r w:rsidR="00F7184A" w:rsidRPr="00EE0850">
        <w:rPr>
          <w:szCs w:val="22"/>
        </w:rPr>
        <w:t>G</w:t>
      </w:r>
      <w:r w:rsidRPr="00EE0850">
        <w:rPr>
          <w:szCs w:val="22"/>
        </w:rPr>
        <w:t xml:space="preserve">roup of </w:t>
      </w:r>
      <w:r w:rsidR="004C30BD" w:rsidRPr="00EE0850">
        <w:rPr>
          <w:szCs w:val="22"/>
        </w:rPr>
        <w:t>N</w:t>
      </w:r>
      <w:r w:rsidRPr="00EE0850">
        <w:rPr>
          <w:szCs w:val="22"/>
        </w:rPr>
        <w:t>on-</w:t>
      </w:r>
      <w:r w:rsidR="004C30BD" w:rsidRPr="00EE0850">
        <w:rPr>
          <w:szCs w:val="22"/>
        </w:rPr>
        <w:t>A</w:t>
      </w:r>
      <w:r w:rsidRPr="00EE0850">
        <w:rPr>
          <w:szCs w:val="22"/>
        </w:rPr>
        <w:t xml:space="preserve">ligned </w:t>
      </w:r>
      <w:r w:rsidR="004C30BD" w:rsidRPr="00EE0850">
        <w:rPr>
          <w:szCs w:val="22"/>
        </w:rPr>
        <w:t>C</w:t>
      </w:r>
      <w:r w:rsidRPr="00EE0850">
        <w:rPr>
          <w:szCs w:val="22"/>
        </w:rPr>
        <w:t xml:space="preserve">ountries), </w:t>
      </w:r>
      <w:r w:rsidR="00780908" w:rsidRPr="00EE0850">
        <w:rPr>
          <w:szCs w:val="22"/>
        </w:rPr>
        <w:t xml:space="preserve">the </w:t>
      </w:r>
      <w:r w:rsidRPr="00EE0850">
        <w:rPr>
          <w:szCs w:val="22"/>
        </w:rPr>
        <w:t>European Union and its 28 member States, Belarus (on behalf of the countries of Central and Eastern Europe), Rwanda (on behalf of the African Group) and Malaysia (on behalf of the Group of Like-minded Megadiverse Countries).</w:t>
      </w:r>
    </w:p>
    <w:p w14:paraId="46E1C6B4" w14:textId="77777777" w:rsidR="0073733B" w:rsidRPr="00EE0850" w:rsidRDefault="0073733B" w:rsidP="000C6220">
      <w:pPr>
        <w:pStyle w:val="Para1"/>
        <w:tabs>
          <w:tab w:val="clear" w:pos="360"/>
          <w:tab w:val="clear" w:pos="567"/>
          <w:tab w:val="clear" w:pos="2912"/>
        </w:tabs>
        <w:spacing w:line="240" w:lineRule="auto"/>
        <w:rPr>
          <w:szCs w:val="22"/>
        </w:rPr>
      </w:pPr>
      <w:r w:rsidRPr="00EE0850">
        <w:rPr>
          <w:szCs w:val="22"/>
        </w:rPr>
        <w:t>Statements were also made by representatives of the Indigenous Women’s Biodiversity Network (IWBN), the International Indigenous Forum for Biodiversity (IIFB), the CBD Alliance and the Global Youth Biodiversity Network (GYBN) and the Intergovernmental Science-Policy Platform on Biodiversity and Ecosystem Services (IPBES)</w:t>
      </w:r>
      <w:r w:rsidRPr="00EE0850">
        <w:rPr>
          <w:szCs w:val="22"/>
          <w:lang w:val="en-US"/>
        </w:rPr>
        <w:t>.</w:t>
      </w:r>
    </w:p>
    <w:p w14:paraId="5E90CC9E" w14:textId="45B33063" w:rsidR="0073733B" w:rsidRPr="00EE0850" w:rsidRDefault="0073733B" w:rsidP="000C6220">
      <w:pPr>
        <w:pStyle w:val="Para1"/>
        <w:tabs>
          <w:tab w:val="clear" w:pos="360"/>
          <w:tab w:val="clear" w:pos="567"/>
          <w:tab w:val="clear" w:pos="2912"/>
        </w:tabs>
        <w:spacing w:line="240" w:lineRule="auto"/>
        <w:rPr>
          <w:szCs w:val="22"/>
        </w:rPr>
      </w:pPr>
      <w:r w:rsidRPr="00EE0850">
        <w:rPr>
          <w:szCs w:val="22"/>
          <w:lang w:val="en-US"/>
        </w:rPr>
        <w:t>The opening statements are summarized in annex II to the report of the Conference of the Parties</w:t>
      </w:r>
      <w:r w:rsidR="00C762BB" w:rsidRPr="00EE0850">
        <w:rPr>
          <w:szCs w:val="22"/>
          <w:lang w:val="en-US"/>
        </w:rPr>
        <w:t xml:space="preserve"> on its fourteenth meeting</w:t>
      </w:r>
      <w:r w:rsidRPr="00EE0850">
        <w:rPr>
          <w:szCs w:val="22"/>
          <w:lang w:val="en-US"/>
        </w:rPr>
        <w:t>.</w:t>
      </w:r>
    </w:p>
    <w:p w14:paraId="7406B272" w14:textId="77777777" w:rsidR="008F1539" w:rsidRPr="00EE0850" w:rsidRDefault="002863A3" w:rsidP="000C6220">
      <w:pPr>
        <w:pStyle w:val="Heading1-item"/>
        <w:tabs>
          <w:tab w:val="left" w:pos="993"/>
        </w:tabs>
        <w:spacing w:before="120" w:line="240" w:lineRule="auto"/>
        <w:ind w:right="0"/>
        <w:rPr>
          <w:rFonts w:ascii="Times New Roman" w:hAnsi="Times New Roman" w:cs="Times New Roman"/>
          <w:i/>
        </w:rPr>
      </w:pPr>
      <w:bookmarkStart w:id="26" w:name="_Toc256219"/>
      <w:r w:rsidRPr="00EE0850">
        <w:rPr>
          <w:rFonts w:ascii="Times New Roman" w:hAnsi="Times New Roman" w:cs="Times New Roman" w:hint="eastAsia"/>
        </w:rPr>
        <w:t>ITEM 2.</w:t>
      </w:r>
      <w:bookmarkStart w:id="27" w:name="SEVEN"/>
      <w:bookmarkEnd w:id="27"/>
      <w:r w:rsidR="009E384C" w:rsidRPr="00EE0850">
        <w:rPr>
          <w:rFonts w:ascii="Times New Roman" w:hAnsi="Times New Roman" w:cs="Times New Roman" w:hint="eastAsia"/>
        </w:rPr>
        <w:tab/>
      </w:r>
      <w:r w:rsidR="008F1539" w:rsidRPr="00EE0850">
        <w:rPr>
          <w:rFonts w:ascii="Times New Roman" w:hAnsi="Times New Roman" w:cs="Times New Roman" w:hint="eastAsia"/>
        </w:rPr>
        <w:t>ORGANIZATIONAL MATTERS</w:t>
      </w:r>
      <w:bookmarkEnd w:id="26"/>
    </w:p>
    <w:p w14:paraId="3FF8B294" w14:textId="5BBFFA85" w:rsidR="004A5FFB" w:rsidRPr="00EE0850" w:rsidRDefault="004A5FFB" w:rsidP="000C6220">
      <w:pPr>
        <w:pStyle w:val="Heading2"/>
        <w:suppressLineNumbers/>
        <w:tabs>
          <w:tab w:val="left" w:pos="426"/>
        </w:tabs>
        <w:suppressAutoHyphens/>
        <w:spacing w:before="120" w:line="240" w:lineRule="auto"/>
      </w:pPr>
      <w:r w:rsidRPr="00EE0850">
        <w:t>2.1</w:t>
      </w:r>
      <w:r w:rsidR="008C1500" w:rsidRPr="00EE0850">
        <w:t>.</w:t>
      </w:r>
      <w:r w:rsidR="005A7D54" w:rsidRPr="00EE0850">
        <w:tab/>
      </w:r>
      <w:r w:rsidRPr="00EE0850">
        <w:t>Election of the President and substitute officers</w:t>
      </w:r>
    </w:p>
    <w:p w14:paraId="42E7B8A6" w14:textId="77777777" w:rsidR="007357FD" w:rsidRPr="00EE0850" w:rsidRDefault="007357FD" w:rsidP="000C6220">
      <w:pPr>
        <w:pStyle w:val="Heading3"/>
        <w:spacing w:line="240" w:lineRule="auto"/>
      </w:pPr>
      <w:r w:rsidRPr="00EE0850">
        <w:t>Election of the President</w:t>
      </w:r>
    </w:p>
    <w:p w14:paraId="4EA38CD3" w14:textId="04B73912" w:rsidR="00EE7CB9" w:rsidRPr="00EE0850" w:rsidRDefault="00E73E17" w:rsidP="000C6220">
      <w:pPr>
        <w:pStyle w:val="Para1"/>
        <w:tabs>
          <w:tab w:val="clear" w:pos="360"/>
          <w:tab w:val="clear" w:pos="567"/>
          <w:tab w:val="clear" w:pos="2912"/>
        </w:tabs>
        <w:spacing w:line="240" w:lineRule="auto"/>
      </w:pPr>
      <w:r w:rsidRPr="00EE0850">
        <w:t xml:space="preserve">Pursuant </w:t>
      </w:r>
      <w:r w:rsidR="00EE7CB9" w:rsidRPr="00EE0850">
        <w:t>to Article 2</w:t>
      </w:r>
      <w:r w:rsidR="002B37B7" w:rsidRPr="00EE0850">
        <w:t>6</w:t>
      </w:r>
      <w:r w:rsidR="00AD2CA1" w:rsidRPr="00EE0850">
        <w:t>,</w:t>
      </w:r>
      <w:r w:rsidR="00EE7CB9" w:rsidRPr="00EE0850">
        <w:t xml:space="preserve"> </w:t>
      </w:r>
      <w:r w:rsidR="00AD2CA1" w:rsidRPr="00EE0850">
        <w:t xml:space="preserve">paragraph 3, </w:t>
      </w:r>
      <w:r w:rsidR="00EE7CB9" w:rsidRPr="00EE0850">
        <w:t xml:space="preserve">of the Nagoya Protocol, the Bureau of the Conference of the Parties also </w:t>
      </w:r>
      <w:r w:rsidR="002B37B7" w:rsidRPr="00EE0850">
        <w:t>serve</w:t>
      </w:r>
      <w:r w:rsidR="00B81204" w:rsidRPr="00EE0850">
        <w:t>s</w:t>
      </w:r>
      <w:r w:rsidR="002B37B7" w:rsidRPr="00EE0850">
        <w:t xml:space="preserve"> </w:t>
      </w:r>
      <w:r w:rsidR="00EE7CB9" w:rsidRPr="00EE0850">
        <w:t xml:space="preserve">as the Bureau of the </w:t>
      </w:r>
      <w:r w:rsidR="00B81204" w:rsidRPr="00EE0850">
        <w:t xml:space="preserve">Conference of the Parties serving as the </w:t>
      </w:r>
      <w:r w:rsidR="00EE7CB9" w:rsidRPr="00EE0850">
        <w:t xml:space="preserve">meeting of the Parties to the </w:t>
      </w:r>
      <w:r w:rsidR="002B37B7" w:rsidRPr="00EE0850">
        <w:t>Nagoya</w:t>
      </w:r>
      <w:r w:rsidR="00EE7CB9" w:rsidRPr="00EE0850">
        <w:t xml:space="preserve"> Protocol. </w:t>
      </w:r>
      <w:r w:rsidR="002B37B7" w:rsidRPr="00EE0850">
        <w:t xml:space="preserve">Accordingly, Ms. Fouad, who </w:t>
      </w:r>
      <w:r w:rsidR="00217009" w:rsidRPr="00EE0850">
        <w:t xml:space="preserve">had been </w:t>
      </w:r>
      <w:r w:rsidR="002B37B7" w:rsidRPr="00EE0850">
        <w:t>elected President of the fourteenth meeting of the Conference of the Parties, also serve</w:t>
      </w:r>
      <w:r w:rsidR="00B81204" w:rsidRPr="00EE0850">
        <w:t>d</w:t>
      </w:r>
      <w:r w:rsidR="002B37B7" w:rsidRPr="00EE0850">
        <w:t xml:space="preserve"> as the President of the </w:t>
      </w:r>
      <w:r w:rsidR="00A25490" w:rsidRPr="00EE0850">
        <w:t>third</w:t>
      </w:r>
      <w:r w:rsidR="002B37B7" w:rsidRPr="00EE0850">
        <w:t xml:space="preserve"> meeting of the Conference of the Parties serving as the meeting of the Parties to the </w:t>
      </w:r>
      <w:r w:rsidR="00EE7CB9" w:rsidRPr="00EE0850">
        <w:t>Nagoya Protocol.</w:t>
      </w:r>
    </w:p>
    <w:p w14:paraId="735E504B" w14:textId="77777777" w:rsidR="007357FD" w:rsidRPr="00EE0850" w:rsidRDefault="007357FD" w:rsidP="000C6220">
      <w:pPr>
        <w:keepNext/>
        <w:suppressLineNumbers/>
        <w:suppressAutoHyphens/>
        <w:kinsoku w:val="0"/>
        <w:overflowPunct w:val="0"/>
        <w:autoSpaceDE w:val="0"/>
        <w:autoSpaceDN w:val="0"/>
        <w:spacing w:before="120" w:line="240" w:lineRule="auto"/>
        <w:outlineLvl w:val="2"/>
        <w:rPr>
          <w:rFonts w:eastAsia="Times New Roman"/>
          <w:i/>
          <w:iCs/>
          <w:snapToGrid w:val="0"/>
          <w:kern w:val="22"/>
          <w:szCs w:val="22"/>
          <w:lang w:eastAsia="en-CA"/>
        </w:rPr>
      </w:pPr>
      <w:r w:rsidRPr="00EE0850">
        <w:rPr>
          <w:rFonts w:eastAsia="Times New Roman"/>
          <w:i/>
          <w:iCs/>
          <w:snapToGrid w:val="0"/>
          <w:kern w:val="22"/>
          <w:szCs w:val="22"/>
          <w:lang w:eastAsia="en-CA"/>
        </w:rPr>
        <w:t>Election of substitute officers</w:t>
      </w:r>
    </w:p>
    <w:p w14:paraId="043B3EB1" w14:textId="0C94F8CD" w:rsidR="00B54FAC" w:rsidRPr="00EE0850" w:rsidRDefault="00EE7CB9" w:rsidP="000C6220">
      <w:pPr>
        <w:pStyle w:val="Para1"/>
        <w:tabs>
          <w:tab w:val="clear" w:pos="360"/>
          <w:tab w:val="clear" w:pos="567"/>
          <w:tab w:val="clear" w:pos="2912"/>
        </w:tabs>
        <w:spacing w:line="240" w:lineRule="auto"/>
      </w:pPr>
      <w:r w:rsidRPr="00EE0850">
        <w:t>Article 2</w:t>
      </w:r>
      <w:r w:rsidR="002B37B7" w:rsidRPr="00EE0850">
        <w:t>6</w:t>
      </w:r>
      <w:r w:rsidR="005F62DD" w:rsidRPr="00EE0850">
        <w:t>,</w:t>
      </w:r>
      <w:r w:rsidR="005F62DD" w:rsidRPr="00EE0850">
        <w:rPr>
          <w:iCs/>
        </w:rPr>
        <w:t xml:space="preserve"> p</w:t>
      </w:r>
      <w:r w:rsidR="005F62DD" w:rsidRPr="00EE0850">
        <w:t>aragraph 3,</w:t>
      </w:r>
      <w:r w:rsidRPr="00EE0850">
        <w:t xml:space="preserve"> of the </w:t>
      </w:r>
      <w:r w:rsidR="002B37B7" w:rsidRPr="00EE0850">
        <w:t>Nagoya</w:t>
      </w:r>
      <w:r w:rsidRPr="00EE0850">
        <w:t xml:space="preserve"> Protocol stipulate</w:t>
      </w:r>
      <w:r w:rsidR="00C628FC" w:rsidRPr="00EE0850">
        <w:t>d</w:t>
      </w:r>
      <w:r w:rsidRPr="00EE0850">
        <w:t xml:space="preserve"> that any member of the Bureau of the Conference of the Parties who was representing a Party to the Convention that was not a Party to the Protocol must be substituted by a member elected by and from among the Parties to the Protocol. The Conference of the Parties at its thirteenth meeting</w:t>
      </w:r>
      <w:r w:rsidR="00C628FC" w:rsidRPr="00EE0850">
        <w:t xml:space="preserve"> had elected 10 members of the Bureau</w:t>
      </w:r>
      <w:r w:rsidRPr="00EE0850">
        <w:t xml:space="preserve"> to serve until the closure of the fourteenth meeting. </w:t>
      </w:r>
      <w:r w:rsidR="00C628FC" w:rsidRPr="00EE0850">
        <w:t xml:space="preserve">Subsequently, at its second meeting, the </w:t>
      </w:r>
      <w:bookmarkStart w:id="28" w:name="_Hlk530401360"/>
      <w:r w:rsidR="00C628FC" w:rsidRPr="00EE0850">
        <w:t xml:space="preserve">Conference of the Parties serving as the meeting of the </w:t>
      </w:r>
      <w:bookmarkEnd w:id="28"/>
      <w:r w:rsidR="00C628FC" w:rsidRPr="00EE0850">
        <w:t>Parties to the Nagoya Protocol had elected five substitute Bureau members for those regions where the Conference of the Parties</w:t>
      </w:r>
      <w:r w:rsidR="00C628FC" w:rsidRPr="00EE0850" w:rsidDel="002C69D0">
        <w:t xml:space="preserve"> </w:t>
      </w:r>
      <w:r w:rsidR="00C628FC" w:rsidRPr="00EE0850">
        <w:t xml:space="preserve">Bureau member was representing a Party to the Convention that was not a Party to the Nagoya Protocol. Since then, however, one such country had ratified the </w:t>
      </w:r>
      <w:r w:rsidR="00A25490" w:rsidRPr="00EE0850">
        <w:t xml:space="preserve">Nagoya </w:t>
      </w:r>
      <w:r w:rsidR="00C628FC" w:rsidRPr="00EE0850">
        <w:t>Protocol. In addition, three representatives had been replaced by the Party or region concerned.</w:t>
      </w:r>
    </w:p>
    <w:p w14:paraId="1C358673" w14:textId="44F3E38F" w:rsidR="00EE7CB9" w:rsidRPr="00EE0850" w:rsidRDefault="00E833B4" w:rsidP="000C6220">
      <w:pPr>
        <w:pStyle w:val="Para1"/>
        <w:tabs>
          <w:tab w:val="clear" w:pos="360"/>
          <w:tab w:val="clear" w:pos="567"/>
          <w:tab w:val="clear" w:pos="2912"/>
        </w:tabs>
        <w:spacing w:line="240" w:lineRule="auto"/>
      </w:pPr>
      <w:r w:rsidRPr="00EE0850">
        <w:t>Accordingly, the following representatives served as substitute Bureau members</w:t>
      </w:r>
      <w:r w:rsidR="00EE7CB9" w:rsidRPr="00EE0850">
        <w:t>:</w:t>
      </w:r>
      <w:r w:rsidR="001C53F5" w:rsidRPr="00EE0850">
        <w:rPr>
          <w:szCs w:val="24"/>
        </w:rPr>
        <w:t xml:space="preserve"> Ms. </w:t>
      </w:r>
      <w:r w:rsidR="001C53F5" w:rsidRPr="00EE0850">
        <w:rPr>
          <w:noProof/>
          <w:szCs w:val="24"/>
        </w:rPr>
        <w:t>Marina</w:t>
      </w:r>
      <w:r w:rsidR="001C53F5" w:rsidRPr="00EE0850">
        <w:rPr>
          <w:szCs w:val="24"/>
        </w:rPr>
        <w:t xml:space="preserve"> </w:t>
      </w:r>
      <w:r w:rsidR="001C53F5" w:rsidRPr="00EE0850">
        <w:rPr>
          <w:noProof/>
          <w:szCs w:val="24"/>
        </w:rPr>
        <w:t>Hernandez</w:t>
      </w:r>
      <w:r w:rsidR="001C53F5" w:rsidRPr="00EE0850">
        <w:rPr>
          <w:szCs w:val="24"/>
        </w:rPr>
        <w:t xml:space="preserve"> (Dominican Republic)</w:t>
      </w:r>
      <w:r w:rsidR="007236A0" w:rsidRPr="00EE0850">
        <w:rPr>
          <w:szCs w:val="24"/>
        </w:rPr>
        <w:t>,</w:t>
      </w:r>
      <w:r w:rsidR="001C53F5" w:rsidRPr="00EE0850">
        <w:rPr>
          <w:szCs w:val="24"/>
        </w:rPr>
        <w:t xml:space="preserve"> substituting </w:t>
      </w:r>
      <w:r w:rsidR="00544732" w:rsidRPr="00EE0850">
        <w:rPr>
          <w:szCs w:val="24"/>
        </w:rPr>
        <w:t xml:space="preserve">for </w:t>
      </w:r>
      <w:r w:rsidR="004B7F1E" w:rsidRPr="00EE0850">
        <w:rPr>
          <w:szCs w:val="24"/>
        </w:rPr>
        <w:t xml:space="preserve">Mr. </w:t>
      </w:r>
      <w:r w:rsidR="004B7F1E" w:rsidRPr="00EE0850">
        <w:rPr>
          <w:noProof/>
          <w:szCs w:val="24"/>
        </w:rPr>
        <w:t>Randolf</w:t>
      </w:r>
      <w:r w:rsidR="004B7F1E" w:rsidRPr="00EE0850">
        <w:rPr>
          <w:szCs w:val="24"/>
        </w:rPr>
        <w:t xml:space="preserve"> </w:t>
      </w:r>
      <w:r w:rsidR="004B7F1E" w:rsidRPr="00EE0850">
        <w:rPr>
          <w:noProof/>
          <w:szCs w:val="24"/>
        </w:rPr>
        <w:t>Edmead</w:t>
      </w:r>
      <w:r w:rsidR="004B7F1E" w:rsidRPr="00EE0850">
        <w:rPr>
          <w:szCs w:val="24"/>
        </w:rPr>
        <w:t xml:space="preserve"> </w:t>
      </w:r>
      <w:r w:rsidR="003401BF" w:rsidRPr="00EE0850">
        <w:rPr>
          <w:szCs w:val="24"/>
        </w:rPr>
        <w:t>(</w:t>
      </w:r>
      <w:r w:rsidR="004B7F1E" w:rsidRPr="00EE0850">
        <w:rPr>
          <w:szCs w:val="24"/>
        </w:rPr>
        <w:t>Saint Kitts and Nevis</w:t>
      </w:r>
      <w:r w:rsidR="003401BF" w:rsidRPr="00EE0850">
        <w:rPr>
          <w:szCs w:val="24"/>
        </w:rPr>
        <w:t>)</w:t>
      </w:r>
      <w:r w:rsidR="004B7F1E" w:rsidRPr="00EE0850">
        <w:rPr>
          <w:szCs w:val="24"/>
        </w:rPr>
        <w:t xml:space="preserve">; </w:t>
      </w:r>
      <w:r w:rsidR="001C53F5" w:rsidRPr="00EE0850">
        <w:t xml:space="preserve">Mr. </w:t>
      </w:r>
      <w:r w:rsidR="001C53F5" w:rsidRPr="00EE0850">
        <w:rPr>
          <w:noProof/>
        </w:rPr>
        <w:t>Luciano</w:t>
      </w:r>
      <w:r w:rsidR="001C53F5" w:rsidRPr="00EE0850">
        <w:t xml:space="preserve"> </w:t>
      </w:r>
      <w:r w:rsidR="001C53F5" w:rsidRPr="00EE0850">
        <w:rPr>
          <w:noProof/>
        </w:rPr>
        <w:t>Martin</w:t>
      </w:r>
      <w:r w:rsidR="001C53F5" w:rsidRPr="00EE0850">
        <w:t xml:space="preserve"> </w:t>
      </w:r>
      <w:r w:rsidR="001C53F5" w:rsidRPr="00EE0850">
        <w:rPr>
          <w:noProof/>
        </w:rPr>
        <w:t>Donadio</w:t>
      </w:r>
      <w:r w:rsidR="001C53F5" w:rsidRPr="00EE0850">
        <w:t xml:space="preserve"> Linares (Argentina) substituting </w:t>
      </w:r>
      <w:r w:rsidR="00544732" w:rsidRPr="00EE0850">
        <w:t xml:space="preserve">for </w:t>
      </w:r>
      <w:r w:rsidR="001C53F5" w:rsidRPr="00EE0850">
        <w:t xml:space="preserve">Ms. </w:t>
      </w:r>
      <w:r w:rsidR="001C53F5" w:rsidRPr="00EE0850">
        <w:rPr>
          <w:noProof/>
        </w:rPr>
        <w:t>Clarissa</w:t>
      </w:r>
      <w:r w:rsidR="001C53F5" w:rsidRPr="00EE0850">
        <w:t xml:space="preserve"> </w:t>
      </w:r>
      <w:r w:rsidR="001C53F5" w:rsidRPr="00EE0850">
        <w:rPr>
          <w:noProof/>
        </w:rPr>
        <w:t>Nina</w:t>
      </w:r>
      <w:r w:rsidR="001C53F5" w:rsidRPr="00EE0850">
        <w:t xml:space="preserve"> </w:t>
      </w:r>
      <w:r w:rsidR="003401BF" w:rsidRPr="00EE0850">
        <w:t>(</w:t>
      </w:r>
      <w:r w:rsidR="001C53F5" w:rsidRPr="00EE0850">
        <w:t>Brazil</w:t>
      </w:r>
      <w:r w:rsidR="003401BF" w:rsidRPr="00EE0850">
        <w:t>)</w:t>
      </w:r>
      <w:r w:rsidR="001C53F5" w:rsidRPr="00EE0850">
        <w:t xml:space="preserve">; </w:t>
      </w:r>
      <w:r w:rsidR="006742FC" w:rsidRPr="00EE0850">
        <w:t xml:space="preserve">and </w:t>
      </w:r>
      <w:r w:rsidR="001C53F5" w:rsidRPr="00EE0850">
        <w:t xml:space="preserve">Mr. </w:t>
      </w:r>
      <w:r w:rsidR="001C53F5" w:rsidRPr="00EE0850">
        <w:rPr>
          <w:noProof/>
        </w:rPr>
        <w:t>Gaute</w:t>
      </w:r>
      <w:r w:rsidR="001C53F5" w:rsidRPr="00EE0850">
        <w:t xml:space="preserve"> </w:t>
      </w:r>
      <w:r w:rsidR="001C53F5" w:rsidRPr="00EE0850">
        <w:rPr>
          <w:noProof/>
        </w:rPr>
        <w:t>Voigt</w:t>
      </w:r>
      <w:r w:rsidR="001C53F5" w:rsidRPr="00EE0850">
        <w:t>-</w:t>
      </w:r>
      <w:r w:rsidR="001C53F5" w:rsidRPr="00EE0850">
        <w:rPr>
          <w:noProof/>
        </w:rPr>
        <w:t>Hanssen</w:t>
      </w:r>
      <w:r w:rsidR="001C53F5" w:rsidRPr="00EE0850">
        <w:t xml:space="preserve"> (Norway) substituting </w:t>
      </w:r>
      <w:r w:rsidR="00544732" w:rsidRPr="00EE0850">
        <w:t xml:space="preserve">for </w:t>
      </w:r>
      <w:r w:rsidR="001C53F5" w:rsidRPr="00EE0850">
        <w:t>Mr.</w:t>
      </w:r>
      <w:r w:rsidR="00276DFC" w:rsidRPr="00EE0850">
        <w:t> </w:t>
      </w:r>
      <w:r w:rsidR="001C53F5" w:rsidRPr="00EE0850">
        <w:rPr>
          <w:noProof/>
        </w:rPr>
        <w:t>Basil</w:t>
      </w:r>
      <w:r w:rsidR="001C53F5" w:rsidRPr="00EE0850">
        <w:t xml:space="preserve"> </w:t>
      </w:r>
      <w:r w:rsidR="001C53F5" w:rsidRPr="00EE0850">
        <w:rPr>
          <w:noProof/>
        </w:rPr>
        <w:t>Van</w:t>
      </w:r>
      <w:r w:rsidR="001C53F5" w:rsidRPr="00EE0850">
        <w:t xml:space="preserve"> </w:t>
      </w:r>
      <w:r w:rsidR="001C53F5" w:rsidRPr="00EE0850">
        <w:rPr>
          <w:noProof/>
        </w:rPr>
        <w:t>Havre</w:t>
      </w:r>
      <w:r w:rsidR="001C53F5" w:rsidRPr="00EE0850">
        <w:t xml:space="preserve"> </w:t>
      </w:r>
      <w:r w:rsidR="003401BF" w:rsidRPr="00EE0850">
        <w:t>(</w:t>
      </w:r>
      <w:r w:rsidR="001C53F5" w:rsidRPr="00EE0850">
        <w:t>Canada</w:t>
      </w:r>
      <w:r w:rsidR="003401BF" w:rsidRPr="00EE0850">
        <w:t>)</w:t>
      </w:r>
      <w:r w:rsidR="001C53F5" w:rsidRPr="00EE0850">
        <w:t>.</w:t>
      </w:r>
    </w:p>
    <w:p w14:paraId="65AF9F44" w14:textId="77777777" w:rsidR="00EE7CB9" w:rsidRPr="00EE0850" w:rsidRDefault="00EE7CB9" w:rsidP="000C6220">
      <w:pPr>
        <w:pStyle w:val="Para1"/>
        <w:tabs>
          <w:tab w:val="clear" w:pos="360"/>
          <w:tab w:val="clear" w:pos="567"/>
          <w:tab w:val="clear" w:pos="2912"/>
        </w:tabs>
        <w:spacing w:line="240" w:lineRule="auto"/>
      </w:pPr>
      <w:bookmarkStart w:id="29" w:name="_Hlk530389812"/>
      <w:r w:rsidRPr="00EE0850">
        <w:t xml:space="preserve">At the 2nd plenary session of the meeting, on 17 November 2018, </w:t>
      </w:r>
      <w:r w:rsidR="00E367D0" w:rsidRPr="00EE0850">
        <w:t xml:space="preserve">it was </w:t>
      </w:r>
      <w:r w:rsidRPr="00EE0850">
        <w:t xml:space="preserve">agreed that, on the proposal of the Bureau, </w:t>
      </w:r>
      <w:r w:rsidR="008F1D76" w:rsidRPr="00EE0850">
        <w:rPr>
          <w:rFonts w:eastAsiaTheme="minorEastAsia"/>
          <w:bCs/>
          <w:iCs/>
          <w:szCs w:val="24"/>
        </w:rPr>
        <w:t xml:space="preserve">Mr. </w:t>
      </w:r>
      <w:r w:rsidR="008F1D76" w:rsidRPr="00EE0850">
        <w:rPr>
          <w:rFonts w:eastAsiaTheme="minorEastAsia"/>
          <w:bCs/>
          <w:iCs/>
          <w:noProof/>
          <w:szCs w:val="24"/>
        </w:rPr>
        <w:t>Monyrak Meng</w:t>
      </w:r>
      <w:r w:rsidR="008F1D76" w:rsidRPr="00EE0850">
        <w:rPr>
          <w:rFonts w:eastAsiaTheme="minorEastAsia"/>
          <w:bCs/>
          <w:iCs/>
          <w:szCs w:val="24"/>
        </w:rPr>
        <w:t xml:space="preserve"> (Cambodia) </w:t>
      </w:r>
      <w:r w:rsidRPr="00EE0850">
        <w:t>would serve as Rapporteur for the meeting.</w:t>
      </w:r>
    </w:p>
    <w:p w14:paraId="1D7DE320" w14:textId="308719B8" w:rsidR="00BD17E5" w:rsidRPr="00EE0850" w:rsidRDefault="008F1D76" w:rsidP="000C6220">
      <w:pPr>
        <w:pStyle w:val="Para1"/>
        <w:tabs>
          <w:tab w:val="clear" w:pos="360"/>
          <w:tab w:val="clear" w:pos="567"/>
          <w:tab w:val="clear" w:pos="2912"/>
        </w:tabs>
        <w:spacing w:line="240" w:lineRule="auto"/>
      </w:pPr>
      <w:r w:rsidRPr="00EE0850">
        <w:t>At its 4th plenary session, on 22 November 2018</w:t>
      </w:r>
      <w:r w:rsidRPr="00EE0850">
        <w:rPr>
          <w:bCs/>
        </w:rPr>
        <w:t xml:space="preserve">, the Conference of the Parties elected </w:t>
      </w:r>
      <w:r w:rsidR="00B81204" w:rsidRPr="00EE0850">
        <w:rPr>
          <w:bCs/>
        </w:rPr>
        <w:t>10</w:t>
      </w:r>
      <w:r w:rsidRPr="00EE0850">
        <w:rPr>
          <w:bCs/>
        </w:rPr>
        <w:t xml:space="preserve"> representatives to serve as members of the Bureau for a term of office comm</w:t>
      </w:r>
      <w:r w:rsidR="003743E1" w:rsidRPr="00EE0850">
        <w:rPr>
          <w:bCs/>
        </w:rPr>
        <w:t>encing upon the closure of its fou</w:t>
      </w:r>
      <w:r w:rsidRPr="00EE0850">
        <w:rPr>
          <w:bCs/>
        </w:rPr>
        <w:t xml:space="preserve">rteenth meeting and ending at the closure of its </w:t>
      </w:r>
      <w:r w:rsidR="003743E1" w:rsidRPr="00EE0850">
        <w:rPr>
          <w:bCs/>
        </w:rPr>
        <w:t>fif</w:t>
      </w:r>
      <w:r w:rsidRPr="00EE0850">
        <w:rPr>
          <w:bCs/>
        </w:rPr>
        <w:t xml:space="preserve">teenth meeting. </w:t>
      </w:r>
      <w:r w:rsidR="00064A5B" w:rsidRPr="00EE0850">
        <w:t>Three</w:t>
      </w:r>
      <w:r w:rsidRPr="00EE0850">
        <w:t xml:space="preserve"> of the representatives elected were from countries that were not Parties to the Nagoya Protocol. </w:t>
      </w:r>
      <w:r w:rsidR="003743E1" w:rsidRPr="00EE0850">
        <w:rPr>
          <w:szCs w:val="22"/>
        </w:rPr>
        <w:t>At the 4</w:t>
      </w:r>
      <w:r w:rsidR="004C33DE" w:rsidRPr="00EE0850">
        <w:rPr>
          <w:szCs w:val="22"/>
        </w:rPr>
        <w:t>th</w:t>
      </w:r>
      <w:r w:rsidR="003743E1" w:rsidRPr="00EE0850">
        <w:rPr>
          <w:szCs w:val="22"/>
        </w:rPr>
        <w:t xml:space="preserve"> plenary meeting, on 22 November, </w:t>
      </w:r>
      <w:r w:rsidR="00BD17E5" w:rsidRPr="00EE0850">
        <w:rPr>
          <w:szCs w:val="22"/>
        </w:rPr>
        <w:t xml:space="preserve">the following representatives </w:t>
      </w:r>
      <w:r w:rsidR="003743E1" w:rsidRPr="00EE0850">
        <w:rPr>
          <w:szCs w:val="22"/>
        </w:rPr>
        <w:t xml:space="preserve">were </w:t>
      </w:r>
      <w:r w:rsidR="003743E1" w:rsidRPr="00EE0850">
        <w:t xml:space="preserve">therefore elected </w:t>
      </w:r>
      <w:r w:rsidR="00BD17E5" w:rsidRPr="00EE0850">
        <w:rPr>
          <w:szCs w:val="22"/>
        </w:rPr>
        <w:t xml:space="preserve">to serve as substitute members </w:t>
      </w:r>
      <w:r w:rsidR="009F6D52" w:rsidRPr="00EE0850">
        <w:rPr>
          <w:szCs w:val="22"/>
        </w:rPr>
        <w:t>for</w:t>
      </w:r>
      <w:r w:rsidR="00BD17E5" w:rsidRPr="00EE0850">
        <w:rPr>
          <w:szCs w:val="22"/>
        </w:rPr>
        <w:t xml:space="preserve"> the Bureau</w:t>
      </w:r>
      <w:r w:rsidR="00B81204" w:rsidRPr="00EE0850">
        <w:rPr>
          <w:szCs w:val="22"/>
        </w:rPr>
        <w:t xml:space="preserve"> </w:t>
      </w:r>
      <w:r w:rsidR="009F6D52" w:rsidRPr="00EE0850">
        <w:t>for the fourth meeting of the Conference of the Parties serving as the meeting of the Parties to the Nagoya Protocol</w:t>
      </w:r>
      <w:r w:rsidR="00BD17E5" w:rsidRPr="00EE0850">
        <w:rPr>
          <w:szCs w:val="22"/>
        </w:rPr>
        <w:t xml:space="preserve">: Mr. </w:t>
      </w:r>
      <w:r w:rsidR="00BD17E5" w:rsidRPr="00EE0850">
        <w:rPr>
          <w:noProof/>
          <w:szCs w:val="22"/>
        </w:rPr>
        <w:t>Dilosharvo</w:t>
      </w:r>
      <w:r w:rsidR="00BD17E5" w:rsidRPr="00EE0850">
        <w:rPr>
          <w:szCs w:val="22"/>
        </w:rPr>
        <w:t xml:space="preserve"> </w:t>
      </w:r>
      <w:r w:rsidR="00BD17E5" w:rsidRPr="00EE0850">
        <w:rPr>
          <w:noProof/>
          <w:szCs w:val="22"/>
        </w:rPr>
        <w:t>Dustov</w:t>
      </w:r>
      <w:r w:rsidR="00BD17E5" w:rsidRPr="00EE0850">
        <w:rPr>
          <w:szCs w:val="22"/>
        </w:rPr>
        <w:t xml:space="preserve"> (Tajikistan), substituting </w:t>
      </w:r>
      <w:r w:rsidR="00DE60CA" w:rsidRPr="00EE0850">
        <w:rPr>
          <w:szCs w:val="22"/>
        </w:rPr>
        <w:t xml:space="preserve">for </w:t>
      </w:r>
      <w:r w:rsidR="00BD17E5" w:rsidRPr="00EE0850">
        <w:rPr>
          <w:szCs w:val="22"/>
        </w:rPr>
        <w:t xml:space="preserve">Ms. </w:t>
      </w:r>
      <w:r w:rsidR="00BD17E5" w:rsidRPr="00EE0850">
        <w:rPr>
          <w:noProof/>
          <w:szCs w:val="22"/>
        </w:rPr>
        <w:t>Teona</w:t>
      </w:r>
      <w:r w:rsidR="00BD17E5" w:rsidRPr="00EE0850">
        <w:rPr>
          <w:szCs w:val="22"/>
        </w:rPr>
        <w:t xml:space="preserve"> </w:t>
      </w:r>
      <w:r w:rsidR="00BD17E5" w:rsidRPr="00EE0850">
        <w:rPr>
          <w:noProof/>
          <w:szCs w:val="22"/>
        </w:rPr>
        <w:t>Karchava</w:t>
      </w:r>
      <w:r w:rsidR="00BD17E5" w:rsidRPr="00EE0850">
        <w:rPr>
          <w:snapToGrid w:val="0"/>
          <w:kern w:val="22"/>
          <w:szCs w:val="22"/>
        </w:rPr>
        <w:t xml:space="preserve"> </w:t>
      </w:r>
      <w:r w:rsidR="00BD17E5" w:rsidRPr="00EE0850">
        <w:rPr>
          <w:szCs w:val="22"/>
        </w:rPr>
        <w:t xml:space="preserve">(Georgia); Mr. </w:t>
      </w:r>
      <w:r w:rsidR="00BD17E5" w:rsidRPr="00EE0850">
        <w:rPr>
          <w:noProof/>
          <w:szCs w:val="22"/>
        </w:rPr>
        <w:t>Luciano</w:t>
      </w:r>
      <w:r w:rsidR="00BD17E5" w:rsidRPr="00EE0850">
        <w:rPr>
          <w:szCs w:val="22"/>
        </w:rPr>
        <w:t xml:space="preserve"> </w:t>
      </w:r>
      <w:r w:rsidR="00C70EFA" w:rsidRPr="00EE0850">
        <w:rPr>
          <w:noProof/>
        </w:rPr>
        <w:t>Martin</w:t>
      </w:r>
      <w:r w:rsidR="00C70EFA" w:rsidRPr="00EE0850">
        <w:t xml:space="preserve"> </w:t>
      </w:r>
      <w:r w:rsidR="00BD17E5" w:rsidRPr="00EE0850">
        <w:rPr>
          <w:noProof/>
          <w:szCs w:val="22"/>
        </w:rPr>
        <w:t>Donadio</w:t>
      </w:r>
      <w:r w:rsidR="00BD17E5" w:rsidRPr="00EE0850">
        <w:rPr>
          <w:szCs w:val="22"/>
        </w:rPr>
        <w:t xml:space="preserve"> </w:t>
      </w:r>
      <w:r w:rsidR="00C70EFA" w:rsidRPr="00EE0850">
        <w:t xml:space="preserve">Linares </w:t>
      </w:r>
      <w:r w:rsidR="00BD17E5" w:rsidRPr="00EE0850">
        <w:rPr>
          <w:szCs w:val="22"/>
        </w:rPr>
        <w:t xml:space="preserve">(Argentina), substituting </w:t>
      </w:r>
      <w:r w:rsidR="00DE60CA" w:rsidRPr="00EE0850">
        <w:rPr>
          <w:szCs w:val="22"/>
        </w:rPr>
        <w:t xml:space="preserve">for </w:t>
      </w:r>
      <w:r w:rsidR="00BD17E5" w:rsidRPr="00EE0850">
        <w:rPr>
          <w:snapToGrid w:val="0"/>
          <w:kern w:val="22"/>
          <w:szCs w:val="22"/>
        </w:rPr>
        <w:t xml:space="preserve">Mr. </w:t>
      </w:r>
      <w:r w:rsidR="00BD17E5" w:rsidRPr="00EE0850">
        <w:rPr>
          <w:noProof/>
          <w:szCs w:val="22"/>
        </w:rPr>
        <w:t>Carlos</w:t>
      </w:r>
      <w:r w:rsidR="00BD17E5" w:rsidRPr="00EE0850">
        <w:rPr>
          <w:szCs w:val="22"/>
        </w:rPr>
        <w:t xml:space="preserve"> </w:t>
      </w:r>
      <w:r w:rsidR="00BD17E5" w:rsidRPr="00EE0850">
        <w:rPr>
          <w:noProof/>
          <w:szCs w:val="22"/>
        </w:rPr>
        <w:t>Manuel</w:t>
      </w:r>
      <w:r w:rsidR="00BD17E5" w:rsidRPr="00EE0850">
        <w:rPr>
          <w:szCs w:val="22"/>
        </w:rPr>
        <w:t xml:space="preserve"> </w:t>
      </w:r>
      <w:r w:rsidR="00BD17E5" w:rsidRPr="00EE0850">
        <w:rPr>
          <w:noProof/>
          <w:szCs w:val="22"/>
        </w:rPr>
        <w:t>Rodriguez</w:t>
      </w:r>
      <w:r w:rsidR="00BD17E5" w:rsidRPr="00EE0850">
        <w:rPr>
          <w:snapToGrid w:val="0"/>
          <w:kern w:val="22"/>
          <w:szCs w:val="22"/>
        </w:rPr>
        <w:t xml:space="preserve"> </w:t>
      </w:r>
      <w:r w:rsidR="00BD17E5" w:rsidRPr="00EE0850">
        <w:rPr>
          <w:szCs w:val="22"/>
        </w:rPr>
        <w:t xml:space="preserve">(Costa Rica); and Ms. </w:t>
      </w:r>
      <w:r w:rsidR="00BD17E5" w:rsidRPr="00EE0850">
        <w:rPr>
          <w:noProof/>
          <w:szCs w:val="22"/>
        </w:rPr>
        <w:t>Marie</w:t>
      </w:r>
      <w:r w:rsidR="00BD17E5" w:rsidRPr="00EE0850">
        <w:rPr>
          <w:szCs w:val="22"/>
        </w:rPr>
        <w:t xml:space="preserve"> </w:t>
      </w:r>
      <w:r w:rsidR="00BD17E5" w:rsidRPr="00EE0850">
        <w:rPr>
          <w:noProof/>
          <w:szCs w:val="22"/>
        </w:rPr>
        <w:t>Haraldstad</w:t>
      </w:r>
      <w:r w:rsidR="00BD17E5" w:rsidRPr="00EE0850">
        <w:rPr>
          <w:szCs w:val="22"/>
        </w:rPr>
        <w:t xml:space="preserve"> (Norway), substituting </w:t>
      </w:r>
      <w:r w:rsidR="00DE60CA" w:rsidRPr="00EE0850">
        <w:rPr>
          <w:szCs w:val="22"/>
        </w:rPr>
        <w:t xml:space="preserve">for </w:t>
      </w:r>
      <w:r w:rsidR="00BD17E5" w:rsidRPr="00EE0850">
        <w:rPr>
          <w:szCs w:val="22"/>
        </w:rPr>
        <w:t xml:space="preserve">Ms. </w:t>
      </w:r>
      <w:r w:rsidR="00BD17E5" w:rsidRPr="00EE0850">
        <w:rPr>
          <w:noProof/>
          <w:szCs w:val="22"/>
        </w:rPr>
        <w:t>Rosemary</w:t>
      </w:r>
      <w:r w:rsidR="00BD17E5" w:rsidRPr="00EE0850">
        <w:rPr>
          <w:szCs w:val="22"/>
        </w:rPr>
        <w:t xml:space="preserve"> </w:t>
      </w:r>
      <w:r w:rsidR="00BD17E5" w:rsidRPr="00EE0850">
        <w:rPr>
          <w:noProof/>
          <w:szCs w:val="22"/>
        </w:rPr>
        <w:t>Paterson</w:t>
      </w:r>
      <w:r w:rsidR="00BD17E5" w:rsidRPr="00EE0850">
        <w:rPr>
          <w:szCs w:val="22"/>
        </w:rPr>
        <w:t xml:space="preserve"> (New Zealand).</w:t>
      </w:r>
    </w:p>
    <w:bookmarkEnd w:id="29"/>
    <w:p w14:paraId="0F0C72D5" w14:textId="77777777" w:rsidR="008F1539" w:rsidRPr="00EE0850" w:rsidRDefault="004A5FFB" w:rsidP="000C6220">
      <w:pPr>
        <w:pStyle w:val="Heading2"/>
        <w:spacing w:before="120" w:line="240" w:lineRule="auto"/>
      </w:pPr>
      <w:r w:rsidRPr="00EE0850">
        <w:t>2.2</w:t>
      </w:r>
      <w:r w:rsidRPr="00EE0850">
        <w:tab/>
      </w:r>
      <w:r w:rsidR="008F1539" w:rsidRPr="00EE0850">
        <w:t>Adoption of the agenda</w:t>
      </w:r>
    </w:p>
    <w:p w14:paraId="6B9E0D93" w14:textId="04FAFAE0" w:rsidR="00736790" w:rsidRPr="00EE0850" w:rsidRDefault="00BE20EF" w:rsidP="000C6220">
      <w:pPr>
        <w:pStyle w:val="Para1"/>
        <w:tabs>
          <w:tab w:val="clear" w:pos="360"/>
          <w:tab w:val="clear" w:pos="567"/>
          <w:tab w:val="clear" w:pos="2912"/>
        </w:tabs>
        <w:spacing w:line="240" w:lineRule="auto"/>
        <w:rPr>
          <w:snapToGrid w:val="0"/>
          <w:kern w:val="22"/>
        </w:rPr>
      </w:pPr>
      <w:r w:rsidRPr="00EE0850">
        <w:t xml:space="preserve">At the </w:t>
      </w:r>
      <w:r w:rsidR="00EE7CB9" w:rsidRPr="00EE0850">
        <w:t xml:space="preserve">2nd </w:t>
      </w:r>
      <w:r w:rsidRPr="00EE0850">
        <w:t xml:space="preserve">plenary session, on 17 November 2018, the Conference of the Parties serving as the meeting of the Parties </w:t>
      </w:r>
      <w:r w:rsidR="00A701D5" w:rsidRPr="00EE0850">
        <w:t xml:space="preserve">to the Nagoya Protocol </w:t>
      </w:r>
      <w:r w:rsidRPr="00EE0850">
        <w:t xml:space="preserve">adopted the following agenda on the basis of the agenda prepared by the Executive Secretary in consultation with the Bureau </w:t>
      </w:r>
      <w:r w:rsidR="00AD2634" w:rsidRPr="00EE0850">
        <w:rPr>
          <w:snapToGrid w:val="0"/>
          <w:kern w:val="22"/>
        </w:rPr>
        <w:t>(CBD/NP/MOP/3</w:t>
      </w:r>
      <w:r w:rsidR="00736790" w:rsidRPr="00EE0850">
        <w:rPr>
          <w:snapToGrid w:val="0"/>
          <w:kern w:val="22"/>
        </w:rPr>
        <w:t>/1)</w:t>
      </w:r>
      <w:r w:rsidR="00171D4F" w:rsidRPr="00EE0850">
        <w:rPr>
          <w:snapToGrid w:val="0"/>
          <w:kern w:val="22"/>
        </w:rPr>
        <w:t>.</w:t>
      </w:r>
    </w:p>
    <w:p w14:paraId="297BA316"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Opening of the meeting.</w:t>
      </w:r>
    </w:p>
    <w:p w14:paraId="072C3F03"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Organizational matters.</w:t>
      </w:r>
    </w:p>
    <w:p w14:paraId="477A1C86"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Report on the credentials of representatives to the third meeting of the Conference of the Parties serving as the meeting of the Parties to the Nagoya Protocol.</w:t>
      </w:r>
    </w:p>
    <w:p w14:paraId="32A510A1"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Reports of subsidiary bodies.</w:t>
      </w:r>
    </w:p>
    <w:p w14:paraId="017BC310"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Report of the Compliance Committee (Article 30).</w:t>
      </w:r>
    </w:p>
    <w:p w14:paraId="03F6F6BC"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Administration of the Protocol and budget for the trust funds.</w:t>
      </w:r>
    </w:p>
    <w:p w14:paraId="34644D6F"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Assessment and review of the effectiveness of the Protocol (Article 31).</w:t>
      </w:r>
    </w:p>
    <w:p w14:paraId="06FB7713"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Financial mechanism and resources (Article 25).</w:t>
      </w:r>
    </w:p>
    <w:p w14:paraId="7813BC9F"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Measures to assist in capacity-building and capacity development (Article 22).</w:t>
      </w:r>
    </w:p>
    <w:p w14:paraId="28382878"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The Access and Benefit-sharing Clearing-House and information-sharing (Article 14).</w:t>
      </w:r>
    </w:p>
    <w:p w14:paraId="0D7559D7"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Monitoring and reporting (Article 29).</w:t>
      </w:r>
    </w:p>
    <w:p w14:paraId="6A044334"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Measures to raise awareness of the importance of genetic resources and associated traditional knowledge (Article 21).</w:t>
      </w:r>
    </w:p>
    <w:p w14:paraId="40930146"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szCs w:val="22"/>
        </w:rPr>
        <w:t>Enhancing integration under the Convention and its Protocols with respect to provisions related to access and benefit-sharing.</w:t>
      </w:r>
    </w:p>
    <w:p w14:paraId="62A4BD09"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Cooperation with other international organizations, conventions and initiatives.</w:t>
      </w:r>
    </w:p>
    <w:p w14:paraId="64F4DD9B"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Review of the effectiveness of structures and processes.</w:t>
      </w:r>
    </w:p>
    <w:p w14:paraId="20E66D42"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szCs w:val="22"/>
        </w:rPr>
        <w:t>Preparation for the follow-up to the Strategic Plan for Biodiversity 2011-2020.</w:t>
      </w:r>
    </w:p>
    <w:p w14:paraId="42FA50AC"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Digital sequence information on genetic resources.</w:t>
      </w:r>
    </w:p>
    <w:p w14:paraId="17F5AC35"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iCs/>
          <w:snapToGrid w:val="0"/>
          <w:kern w:val="22"/>
          <w:szCs w:val="22"/>
        </w:rPr>
        <w:t>Specialized international access and benefit-sharing instruments in the context of Article</w:t>
      </w:r>
      <w:r w:rsidR="00C628FC" w:rsidRPr="00EE0850">
        <w:rPr>
          <w:iCs/>
          <w:snapToGrid w:val="0"/>
          <w:kern w:val="22"/>
          <w:szCs w:val="22"/>
        </w:rPr>
        <w:t> </w:t>
      </w:r>
      <w:r w:rsidRPr="00EE0850">
        <w:rPr>
          <w:iCs/>
          <w:snapToGrid w:val="0"/>
          <w:kern w:val="22"/>
          <w:szCs w:val="22"/>
        </w:rPr>
        <w:t>4, paragraph 4, of the Nagoya Protocol.</w:t>
      </w:r>
    </w:p>
    <w:p w14:paraId="46DC18F0"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Global multilateral benefit-sharing mechanism (Article 10).</w:t>
      </w:r>
    </w:p>
    <w:p w14:paraId="04B5850F"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Other matters.</w:t>
      </w:r>
    </w:p>
    <w:p w14:paraId="42BE4A12"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rPr>
      </w:pPr>
      <w:r w:rsidRPr="00EE0850">
        <w:rPr>
          <w:snapToGrid w:val="0"/>
          <w:kern w:val="22"/>
        </w:rPr>
        <w:t>Adoption of the report.</w:t>
      </w:r>
    </w:p>
    <w:p w14:paraId="192C622B" w14:textId="77777777" w:rsidR="00BE20EF" w:rsidRPr="00EE0850" w:rsidRDefault="00BE20EF" w:rsidP="000C6220">
      <w:pPr>
        <w:numPr>
          <w:ilvl w:val="0"/>
          <w:numId w:val="18"/>
        </w:numPr>
        <w:tabs>
          <w:tab w:val="clear" w:pos="1800"/>
        </w:tabs>
        <w:kinsoku w:val="0"/>
        <w:overflowPunct w:val="0"/>
        <w:autoSpaceDE w:val="0"/>
        <w:autoSpaceDN w:val="0"/>
        <w:spacing w:before="120" w:line="240" w:lineRule="auto"/>
        <w:ind w:left="1287" w:hanging="720"/>
        <w:jc w:val="left"/>
        <w:rPr>
          <w:snapToGrid w:val="0"/>
          <w:kern w:val="22"/>
          <w:lang w:val="en-US"/>
        </w:rPr>
      </w:pPr>
      <w:r w:rsidRPr="00EE0850">
        <w:rPr>
          <w:snapToGrid w:val="0"/>
          <w:kern w:val="22"/>
        </w:rPr>
        <w:t>Closure of the meeting.</w:t>
      </w:r>
    </w:p>
    <w:p w14:paraId="56BEC5FD" w14:textId="77777777" w:rsidR="005440DA" w:rsidRPr="00EE0850" w:rsidRDefault="006A530A" w:rsidP="000C6220">
      <w:pPr>
        <w:pStyle w:val="Heading2"/>
        <w:tabs>
          <w:tab w:val="left" w:pos="426"/>
        </w:tabs>
        <w:spacing w:before="120" w:line="240" w:lineRule="auto"/>
      </w:pPr>
      <w:r w:rsidRPr="00EE0850">
        <w:t>2.3</w:t>
      </w:r>
      <w:r w:rsidR="001F2E12" w:rsidRPr="00EE0850">
        <w:t>.</w:t>
      </w:r>
      <w:r w:rsidR="001F2E12" w:rsidRPr="00EE0850">
        <w:tab/>
        <w:t>Organization of work</w:t>
      </w:r>
    </w:p>
    <w:p w14:paraId="6FBE67DA" w14:textId="2B77241D" w:rsidR="002D7E6D" w:rsidRPr="00EE0850" w:rsidRDefault="00E15AA6" w:rsidP="000C6220">
      <w:pPr>
        <w:pStyle w:val="Para1"/>
        <w:tabs>
          <w:tab w:val="clear" w:pos="360"/>
          <w:tab w:val="clear" w:pos="567"/>
          <w:tab w:val="clear" w:pos="2912"/>
        </w:tabs>
        <w:spacing w:line="240" w:lineRule="auto"/>
      </w:pPr>
      <w:r w:rsidRPr="00EE0850">
        <w:t xml:space="preserve">At the </w:t>
      </w:r>
      <w:r w:rsidR="00C628FC" w:rsidRPr="00EE0850">
        <w:rPr>
          <w:color w:val="000000"/>
        </w:rPr>
        <w:t xml:space="preserve">2nd </w:t>
      </w:r>
      <w:r w:rsidRPr="00EE0850">
        <w:t xml:space="preserve">plenary session, on 17 November 2018, the Conference of the Parties serving as the meeting of the Parties </w:t>
      </w:r>
      <w:r w:rsidR="002D7E6D" w:rsidRPr="00EE0850">
        <w:t>agreed to organize its work as set out in annex II to the proposed organization of work (CBD/COP/14/1/Add.2) and endorsed the establishment of the two working groups by the Conference of the Parties</w:t>
      </w:r>
      <w:r w:rsidR="00A25490" w:rsidRPr="00EE0850">
        <w:t>.</w:t>
      </w:r>
    </w:p>
    <w:p w14:paraId="76A31A71" w14:textId="77777777" w:rsidR="00B45E7D" w:rsidRPr="00EE0850" w:rsidRDefault="00B45E7D" w:rsidP="000C6220">
      <w:pPr>
        <w:pStyle w:val="Heading3"/>
        <w:spacing w:line="240" w:lineRule="auto"/>
      </w:pPr>
      <w:r w:rsidRPr="00EE0850">
        <w:t>Parallel events and awards</w:t>
      </w:r>
    </w:p>
    <w:p w14:paraId="6A3A51D1" w14:textId="6F89A6AF" w:rsidR="00B45E7D" w:rsidRPr="00EE0850" w:rsidRDefault="00B45E7D" w:rsidP="000C6220">
      <w:pPr>
        <w:pStyle w:val="Para1"/>
        <w:tabs>
          <w:tab w:val="clear" w:pos="360"/>
          <w:tab w:val="clear" w:pos="567"/>
          <w:tab w:val="clear" w:pos="2912"/>
        </w:tabs>
        <w:spacing w:line="240" w:lineRule="auto"/>
      </w:pPr>
      <w:r w:rsidRPr="00EE0850">
        <w:t xml:space="preserve">During the fourteenth meeting of the Conference of the Parties, three awards ceremonies </w:t>
      </w:r>
      <w:r w:rsidR="00647D30" w:rsidRPr="00EE0850">
        <w:t>were held</w:t>
      </w:r>
      <w:r w:rsidRPr="00EE0850">
        <w:t xml:space="preserve">. In addition, multiple related events were held in parallel with the meeting. More information on those award ceremonies and parallel events can be found in annex IV to the </w:t>
      </w:r>
      <w:r w:rsidRPr="00EE0850">
        <w:rPr>
          <w:lang w:val="en-US"/>
        </w:rPr>
        <w:t>report of the Conference of the Parties</w:t>
      </w:r>
      <w:r w:rsidR="0073774A" w:rsidRPr="00EE0850">
        <w:rPr>
          <w:lang w:val="en-US"/>
        </w:rPr>
        <w:t xml:space="preserve"> on its fourteenth meeting</w:t>
      </w:r>
      <w:r w:rsidRPr="00EE0850">
        <w:t>.</w:t>
      </w:r>
    </w:p>
    <w:p w14:paraId="5A61A700" w14:textId="77777777" w:rsidR="00CF77B5" w:rsidRPr="00EE0850" w:rsidRDefault="006A530A" w:rsidP="000C6220">
      <w:pPr>
        <w:pStyle w:val="Heading1-item"/>
        <w:spacing w:before="120" w:line="240" w:lineRule="auto"/>
        <w:ind w:left="1701" w:hanging="1134"/>
        <w:jc w:val="left"/>
      </w:pPr>
      <w:bookmarkStart w:id="30" w:name="_Toc256220"/>
      <w:bookmarkStart w:id="31" w:name="_Hlk778092"/>
      <w:r w:rsidRPr="00EE0850">
        <w:rPr>
          <w:rFonts w:ascii="Times New Roman" w:hAnsi="Times New Roman" w:cs="Times New Roman"/>
        </w:rPr>
        <w:t>ITEM 3</w:t>
      </w:r>
      <w:r w:rsidR="009C4CAA" w:rsidRPr="00EE0850">
        <w:rPr>
          <w:rFonts w:ascii="Times New Roman" w:hAnsi="Times New Roman" w:cs="Times New Roman"/>
        </w:rPr>
        <w:t>.</w:t>
      </w:r>
      <w:r w:rsidR="009C4CAA" w:rsidRPr="00EE0850">
        <w:rPr>
          <w:rFonts w:ascii="Times New Roman" w:hAnsi="Times New Roman" w:cs="Times New Roman"/>
        </w:rPr>
        <w:tab/>
        <w:t xml:space="preserve">REPORT ON THE CREDENTIALS OF REPRESENTATIVES TO THE </w:t>
      </w:r>
      <w:r w:rsidR="00193167" w:rsidRPr="00EE0850">
        <w:rPr>
          <w:rFonts w:ascii="Times New Roman" w:hAnsi="Times New Roman" w:cs="Times New Roman"/>
        </w:rPr>
        <w:t>THIRD</w:t>
      </w:r>
      <w:r w:rsidRPr="00EE0850">
        <w:rPr>
          <w:rFonts w:ascii="Times New Roman" w:hAnsi="Times New Roman" w:cs="Times New Roman"/>
        </w:rPr>
        <w:t xml:space="preserve"> </w:t>
      </w:r>
      <w:r w:rsidR="009C4CAA" w:rsidRPr="00EE0850">
        <w:rPr>
          <w:rFonts w:ascii="Times New Roman" w:hAnsi="Times New Roman" w:cs="Times New Roman"/>
        </w:rPr>
        <w:t>MEETING OF THE CONFERENCE OF THE PARTIES SERVING AS THE MEETING OF THE PARTIES TO THE NAGOYA PROTOCOL</w:t>
      </w:r>
      <w:bookmarkEnd w:id="30"/>
    </w:p>
    <w:p w14:paraId="6F50904D" w14:textId="4BE6A8C4" w:rsidR="002D7E6D" w:rsidRPr="00EE0850" w:rsidRDefault="002D7E6D" w:rsidP="000C6220">
      <w:pPr>
        <w:pStyle w:val="Para1"/>
        <w:tabs>
          <w:tab w:val="clear" w:pos="360"/>
          <w:tab w:val="clear" w:pos="567"/>
          <w:tab w:val="clear" w:pos="2912"/>
        </w:tabs>
        <w:spacing w:line="240" w:lineRule="auto"/>
      </w:pPr>
      <w:r w:rsidRPr="00EE0850">
        <w:t xml:space="preserve">Agenda item 3 was taken up at the </w:t>
      </w:r>
      <w:bookmarkStart w:id="32" w:name="_Hlk530303786"/>
      <w:r w:rsidRPr="00EE0850">
        <w:t>2nd plenary session, on 17 November 2018</w:t>
      </w:r>
      <w:bookmarkEnd w:id="32"/>
      <w:r w:rsidRPr="00EE0850">
        <w:t xml:space="preserve">. In accordance with rule 19 of the </w:t>
      </w:r>
      <w:r w:rsidR="00453D02" w:rsidRPr="00EE0850">
        <w:t>r</w:t>
      </w:r>
      <w:r w:rsidRPr="00EE0850">
        <w:t xml:space="preserve">ules of </w:t>
      </w:r>
      <w:r w:rsidR="00453D02" w:rsidRPr="00EE0850">
        <w:t>p</w:t>
      </w:r>
      <w:r w:rsidRPr="00EE0850">
        <w:t xml:space="preserve">rocedure, the Bureau was to examine and report on the credentials of delegations. Accordingly, the President informed the </w:t>
      </w:r>
      <w:r w:rsidR="00BE05C7" w:rsidRPr="00EE0850">
        <w:rPr>
          <w:snapToGrid w:val="0"/>
          <w:kern w:val="22"/>
          <w:szCs w:val="22"/>
        </w:rPr>
        <w:t>Conference of the Parties serving as the meeting of the Parties to the Nagoya Protocol</w:t>
      </w:r>
      <w:r w:rsidR="00BE05C7" w:rsidRPr="00EE0850" w:rsidDel="00BE05C7">
        <w:t xml:space="preserve"> </w:t>
      </w:r>
      <w:r w:rsidRPr="00EE0850">
        <w:t xml:space="preserve">that the Bureau had designated </w:t>
      </w:r>
      <w:r w:rsidRPr="00EE0850">
        <w:rPr>
          <w:rFonts w:eastAsiaTheme="minorEastAsia"/>
          <w:bCs/>
          <w:iCs/>
          <w:szCs w:val="24"/>
        </w:rPr>
        <w:t xml:space="preserve">Ms. </w:t>
      </w:r>
      <w:r w:rsidRPr="00EE0850">
        <w:rPr>
          <w:rFonts w:eastAsiaTheme="minorEastAsia"/>
          <w:bCs/>
          <w:iCs/>
          <w:noProof/>
          <w:szCs w:val="24"/>
        </w:rPr>
        <w:t>Elena Makeyeva</w:t>
      </w:r>
      <w:r w:rsidRPr="00EE0850">
        <w:rPr>
          <w:rFonts w:eastAsiaTheme="minorEastAsia"/>
          <w:bCs/>
          <w:iCs/>
          <w:szCs w:val="24"/>
        </w:rPr>
        <w:t xml:space="preserve"> </w:t>
      </w:r>
      <w:r w:rsidRPr="00EE0850">
        <w:t>(Belarus), a Vice-President of the Bureau, to examine and report on credentials.</w:t>
      </w:r>
    </w:p>
    <w:p w14:paraId="00BCC9FF" w14:textId="4F2FB29F" w:rsidR="00BD17E5" w:rsidRPr="00EE0850" w:rsidRDefault="00BD17E5" w:rsidP="000C6220">
      <w:pPr>
        <w:pStyle w:val="Para1"/>
        <w:tabs>
          <w:tab w:val="clear" w:pos="360"/>
          <w:tab w:val="clear" w:pos="567"/>
          <w:tab w:val="clear" w:pos="2912"/>
        </w:tabs>
        <w:spacing w:line="240" w:lineRule="auto"/>
      </w:pPr>
      <w:r w:rsidRPr="00EE0850">
        <w:rPr>
          <w:snapToGrid w:val="0"/>
          <w:kern w:val="22"/>
          <w:szCs w:val="22"/>
        </w:rPr>
        <w:t xml:space="preserve">At the 4th plenary session of the meeting, on 22 November 2018, Ms. </w:t>
      </w:r>
      <w:r w:rsidRPr="00EE0850">
        <w:rPr>
          <w:noProof/>
          <w:snapToGrid w:val="0"/>
          <w:kern w:val="22"/>
          <w:szCs w:val="22"/>
        </w:rPr>
        <w:t>Makeyeva</w:t>
      </w:r>
      <w:r w:rsidRPr="00EE0850">
        <w:rPr>
          <w:snapToGrid w:val="0"/>
          <w:kern w:val="22"/>
          <w:szCs w:val="22"/>
        </w:rPr>
        <w:t xml:space="preserve"> informed the Conference of the Parties serving as the meeting of the Parties </w:t>
      </w:r>
      <w:r w:rsidR="00BE05C7" w:rsidRPr="00EE0850">
        <w:rPr>
          <w:snapToGrid w:val="0"/>
          <w:kern w:val="22"/>
          <w:szCs w:val="22"/>
        </w:rPr>
        <w:t xml:space="preserve">to the Nagoya Protocol </w:t>
      </w:r>
      <w:r w:rsidRPr="00EE0850">
        <w:rPr>
          <w:snapToGrid w:val="0"/>
          <w:kern w:val="22"/>
          <w:szCs w:val="22"/>
        </w:rPr>
        <w:t>that 111 Parties were registered as attending the meeting. The Bureau had examined the credentials of the representatives of 94 Parties that were attending the meeting. The credentials of 84 delegations were in full compliance with rule 18 of the rules of procedure. Those of 10 delegations did not fully comply with rule 18 and a further 17 delegations had not presented their credentials to date.</w:t>
      </w:r>
    </w:p>
    <w:p w14:paraId="659DDE07" w14:textId="07DA29C4" w:rsidR="00426DF0" w:rsidRPr="00EE0850" w:rsidRDefault="00426DF0" w:rsidP="000C6220">
      <w:pPr>
        <w:pStyle w:val="Para1"/>
        <w:tabs>
          <w:tab w:val="clear" w:pos="360"/>
          <w:tab w:val="clear" w:pos="567"/>
          <w:tab w:val="clear" w:pos="2912"/>
        </w:tabs>
        <w:spacing w:line="240" w:lineRule="auto"/>
      </w:pPr>
      <w:r w:rsidRPr="00EE0850">
        <w:t xml:space="preserve">At the 7th plenary session of the meeting, on 29 November 2018, Ms. </w:t>
      </w:r>
      <w:r w:rsidRPr="00EE0850">
        <w:rPr>
          <w:noProof/>
        </w:rPr>
        <w:t>Mak</w:t>
      </w:r>
      <w:r w:rsidR="00477F2F" w:rsidRPr="00EE0850">
        <w:rPr>
          <w:noProof/>
        </w:rPr>
        <w:t>e</w:t>
      </w:r>
      <w:r w:rsidRPr="00EE0850">
        <w:rPr>
          <w:noProof/>
        </w:rPr>
        <w:t>yeva</w:t>
      </w:r>
      <w:r w:rsidRPr="00EE0850">
        <w:t xml:space="preserve"> informed the Conference of the Parties serving as the meeting of the Parties to the Nagoya Protocol that 111 Parties or Parties that were in the process of acceding to the Protocol were registered as attending the meeting. The Bureau had examined the credentials of the representatives of 99 Parties. The credentials of 93 delegations were in full compliance with the provisions of rule 18 of the rules of procedure, those of 6 delegations did not fully comply with the provisions of rule 18, and a further 12 delegations had not presented their credentials. More information is available in document CBD/COP/14/INF/49.</w:t>
      </w:r>
    </w:p>
    <w:p w14:paraId="3EAE9E5A" w14:textId="75DDDB7E" w:rsidR="00910968" w:rsidRPr="00EE0850" w:rsidRDefault="00426DF0" w:rsidP="000C6220">
      <w:pPr>
        <w:pStyle w:val="Para1"/>
        <w:tabs>
          <w:tab w:val="clear" w:pos="360"/>
          <w:tab w:val="clear" w:pos="567"/>
          <w:tab w:val="clear" w:pos="2912"/>
        </w:tabs>
        <w:spacing w:line="240" w:lineRule="auto"/>
      </w:pPr>
      <w:r w:rsidRPr="00EE0850">
        <w:t xml:space="preserve">A number of heads of delegations had signed a declaration to the effect that they would submit their credentials, in the proper form and in their original version, to the Executive Secretary within 30 days of the closure of the meeting, and no later than 29 December 2018. In keeping with past practice, the Conference of the Parties serving as the meeting of the Parties to the Nagoya Protocol agreed </w:t>
      </w:r>
      <w:r w:rsidR="00C3548B" w:rsidRPr="00EE0850">
        <w:t>with</w:t>
      </w:r>
      <w:r w:rsidRPr="00EE0850">
        <w:t xml:space="preserve"> the Bureau’s proposal that those delegations that had yet to submit their credentials, or whose credentials did</w:t>
      </w:r>
      <w:r w:rsidRPr="00EE0850" w:rsidDel="00426DF0">
        <w:t xml:space="preserve"> </w:t>
      </w:r>
      <w:r w:rsidRPr="00EE0850">
        <w:t>not fully comply with the provisions of rule 18, should be allowed to participate fully in the meeting on a provisional basis.</w:t>
      </w:r>
    </w:p>
    <w:p w14:paraId="740FC4AA" w14:textId="2D654ADE" w:rsidR="00910968" w:rsidRPr="00EE0850" w:rsidRDefault="00910968" w:rsidP="000C6220">
      <w:pPr>
        <w:pStyle w:val="Para1"/>
        <w:tabs>
          <w:tab w:val="clear" w:pos="360"/>
          <w:tab w:val="clear" w:pos="567"/>
          <w:tab w:val="clear" w:pos="2912"/>
        </w:tabs>
        <w:spacing w:line="240" w:lineRule="auto"/>
        <w:rPr>
          <w:kern w:val="22"/>
        </w:rPr>
      </w:pPr>
      <w:r w:rsidRPr="00EE0850">
        <w:rPr>
          <w:kern w:val="22"/>
        </w:rPr>
        <w:t xml:space="preserve">The President expressed the hope that all delegations that had been requested to present their credentials to the Executive Secretary would do so no later than 29 December 2018. </w:t>
      </w:r>
      <w:r w:rsidR="00E47298" w:rsidRPr="00EE0850">
        <w:rPr>
          <w:kern w:val="22"/>
        </w:rPr>
        <w:t>Following</w:t>
      </w:r>
      <w:r w:rsidRPr="00EE0850">
        <w:rPr>
          <w:kern w:val="22"/>
        </w:rPr>
        <w:t xml:space="preserve"> the end of the </w:t>
      </w:r>
      <w:r w:rsidR="00AF123C">
        <w:rPr>
          <w:kern w:val="22"/>
        </w:rPr>
        <w:t>third</w:t>
      </w:r>
      <w:r w:rsidR="00AF123C" w:rsidRPr="00EE0850">
        <w:rPr>
          <w:kern w:val="22"/>
        </w:rPr>
        <w:t xml:space="preserve"> </w:t>
      </w:r>
      <w:r w:rsidRPr="00EE0850">
        <w:rPr>
          <w:kern w:val="22"/>
        </w:rPr>
        <w:t>meeting of the Conference of the Parties serving as the meeting of the Parties to the Nagoya Protocol, credentials from an additional six Parties were received.</w:t>
      </w:r>
    </w:p>
    <w:p w14:paraId="745B9AB1" w14:textId="17F16F75" w:rsidR="002D7E6D" w:rsidRPr="00EE0850" w:rsidRDefault="00910968" w:rsidP="000C6220">
      <w:pPr>
        <w:pStyle w:val="Para1"/>
        <w:tabs>
          <w:tab w:val="clear" w:pos="360"/>
          <w:tab w:val="clear" w:pos="567"/>
          <w:tab w:val="clear" w:pos="2912"/>
        </w:tabs>
        <w:suppressAutoHyphens/>
        <w:spacing w:line="240" w:lineRule="auto"/>
      </w:pPr>
      <w:r w:rsidRPr="00EE0850">
        <w:rPr>
          <w:rFonts w:eastAsia="Times New Roman"/>
          <w:snapToGrid w:val="0"/>
          <w:kern w:val="22"/>
        </w:rPr>
        <w:t xml:space="preserve">By the date of issuance of the present report, credentials that were fully compliant with rule 18 of the rules of procedure had been received from the following 99 Parties:  Angola; Antigua and Barbuda; Argentina; Austria; Belarus; Belgium; Benin; Bolivia; Botswana; Bulgaria; Burkina Faso; Burundi; Cambodia; Cameroon; Central African Republic; Chad; China; Cote d’Ivoire; Croatia; Cuba; Czechia; Denmark; Dominican Republic; Ecuador; Egypt; </w:t>
      </w:r>
      <w:proofErr w:type="spellStart"/>
      <w:r w:rsidRPr="00EE0850">
        <w:rPr>
          <w:rFonts w:eastAsia="Times New Roman"/>
          <w:snapToGrid w:val="0"/>
          <w:kern w:val="22"/>
        </w:rPr>
        <w:t>Eswatini</w:t>
      </w:r>
      <w:proofErr w:type="spellEnd"/>
      <w:r w:rsidRPr="00EE0850">
        <w:rPr>
          <w:rFonts w:eastAsia="Times New Roman"/>
          <w:snapToGrid w:val="0"/>
          <w:kern w:val="22"/>
        </w:rPr>
        <w:t xml:space="preserve">; Ethiopia; European Union; Fiji; Finland; France; Gabon; Gambia; Germany; Guatemala; Guinea; Guinea-Bissau; Guyana; Honduras; Hungary; India; Indonesia; Japan; Kenya; Kuwait; Lao People’s Democratic Republic; Lesotho; Liberia; Luxembourg; Madagascar; Malawi; Malaysia; Malta; Marshall Islands; Mauritania; Mauritius; Mexico; Micronesia (Federated States of); Mongolia; Mozambique; Myanmar; Namibia; Netherlands; Niger; Norway; Palau; Panama; Peru; Philippines; Portugal; Qatar; Republic of Korea; Republic of Moldova; Rwanda; Saint Kitts and Nevis; Samoa; Senegal; Serbia; Seychelles; Sierra Leone; Slovakia; South Africa; Spain; Sudan; Sweden; Switzerland; Syrian Arab Republic; Tajikistan; Togo; Tuvalu; Uganda; United Arab Emirates; United Kingdom of Great Britain and Northern Ireland; United Republic of Tanzania; Uruguay; Venezuela (Bolivarian Republic of); Viet Nam; Zambia; </w:t>
      </w:r>
      <w:r w:rsidRPr="00EE0850">
        <w:rPr>
          <w:kern w:val="22"/>
        </w:rPr>
        <w:t xml:space="preserve">and </w:t>
      </w:r>
      <w:r w:rsidRPr="00EE0850">
        <w:rPr>
          <w:rFonts w:eastAsia="Times New Roman"/>
          <w:snapToGrid w:val="0"/>
          <w:kern w:val="22"/>
        </w:rPr>
        <w:t>Zimbabwe.</w:t>
      </w:r>
    </w:p>
    <w:p w14:paraId="794A7008" w14:textId="77777777" w:rsidR="00BB2871" w:rsidRPr="00EE0850" w:rsidRDefault="00C61155" w:rsidP="000C6220">
      <w:pPr>
        <w:pStyle w:val="Heading1-item"/>
        <w:tabs>
          <w:tab w:val="left" w:pos="993"/>
        </w:tabs>
        <w:spacing w:before="120" w:line="240" w:lineRule="auto"/>
        <w:rPr>
          <w:rFonts w:ascii="Times New Roman" w:hAnsi="Times New Roman" w:cs="Times New Roman"/>
          <w:i/>
        </w:rPr>
      </w:pPr>
      <w:bookmarkStart w:id="33" w:name="_Toc256221"/>
      <w:bookmarkEnd w:id="31"/>
      <w:r w:rsidRPr="00EE0850">
        <w:rPr>
          <w:rFonts w:ascii="Times New Roman" w:hAnsi="Times New Roman" w:cs="Times New Roman" w:hint="eastAsia"/>
        </w:rPr>
        <w:t>ITEM 4</w:t>
      </w:r>
      <w:r w:rsidR="00C33005" w:rsidRPr="00EE0850">
        <w:rPr>
          <w:rFonts w:ascii="Times New Roman" w:hAnsi="Times New Roman" w:cs="Times New Roman" w:hint="eastAsia"/>
        </w:rPr>
        <w:t>.</w:t>
      </w:r>
      <w:r w:rsidR="00C33005" w:rsidRPr="00EE0850">
        <w:rPr>
          <w:rFonts w:ascii="Times New Roman" w:hAnsi="Times New Roman" w:cs="Times New Roman" w:hint="eastAsia"/>
        </w:rPr>
        <w:tab/>
      </w:r>
      <w:r w:rsidR="00BB2871" w:rsidRPr="00EE0850">
        <w:rPr>
          <w:rFonts w:ascii="Times New Roman" w:hAnsi="Times New Roman" w:cs="Times New Roman" w:hint="eastAsia"/>
        </w:rPr>
        <w:t>REPORT</w:t>
      </w:r>
      <w:r w:rsidR="00B659F9" w:rsidRPr="00EE0850">
        <w:rPr>
          <w:rFonts w:ascii="Times New Roman" w:hAnsi="Times New Roman" w:cs="Times New Roman" w:hint="eastAsia"/>
        </w:rPr>
        <w:t>S OF SUBSIDIARY BODIES</w:t>
      </w:r>
      <w:bookmarkEnd w:id="33"/>
    </w:p>
    <w:p w14:paraId="37B8ED4D" w14:textId="5A64A261" w:rsidR="002D7E6D" w:rsidRPr="00EE0850" w:rsidRDefault="002D7E6D" w:rsidP="000C6220">
      <w:pPr>
        <w:pStyle w:val="Para1"/>
        <w:tabs>
          <w:tab w:val="clear" w:pos="360"/>
          <w:tab w:val="clear" w:pos="567"/>
          <w:tab w:val="clear" w:pos="2912"/>
        </w:tabs>
        <w:spacing w:line="240" w:lineRule="auto"/>
        <w:rPr>
          <w:rFonts w:eastAsia="Times New Roman"/>
          <w:lang w:eastAsia="en-CA"/>
        </w:rPr>
      </w:pPr>
      <w:r w:rsidRPr="00EE0850">
        <w:t xml:space="preserve">Agenda item 4 was taken up at the 2nd plenary session of the meeting, on 17 November 2018. In considering the item, the Conference of the Parties serving as the meeting of the Parties had before it the reports </w:t>
      </w:r>
      <w:r w:rsidRPr="00EE0850">
        <w:rPr>
          <w:rFonts w:eastAsia="Times New Roman"/>
          <w:lang w:eastAsia="en-CA"/>
        </w:rPr>
        <w:t xml:space="preserve">of the Subsidiary Body on Scientific, Technical and Technological Advice </w:t>
      </w:r>
      <w:r w:rsidR="00272CFE" w:rsidRPr="00EE0850">
        <w:t xml:space="preserve">on its </w:t>
      </w:r>
      <w:r w:rsidR="00272CFE" w:rsidRPr="00EE0850">
        <w:rPr>
          <w:rFonts w:eastAsia="Times New Roman"/>
          <w:lang w:eastAsia="en-CA"/>
        </w:rPr>
        <w:t xml:space="preserve">twenty-second meeting </w:t>
      </w:r>
      <w:r w:rsidRPr="00EE0850">
        <w:rPr>
          <w:rFonts w:eastAsia="Times New Roman"/>
          <w:lang w:eastAsia="en-CA"/>
        </w:rPr>
        <w:t xml:space="preserve">(CBD/SBSTTA/22/12) and the Subsidiary Body on Implementation </w:t>
      </w:r>
      <w:r w:rsidR="00272CFE" w:rsidRPr="00EE0850">
        <w:rPr>
          <w:rFonts w:eastAsia="Times New Roman"/>
          <w:lang w:eastAsia="en-CA"/>
        </w:rPr>
        <w:t xml:space="preserve">on its second meeting </w:t>
      </w:r>
      <w:r w:rsidRPr="00EE0850">
        <w:rPr>
          <w:rFonts w:eastAsia="Times New Roman"/>
          <w:lang w:eastAsia="en-CA"/>
        </w:rPr>
        <w:t>(CBD/SBI/2/22).</w:t>
      </w:r>
    </w:p>
    <w:p w14:paraId="4C746954" w14:textId="77777777" w:rsidR="002D7E6D" w:rsidRPr="00EE0850" w:rsidRDefault="002D7E6D" w:rsidP="000C6220">
      <w:pPr>
        <w:pStyle w:val="Para1"/>
        <w:tabs>
          <w:tab w:val="clear" w:pos="360"/>
          <w:tab w:val="clear" w:pos="567"/>
          <w:tab w:val="clear" w:pos="2912"/>
        </w:tabs>
        <w:spacing w:line="240" w:lineRule="auto"/>
      </w:pPr>
      <w:r w:rsidRPr="00EE0850">
        <w:t xml:space="preserve">The Conference of the Parties </w:t>
      </w:r>
      <w:r w:rsidR="00134D56" w:rsidRPr="00EE0850">
        <w:t xml:space="preserve">serving as the meeting of the Parties </w:t>
      </w:r>
      <w:r w:rsidRPr="00EE0850">
        <w:t>took note of the reports of intersessional meetings of subsidiary bodies and agreed to consider the recommendations contained in the reports under the relevant agenda items.</w:t>
      </w:r>
    </w:p>
    <w:p w14:paraId="28F9AADC" w14:textId="77777777" w:rsidR="00E01F27" w:rsidRPr="00EE0850" w:rsidRDefault="00E01F27" w:rsidP="000C6220">
      <w:pPr>
        <w:pStyle w:val="Heading1-item"/>
        <w:tabs>
          <w:tab w:val="left" w:pos="993"/>
        </w:tabs>
        <w:spacing w:before="120" w:line="240" w:lineRule="auto"/>
        <w:rPr>
          <w:rFonts w:ascii="Times New Roman" w:hAnsi="Times New Roman" w:cs="Times New Roman"/>
        </w:rPr>
      </w:pPr>
      <w:bookmarkStart w:id="34" w:name="_Toc256222"/>
      <w:r w:rsidRPr="00EE0850">
        <w:rPr>
          <w:rFonts w:ascii="Times New Roman" w:hAnsi="Times New Roman" w:cs="Times New Roman" w:hint="eastAsia"/>
        </w:rPr>
        <w:t xml:space="preserve">ITEM </w:t>
      </w:r>
      <w:r w:rsidR="002A4637" w:rsidRPr="00EE0850">
        <w:rPr>
          <w:rFonts w:ascii="Times New Roman" w:hAnsi="Times New Roman" w:cs="Times New Roman" w:hint="eastAsia"/>
        </w:rPr>
        <w:t>5</w:t>
      </w:r>
      <w:r w:rsidRPr="00EE0850">
        <w:rPr>
          <w:rFonts w:ascii="Times New Roman" w:hAnsi="Times New Roman" w:cs="Times New Roman" w:hint="eastAsia"/>
        </w:rPr>
        <w:t>.</w:t>
      </w:r>
      <w:r w:rsidRPr="00EE0850">
        <w:rPr>
          <w:rFonts w:ascii="Times New Roman" w:hAnsi="Times New Roman" w:cs="Times New Roman" w:hint="eastAsia"/>
        </w:rPr>
        <w:tab/>
        <w:t>REPORT OF THE COMPLIANCE COMMITTEE (ARTICLE 30)</w:t>
      </w:r>
      <w:bookmarkEnd w:id="34"/>
    </w:p>
    <w:p w14:paraId="0D1C909E" w14:textId="61B63FC6" w:rsidR="00631D22" w:rsidRPr="00EE0850" w:rsidRDefault="00E15AA6" w:rsidP="000C6220">
      <w:pPr>
        <w:numPr>
          <w:ilvl w:val="0"/>
          <w:numId w:val="12"/>
        </w:numPr>
        <w:suppressLineNumbers/>
        <w:tabs>
          <w:tab w:val="clear" w:pos="360"/>
        </w:tabs>
        <w:suppressAutoHyphens/>
        <w:kinsoku w:val="0"/>
        <w:overflowPunct w:val="0"/>
        <w:autoSpaceDE w:val="0"/>
        <w:autoSpaceDN w:val="0"/>
        <w:snapToGrid w:val="0"/>
        <w:spacing w:before="120" w:line="240" w:lineRule="auto"/>
        <w:rPr>
          <w:rFonts w:eastAsia="Times New Roman"/>
          <w:snapToGrid w:val="0"/>
          <w:kern w:val="22"/>
          <w:szCs w:val="22"/>
          <w:lang w:eastAsia="en-CA"/>
        </w:rPr>
      </w:pPr>
      <w:bookmarkStart w:id="35" w:name="_Hlk530243249"/>
      <w:r w:rsidRPr="00EE0850">
        <w:t xml:space="preserve">Agenda item </w:t>
      </w:r>
      <w:r w:rsidR="002D7E6D" w:rsidRPr="00EE0850">
        <w:t>5</w:t>
      </w:r>
      <w:r w:rsidRPr="00EE0850">
        <w:t xml:space="preserve"> was taken up at the </w:t>
      </w:r>
      <w:r w:rsidR="00392648" w:rsidRPr="00EE0850">
        <w:t xml:space="preserve">2nd </w:t>
      </w:r>
      <w:r w:rsidRPr="00EE0850">
        <w:t xml:space="preserve">plenary session of the meeting, on </w:t>
      </w:r>
      <w:r w:rsidR="00392648" w:rsidRPr="00EE0850">
        <w:t>17 November 2018</w:t>
      </w:r>
      <w:r w:rsidRPr="00EE0850">
        <w:t>.</w:t>
      </w:r>
      <w:bookmarkEnd w:id="35"/>
    </w:p>
    <w:p w14:paraId="1BE4B6F2" w14:textId="6DE69926" w:rsidR="002D7E6D" w:rsidRPr="00EE0850" w:rsidRDefault="002D7E6D" w:rsidP="000C6220">
      <w:pPr>
        <w:numPr>
          <w:ilvl w:val="0"/>
          <w:numId w:val="12"/>
        </w:numPr>
        <w:suppressLineNumbers/>
        <w:tabs>
          <w:tab w:val="clear" w:pos="360"/>
        </w:tabs>
        <w:suppressAutoHyphens/>
        <w:kinsoku w:val="0"/>
        <w:overflowPunct w:val="0"/>
        <w:autoSpaceDE w:val="0"/>
        <w:autoSpaceDN w:val="0"/>
        <w:snapToGrid w:val="0"/>
        <w:spacing w:before="120" w:line="240" w:lineRule="auto"/>
        <w:rPr>
          <w:rFonts w:eastAsia="Times New Roman"/>
          <w:snapToGrid w:val="0"/>
          <w:kern w:val="22"/>
          <w:szCs w:val="22"/>
          <w:lang w:eastAsia="en-CA"/>
        </w:rPr>
      </w:pPr>
      <w:r w:rsidRPr="00EE0850">
        <w:rPr>
          <w:bCs/>
        </w:rPr>
        <w:t xml:space="preserve">Mr. </w:t>
      </w:r>
      <w:r w:rsidRPr="00EE0850">
        <w:rPr>
          <w:bCs/>
          <w:noProof/>
        </w:rPr>
        <w:t>Kaspar</w:t>
      </w:r>
      <w:r w:rsidRPr="00EE0850">
        <w:rPr>
          <w:bCs/>
        </w:rPr>
        <w:t xml:space="preserve"> </w:t>
      </w:r>
      <w:r w:rsidRPr="00EE0850">
        <w:rPr>
          <w:bCs/>
          <w:noProof/>
        </w:rPr>
        <w:t>Sollberger</w:t>
      </w:r>
      <w:r w:rsidRPr="00EE0850">
        <w:rPr>
          <w:bCs/>
        </w:rPr>
        <w:t>, Chair of the Compliance Committee, report</w:t>
      </w:r>
      <w:r w:rsidR="00392648" w:rsidRPr="00EE0850">
        <w:rPr>
          <w:bCs/>
        </w:rPr>
        <w:t xml:space="preserve">ed on </w:t>
      </w:r>
      <w:r w:rsidR="00392648" w:rsidRPr="00EE0850">
        <w:rPr>
          <w:rFonts w:eastAsia="SimSun"/>
          <w:snapToGrid w:val="0"/>
          <w:kern w:val="22"/>
          <w:szCs w:val="22"/>
        </w:rPr>
        <w:t>the second meeting of the Compliance Committee, held in Montreal from 24 to 26 April 2018</w:t>
      </w:r>
      <w:r w:rsidRPr="00EE0850">
        <w:rPr>
          <w:bCs/>
        </w:rPr>
        <w:t xml:space="preserve"> (</w:t>
      </w:r>
      <w:r w:rsidR="004A0D40" w:rsidRPr="00EE0850">
        <w:rPr>
          <w:bCs/>
        </w:rPr>
        <w:t xml:space="preserve">see </w:t>
      </w:r>
      <w:r w:rsidR="00E234C4" w:rsidRPr="00EE0850">
        <w:rPr>
          <w:bCs/>
        </w:rPr>
        <w:t>CBD/</w:t>
      </w:r>
      <w:r w:rsidRPr="00EE0850">
        <w:rPr>
          <w:bCs/>
        </w:rPr>
        <w:t>NP/MOP/3/2)</w:t>
      </w:r>
      <w:r w:rsidR="00525BE9" w:rsidRPr="00EE0850">
        <w:rPr>
          <w:bCs/>
        </w:rPr>
        <w:t xml:space="preserve">. In addition to providing an overview of the information contained in the report, he noted that additional interim national reports had been received since the </w:t>
      </w:r>
      <w:r w:rsidR="00392648" w:rsidRPr="00EE0850">
        <w:rPr>
          <w:bCs/>
        </w:rPr>
        <w:t xml:space="preserve">April meeting, and 82 of the 100 Parties </w:t>
      </w:r>
      <w:r w:rsidR="00392648" w:rsidRPr="00EE0850">
        <w:rPr>
          <w:snapToGrid w:val="0"/>
          <w:kern w:val="22"/>
          <w:szCs w:val="22"/>
        </w:rPr>
        <w:t>that had the obligation to report had now submitted their interim national reports.</w:t>
      </w:r>
    </w:p>
    <w:p w14:paraId="304B2893" w14:textId="1D711576" w:rsidR="00134D56" w:rsidRPr="00EE0850" w:rsidRDefault="00DC1729" w:rsidP="000C6220">
      <w:pPr>
        <w:numPr>
          <w:ilvl w:val="0"/>
          <w:numId w:val="12"/>
        </w:numPr>
        <w:suppressLineNumbers/>
        <w:tabs>
          <w:tab w:val="clear" w:pos="360"/>
        </w:tabs>
        <w:suppressAutoHyphens/>
        <w:kinsoku w:val="0"/>
        <w:overflowPunct w:val="0"/>
        <w:autoSpaceDE w:val="0"/>
        <w:autoSpaceDN w:val="0"/>
        <w:snapToGrid w:val="0"/>
        <w:spacing w:before="120" w:line="240" w:lineRule="auto"/>
        <w:rPr>
          <w:rFonts w:eastAsia="Times New Roman"/>
          <w:snapToGrid w:val="0"/>
          <w:kern w:val="22"/>
          <w:szCs w:val="22"/>
          <w:lang w:eastAsia="en-CA"/>
        </w:rPr>
      </w:pPr>
      <w:r w:rsidRPr="00EE0850">
        <w:rPr>
          <w:rFonts w:eastAsia="Times New Roman"/>
          <w:snapToGrid w:val="0"/>
          <w:kern w:val="22"/>
          <w:szCs w:val="22"/>
          <w:lang w:eastAsia="en-CA"/>
        </w:rPr>
        <w:t xml:space="preserve">Following Mr. </w:t>
      </w:r>
      <w:r w:rsidRPr="00EE0850">
        <w:rPr>
          <w:rFonts w:eastAsia="Times New Roman"/>
          <w:noProof/>
          <w:snapToGrid w:val="0"/>
          <w:kern w:val="22"/>
          <w:szCs w:val="22"/>
          <w:lang w:eastAsia="en-CA"/>
        </w:rPr>
        <w:t>Sollberger’s</w:t>
      </w:r>
      <w:r w:rsidRPr="00EE0850">
        <w:rPr>
          <w:rFonts w:eastAsia="Times New Roman"/>
          <w:snapToGrid w:val="0"/>
          <w:kern w:val="22"/>
          <w:szCs w:val="22"/>
          <w:lang w:eastAsia="en-CA"/>
        </w:rPr>
        <w:t xml:space="preserve"> report, the Conference of the Parties </w:t>
      </w:r>
      <w:r w:rsidRPr="00EE0850">
        <w:t xml:space="preserve">serving as the meeting of the Parties </w:t>
      </w:r>
      <w:r w:rsidR="008D4ECC" w:rsidRPr="00EE0850">
        <w:t xml:space="preserve">to the Nagoya Protocol </w:t>
      </w:r>
      <w:r w:rsidRPr="00EE0850">
        <w:rPr>
          <w:rFonts w:eastAsia="Times New Roman"/>
          <w:snapToGrid w:val="0"/>
          <w:kern w:val="22"/>
          <w:szCs w:val="22"/>
          <w:lang w:eastAsia="en-CA"/>
        </w:rPr>
        <w:t>agreed to consider the Committee</w:t>
      </w:r>
      <w:r w:rsidRPr="00EE0850">
        <w:rPr>
          <w:rFonts w:eastAsia="Times New Roman"/>
          <w:snapToGrid w:val="0"/>
          <w:kern w:val="22"/>
          <w:szCs w:val="22"/>
          <w:lang w:val="en-US" w:eastAsia="en-CA"/>
        </w:rPr>
        <w:t>’</w:t>
      </w:r>
      <w:r w:rsidRPr="00EE0850">
        <w:rPr>
          <w:rFonts w:eastAsia="Times New Roman"/>
          <w:snapToGrid w:val="0"/>
          <w:kern w:val="22"/>
          <w:szCs w:val="22"/>
          <w:lang w:eastAsia="en-CA"/>
        </w:rPr>
        <w:t>s recommendations under the relevant agenda items. For the Committee’s recommendations contained in annex I</w:t>
      </w:r>
      <w:r w:rsidR="00D40058" w:rsidRPr="00EE0850">
        <w:rPr>
          <w:rFonts w:eastAsia="Times New Roman"/>
          <w:snapToGrid w:val="0"/>
          <w:kern w:val="22"/>
          <w:szCs w:val="22"/>
          <w:lang w:eastAsia="en-CA"/>
        </w:rPr>
        <w:t>I</w:t>
      </w:r>
      <w:r w:rsidR="008A668D" w:rsidRPr="00EE0850">
        <w:rPr>
          <w:rFonts w:eastAsia="Times New Roman"/>
          <w:snapToGrid w:val="0"/>
          <w:kern w:val="22"/>
          <w:szCs w:val="22"/>
          <w:lang w:eastAsia="en-CA"/>
        </w:rPr>
        <w:t>,</w:t>
      </w:r>
      <w:r w:rsidRPr="00EE0850">
        <w:rPr>
          <w:rFonts w:eastAsia="Times New Roman"/>
          <w:snapToGrid w:val="0"/>
          <w:kern w:val="22"/>
          <w:szCs w:val="22"/>
          <w:lang w:eastAsia="en-CA"/>
        </w:rPr>
        <w:t xml:space="preserve"> </w:t>
      </w:r>
      <w:r w:rsidR="008A668D" w:rsidRPr="00EE0850">
        <w:rPr>
          <w:rFonts w:eastAsia="Times New Roman"/>
          <w:snapToGrid w:val="0"/>
          <w:kern w:val="22"/>
          <w:szCs w:val="22"/>
          <w:lang w:eastAsia="en-CA"/>
        </w:rPr>
        <w:t>section A, of the report of the Committee</w:t>
      </w:r>
      <w:r w:rsidRPr="00EE0850">
        <w:rPr>
          <w:rFonts w:eastAsia="Times New Roman"/>
          <w:snapToGrid w:val="0"/>
          <w:kern w:val="22"/>
          <w:szCs w:val="22"/>
          <w:lang w:eastAsia="en-CA"/>
        </w:rPr>
        <w:t>, the President said she would prepare a draft decision</w:t>
      </w:r>
      <w:r w:rsidR="00134D56" w:rsidRPr="00EE0850">
        <w:rPr>
          <w:rFonts w:eastAsia="Times New Roman"/>
          <w:snapToGrid w:val="0"/>
          <w:kern w:val="22"/>
          <w:szCs w:val="22"/>
          <w:lang w:eastAsia="en-CA"/>
        </w:rPr>
        <w:t>.</w:t>
      </w:r>
    </w:p>
    <w:p w14:paraId="4E604DE4" w14:textId="165105D2" w:rsidR="00134D56" w:rsidRPr="00EE0850" w:rsidRDefault="00A86DF5" w:rsidP="000C6220">
      <w:pPr>
        <w:pStyle w:val="Para1"/>
        <w:suppressLineNumbers/>
        <w:tabs>
          <w:tab w:val="clear" w:pos="360"/>
          <w:tab w:val="clear" w:pos="567"/>
          <w:tab w:val="clear" w:pos="2912"/>
        </w:tabs>
        <w:suppressAutoHyphens/>
        <w:spacing w:line="240" w:lineRule="auto"/>
      </w:pPr>
      <w:r w:rsidRPr="00EE0850">
        <w:rPr>
          <w:szCs w:val="22"/>
        </w:rPr>
        <w:t xml:space="preserve">At the 4th plenary session of the meeting, on 22 November 2018, the Conference of the Parties serving as the meeting of the Parties </w:t>
      </w:r>
      <w:r w:rsidR="00954F5C" w:rsidRPr="00EE0850">
        <w:rPr>
          <w:szCs w:val="22"/>
        </w:rPr>
        <w:t xml:space="preserve">to the Nagoya Protocol </w:t>
      </w:r>
      <w:r w:rsidR="00894CD0" w:rsidRPr="00EE0850">
        <w:t>considered a draft decision submitted by the President and adopted it as decision NP</w:t>
      </w:r>
      <w:r w:rsidR="00894CD0" w:rsidRPr="00EE0850">
        <w:noBreakHyphen/>
        <w:t>3/</w:t>
      </w:r>
      <w:r w:rsidR="00426DF0" w:rsidRPr="00EE0850">
        <w:t>2</w:t>
      </w:r>
      <w:r w:rsidR="00134D56" w:rsidRPr="00EE0850">
        <w:t>.</w:t>
      </w:r>
    </w:p>
    <w:p w14:paraId="401FB5FF" w14:textId="77777777" w:rsidR="00C5397F" w:rsidRPr="00EE0850" w:rsidRDefault="00C5397F" w:rsidP="000C6220">
      <w:pPr>
        <w:pStyle w:val="Para1"/>
        <w:suppressLineNumbers/>
        <w:tabs>
          <w:tab w:val="clear" w:pos="360"/>
          <w:tab w:val="clear" w:pos="567"/>
          <w:tab w:val="clear" w:pos="2912"/>
        </w:tabs>
        <w:suppressAutoHyphens/>
        <w:spacing w:line="240" w:lineRule="auto"/>
        <w:rPr>
          <w:szCs w:val="22"/>
        </w:rPr>
      </w:pPr>
      <w:r w:rsidRPr="00EE0850">
        <w:rPr>
          <w:szCs w:val="22"/>
        </w:rPr>
        <w:t>At the 7th plenary session of the meeting, on 28 November 2018, the Conference of the Parties serving as the meeting of the Parties to the Nagoya Protocol elected the following as members of the Compliance Committee to serve as members of the Compliance Committee beginning in 2019:</w:t>
      </w:r>
    </w:p>
    <w:p w14:paraId="56EB58DB" w14:textId="7A0A7ED5" w:rsidR="00AF08B2" w:rsidRPr="00EE0850" w:rsidRDefault="00E563BE" w:rsidP="000C6220">
      <w:pPr>
        <w:pStyle w:val="Para1"/>
        <w:numPr>
          <w:ilvl w:val="0"/>
          <w:numId w:val="0"/>
        </w:numPr>
        <w:tabs>
          <w:tab w:val="clear" w:pos="567"/>
          <w:tab w:val="clear" w:pos="2912"/>
        </w:tabs>
        <w:spacing w:line="240" w:lineRule="auto"/>
        <w:ind w:firstLine="720"/>
        <w:rPr>
          <w:i/>
          <w:szCs w:val="22"/>
        </w:rPr>
      </w:pPr>
      <w:r w:rsidRPr="00EE0850">
        <w:rPr>
          <w:i/>
          <w:szCs w:val="22"/>
        </w:rPr>
        <w:t>Africa</w:t>
      </w:r>
    </w:p>
    <w:p w14:paraId="1B95C4BE" w14:textId="4B1DF275"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Ms. Betty </w:t>
      </w:r>
      <w:proofErr w:type="spellStart"/>
      <w:r w:rsidRPr="00EE0850">
        <w:rPr>
          <w:szCs w:val="22"/>
        </w:rPr>
        <w:t>Kauna</w:t>
      </w:r>
      <w:proofErr w:type="spellEnd"/>
      <w:r w:rsidRPr="00EE0850">
        <w:rPr>
          <w:szCs w:val="22"/>
        </w:rPr>
        <w:t xml:space="preserve"> Schroder (Namibia)</w:t>
      </w:r>
    </w:p>
    <w:p w14:paraId="5BA95CFA" w14:textId="77777777"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Ms. El </w:t>
      </w:r>
      <w:proofErr w:type="spellStart"/>
      <w:r w:rsidRPr="00EE0850">
        <w:rPr>
          <w:szCs w:val="22"/>
        </w:rPr>
        <w:t>Kitma</w:t>
      </w:r>
      <w:proofErr w:type="spellEnd"/>
      <w:r w:rsidRPr="00EE0850">
        <w:rPr>
          <w:szCs w:val="22"/>
        </w:rPr>
        <w:t xml:space="preserve"> El </w:t>
      </w:r>
      <w:proofErr w:type="spellStart"/>
      <w:r w:rsidRPr="00EE0850">
        <w:rPr>
          <w:szCs w:val="22"/>
        </w:rPr>
        <w:t>Awad</w:t>
      </w:r>
      <w:proofErr w:type="spellEnd"/>
      <w:r w:rsidRPr="00EE0850">
        <w:rPr>
          <w:szCs w:val="22"/>
        </w:rPr>
        <w:t xml:space="preserve"> Mohammed (Sudan)</w:t>
      </w:r>
    </w:p>
    <w:p w14:paraId="0B60C641" w14:textId="77777777"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Mr. </w:t>
      </w:r>
      <w:proofErr w:type="spellStart"/>
      <w:r w:rsidRPr="00EE0850">
        <w:rPr>
          <w:szCs w:val="22"/>
        </w:rPr>
        <w:t>Ashenafi</w:t>
      </w:r>
      <w:proofErr w:type="spellEnd"/>
      <w:r w:rsidRPr="00EE0850">
        <w:rPr>
          <w:szCs w:val="22"/>
        </w:rPr>
        <w:t xml:space="preserve"> </w:t>
      </w:r>
      <w:proofErr w:type="spellStart"/>
      <w:r w:rsidRPr="00EE0850">
        <w:rPr>
          <w:szCs w:val="22"/>
        </w:rPr>
        <w:t>Ayenew</w:t>
      </w:r>
      <w:proofErr w:type="spellEnd"/>
      <w:r w:rsidRPr="00EE0850">
        <w:rPr>
          <w:szCs w:val="22"/>
        </w:rPr>
        <w:t xml:space="preserve"> (Ethiopia) (as alternate)</w:t>
      </w:r>
    </w:p>
    <w:p w14:paraId="1AA26084" w14:textId="7FB0BA58" w:rsidR="00C5397F" w:rsidRPr="00EE0850" w:rsidRDefault="00C5397F" w:rsidP="004742DD">
      <w:pPr>
        <w:pStyle w:val="Para1"/>
        <w:numPr>
          <w:ilvl w:val="0"/>
          <w:numId w:val="0"/>
        </w:numPr>
        <w:tabs>
          <w:tab w:val="clear" w:pos="567"/>
          <w:tab w:val="clear" w:pos="2912"/>
        </w:tabs>
        <w:spacing w:before="0" w:after="0" w:line="240" w:lineRule="auto"/>
        <w:ind w:left="1134"/>
        <w:rPr>
          <w:szCs w:val="22"/>
        </w:rPr>
      </w:pPr>
      <w:r w:rsidRPr="00EE0850">
        <w:rPr>
          <w:szCs w:val="22"/>
        </w:rPr>
        <w:t xml:space="preserve">Mr. William </w:t>
      </w:r>
      <w:proofErr w:type="spellStart"/>
      <w:r w:rsidRPr="00EE0850">
        <w:rPr>
          <w:szCs w:val="22"/>
        </w:rPr>
        <w:t>Etim</w:t>
      </w:r>
      <w:proofErr w:type="spellEnd"/>
      <w:r w:rsidRPr="00EE0850">
        <w:rPr>
          <w:szCs w:val="22"/>
        </w:rPr>
        <w:t xml:space="preserve"> </w:t>
      </w:r>
      <w:proofErr w:type="spellStart"/>
      <w:r w:rsidRPr="00EE0850">
        <w:rPr>
          <w:szCs w:val="22"/>
        </w:rPr>
        <w:t>Okin</w:t>
      </w:r>
      <w:proofErr w:type="spellEnd"/>
      <w:r w:rsidRPr="00EE0850">
        <w:rPr>
          <w:szCs w:val="22"/>
        </w:rPr>
        <w:t xml:space="preserve"> (Nigeria) (as alternate)</w:t>
      </w:r>
    </w:p>
    <w:p w14:paraId="39E9C3AC" w14:textId="71D0ECDF" w:rsidR="00E563BE" w:rsidRPr="00EE0850" w:rsidRDefault="00E563BE" w:rsidP="000C6220">
      <w:pPr>
        <w:pStyle w:val="Para1"/>
        <w:numPr>
          <w:ilvl w:val="0"/>
          <w:numId w:val="0"/>
        </w:numPr>
        <w:tabs>
          <w:tab w:val="clear" w:pos="567"/>
          <w:tab w:val="clear" w:pos="2912"/>
        </w:tabs>
        <w:spacing w:line="240" w:lineRule="auto"/>
        <w:ind w:firstLine="720"/>
        <w:rPr>
          <w:i/>
          <w:szCs w:val="22"/>
        </w:rPr>
      </w:pPr>
      <w:r w:rsidRPr="00EE0850">
        <w:rPr>
          <w:i/>
          <w:szCs w:val="22"/>
        </w:rPr>
        <w:t>Asia and the Pacific</w:t>
      </w:r>
    </w:p>
    <w:p w14:paraId="625D6491" w14:textId="77777777"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Mr. Park Won </w:t>
      </w:r>
      <w:proofErr w:type="spellStart"/>
      <w:r w:rsidRPr="00EE0850">
        <w:rPr>
          <w:szCs w:val="22"/>
        </w:rPr>
        <w:t>Seog</w:t>
      </w:r>
      <w:proofErr w:type="spellEnd"/>
      <w:r w:rsidRPr="00EE0850">
        <w:rPr>
          <w:szCs w:val="22"/>
        </w:rPr>
        <w:t xml:space="preserve"> (Republic of Korea)</w:t>
      </w:r>
    </w:p>
    <w:p w14:paraId="33E80CDB" w14:textId="77777777"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Mr. </w:t>
      </w:r>
      <w:proofErr w:type="spellStart"/>
      <w:r w:rsidRPr="00EE0850">
        <w:rPr>
          <w:szCs w:val="22"/>
        </w:rPr>
        <w:t>Belal</w:t>
      </w:r>
      <w:proofErr w:type="spellEnd"/>
      <w:r w:rsidRPr="00EE0850">
        <w:rPr>
          <w:szCs w:val="22"/>
        </w:rPr>
        <w:t xml:space="preserve"> K. Al-Hayek (Syrian Arab Republic)</w:t>
      </w:r>
    </w:p>
    <w:p w14:paraId="0F276E93" w14:textId="646EC4BA" w:rsidR="00E563BE" w:rsidRPr="00EE0850" w:rsidRDefault="00E563BE" w:rsidP="000C6220">
      <w:pPr>
        <w:pStyle w:val="Para1"/>
        <w:numPr>
          <w:ilvl w:val="0"/>
          <w:numId w:val="0"/>
        </w:numPr>
        <w:tabs>
          <w:tab w:val="clear" w:pos="567"/>
          <w:tab w:val="clear" w:pos="2912"/>
        </w:tabs>
        <w:spacing w:line="240" w:lineRule="auto"/>
        <w:ind w:firstLine="720"/>
        <w:rPr>
          <w:i/>
          <w:szCs w:val="22"/>
        </w:rPr>
      </w:pPr>
      <w:r w:rsidRPr="00EE0850">
        <w:rPr>
          <w:i/>
          <w:szCs w:val="22"/>
        </w:rPr>
        <w:t>Central and Eastern Europe</w:t>
      </w:r>
    </w:p>
    <w:p w14:paraId="684202E6" w14:textId="771C2E41"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Ms. Elena </w:t>
      </w:r>
      <w:proofErr w:type="spellStart"/>
      <w:r w:rsidRPr="00EE0850">
        <w:rPr>
          <w:szCs w:val="22"/>
        </w:rPr>
        <w:t>Makeyeva</w:t>
      </w:r>
      <w:proofErr w:type="spellEnd"/>
      <w:r w:rsidRPr="00EE0850">
        <w:rPr>
          <w:szCs w:val="22"/>
        </w:rPr>
        <w:t xml:space="preserve"> (Belarus)</w:t>
      </w:r>
    </w:p>
    <w:p w14:paraId="47762D7C" w14:textId="3D58F460"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Mr. </w:t>
      </w:r>
      <w:proofErr w:type="spellStart"/>
      <w:r w:rsidRPr="00EE0850">
        <w:rPr>
          <w:szCs w:val="22"/>
        </w:rPr>
        <w:t>Dilovarsho</w:t>
      </w:r>
      <w:proofErr w:type="spellEnd"/>
      <w:r w:rsidRPr="00EE0850">
        <w:rPr>
          <w:szCs w:val="22"/>
        </w:rPr>
        <w:t xml:space="preserve"> </w:t>
      </w:r>
      <w:proofErr w:type="spellStart"/>
      <w:r w:rsidRPr="00EE0850">
        <w:rPr>
          <w:szCs w:val="22"/>
        </w:rPr>
        <w:t>Dustov</w:t>
      </w:r>
      <w:proofErr w:type="spellEnd"/>
      <w:r w:rsidRPr="00EE0850">
        <w:rPr>
          <w:szCs w:val="22"/>
        </w:rPr>
        <w:t xml:space="preserve"> (T</w:t>
      </w:r>
      <w:r w:rsidR="00027BBF" w:rsidRPr="00EE0850">
        <w:rPr>
          <w:szCs w:val="22"/>
        </w:rPr>
        <w:t>ajik</w:t>
      </w:r>
      <w:r w:rsidRPr="00EE0850">
        <w:rPr>
          <w:szCs w:val="22"/>
        </w:rPr>
        <w:t>istan)</w:t>
      </w:r>
    </w:p>
    <w:p w14:paraId="1BBBD886" w14:textId="087DF774" w:rsidR="00C5397F" w:rsidRPr="00EE0850" w:rsidRDefault="00C5397F" w:rsidP="004742DD">
      <w:pPr>
        <w:pStyle w:val="Para1"/>
        <w:numPr>
          <w:ilvl w:val="0"/>
          <w:numId w:val="0"/>
        </w:numPr>
        <w:tabs>
          <w:tab w:val="clear" w:pos="567"/>
          <w:tab w:val="clear" w:pos="2912"/>
        </w:tabs>
        <w:spacing w:before="0" w:after="0" w:line="240" w:lineRule="auto"/>
        <w:ind w:left="1134"/>
        <w:rPr>
          <w:szCs w:val="22"/>
        </w:rPr>
      </w:pPr>
      <w:r w:rsidRPr="00EE0850">
        <w:rPr>
          <w:szCs w:val="22"/>
        </w:rPr>
        <w:t xml:space="preserve">Mr. Peter </w:t>
      </w:r>
      <w:proofErr w:type="spellStart"/>
      <w:r w:rsidRPr="00EE0850">
        <w:rPr>
          <w:szCs w:val="22"/>
        </w:rPr>
        <w:t>Manka</w:t>
      </w:r>
      <w:proofErr w:type="spellEnd"/>
      <w:r w:rsidRPr="00EE0850">
        <w:rPr>
          <w:szCs w:val="22"/>
        </w:rPr>
        <w:t xml:space="preserve"> (Slovenia) (as alternate)</w:t>
      </w:r>
    </w:p>
    <w:p w14:paraId="638AD57C" w14:textId="65BE9D8F" w:rsidR="00E563BE" w:rsidRPr="00EE0850" w:rsidRDefault="00E563BE" w:rsidP="000C6220">
      <w:pPr>
        <w:pStyle w:val="Para1"/>
        <w:numPr>
          <w:ilvl w:val="0"/>
          <w:numId w:val="0"/>
        </w:numPr>
        <w:tabs>
          <w:tab w:val="clear" w:pos="567"/>
          <w:tab w:val="clear" w:pos="2912"/>
        </w:tabs>
        <w:spacing w:line="240" w:lineRule="auto"/>
        <w:ind w:firstLine="720"/>
        <w:rPr>
          <w:i/>
          <w:szCs w:val="22"/>
        </w:rPr>
      </w:pPr>
      <w:r w:rsidRPr="00EE0850">
        <w:rPr>
          <w:i/>
          <w:szCs w:val="22"/>
        </w:rPr>
        <w:t>Latin America and the Caribbean</w:t>
      </w:r>
    </w:p>
    <w:p w14:paraId="106E446E" w14:textId="77777777"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Ms. Yolanda </w:t>
      </w:r>
      <w:proofErr w:type="spellStart"/>
      <w:r w:rsidRPr="00EE0850">
        <w:rPr>
          <w:szCs w:val="22"/>
        </w:rPr>
        <w:t>Octavalo</w:t>
      </w:r>
      <w:proofErr w:type="spellEnd"/>
      <w:r w:rsidRPr="00EE0850">
        <w:rPr>
          <w:szCs w:val="22"/>
        </w:rPr>
        <w:t xml:space="preserve"> (Ecuador)</w:t>
      </w:r>
    </w:p>
    <w:p w14:paraId="7143E8D4" w14:textId="5CAF5E80" w:rsidR="00C5397F" w:rsidRPr="00EE0850" w:rsidRDefault="00C5397F" w:rsidP="004742DD">
      <w:pPr>
        <w:pStyle w:val="Para1"/>
        <w:numPr>
          <w:ilvl w:val="0"/>
          <w:numId w:val="0"/>
        </w:numPr>
        <w:tabs>
          <w:tab w:val="clear" w:pos="567"/>
          <w:tab w:val="clear" w:pos="2912"/>
        </w:tabs>
        <w:spacing w:before="0" w:after="0" w:line="240" w:lineRule="auto"/>
        <w:ind w:left="1134"/>
        <w:rPr>
          <w:szCs w:val="22"/>
        </w:rPr>
      </w:pPr>
      <w:r w:rsidRPr="00EE0850">
        <w:rPr>
          <w:szCs w:val="22"/>
        </w:rPr>
        <w:t xml:space="preserve">Ms. Micaela </w:t>
      </w:r>
      <w:proofErr w:type="spellStart"/>
      <w:r w:rsidRPr="00EE0850">
        <w:rPr>
          <w:szCs w:val="22"/>
        </w:rPr>
        <w:t>Bonafina</w:t>
      </w:r>
      <w:proofErr w:type="spellEnd"/>
      <w:r w:rsidRPr="00EE0850">
        <w:rPr>
          <w:szCs w:val="22"/>
        </w:rPr>
        <w:t xml:space="preserve"> (Argentina)</w:t>
      </w:r>
    </w:p>
    <w:p w14:paraId="4EC92F63" w14:textId="2AAD7C84" w:rsidR="00E563BE" w:rsidRPr="00EE0850" w:rsidRDefault="00E563BE" w:rsidP="000C6220">
      <w:pPr>
        <w:pStyle w:val="Para1"/>
        <w:numPr>
          <w:ilvl w:val="0"/>
          <w:numId w:val="0"/>
        </w:numPr>
        <w:tabs>
          <w:tab w:val="clear" w:pos="567"/>
          <w:tab w:val="clear" w:pos="2912"/>
        </w:tabs>
        <w:spacing w:line="240" w:lineRule="auto"/>
        <w:ind w:firstLine="720"/>
        <w:rPr>
          <w:i/>
          <w:szCs w:val="22"/>
        </w:rPr>
      </w:pPr>
      <w:r w:rsidRPr="00EE0850">
        <w:rPr>
          <w:i/>
          <w:szCs w:val="22"/>
        </w:rPr>
        <w:t>Western Europe and Others</w:t>
      </w:r>
    </w:p>
    <w:p w14:paraId="5548080C" w14:textId="77777777"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Mr. </w:t>
      </w:r>
      <w:proofErr w:type="spellStart"/>
      <w:r w:rsidRPr="00EE0850">
        <w:rPr>
          <w:szCs w:val="22"/>
        </w:rPr>
        <w:t>Gaute</w:t>
      </w:r>
      <w:proofErr w:type="spellEnd"/>
      <w:r w:rsidRPr="00EE0850">
        <w:rPr>
          <w:szCs w:val="22"/>
        </w:rPr>
        <w:t xml:space="preserve"> Voigt-Hanssen (Norway)</w:t>
      </w:r>
    </w:p>
    <w:p w14:paraId="47699817" w14:textId="77777777" w:rsidR="00C5397F" w:rsidRPr="00EE0850" w:rsidRDefault="00C5397F" w:rsidP="000C6220">
      <w:pPr>
        <w:pStyle w:val="Para1"/>
        <w:numPr>
          <w:ilvl w:val="0"/>
          <w:numId w:val="0"/>
        </w:numPr>
        <w:tabs>
          <w:tab w:val="clear" w:pos="567"/>
          <w:tab w:val="clear" w:pos="2912"/>
        </w:tabs>
        <w:spacing w:before="0" w:after="0" w:line="240" w:lineRule="auto"/>
        <w:ind w:left="1134"/>
        <w:rPr>
          <w:szCs w:val="22"/>
        </w:rPr>
      </w:pPr>
      <w:r w:rsidRPr="00EE0850">
        <w:rPr>
          <w:szCs w:val="22"/>
        </w:rPr>
        <w:t xml:space="preserve">Ms. Salomé </w:t>
      </w:r>
      <w:proofErr w:type="spellStart"/>
      <w:r w:rsidRPr="00EE0850">
        <w:rPr>
          <w:szCs w:val="22"/>
        </w:rPr>
        <w:t>Sidler</w:t>
      </w:r>
      <w:proofErr w:type="spellEnd"/>
      <w:r w:rsidRPr="00EE0850">
        <w:rPr>
          <w:szCs w:val="22"/>
        </w:rPr>
        <w:t xml:space="preserve"> (Switzerland)</w:t>
      </w:r>
    </w:p>
    <w:p w14:paraId="38FC7B21" w14:textId="77777777" w:rsidR="00C5397F" w:rsidRPr="00EE0850" w:rsidRDefault="00C5397F" w:rsidP="000C6220">
      <w:pPr>
        <w:pStyle w:val="Para1"/>
        <w:numPr>
          <w:ilvl w:val="0"/>
          <w:numId w:val="0"/>
        </w:numPr>
        <w:tabs>
          <w:tab w:val="clear" w:pos="567"/>
          <w:tab w:val="clear" w:pos="2912"/>
        </w:tabs>
        <w:spacing w:before="0" w:line="240" w:lineRule="auto"/>
        <w:ind w:left="1134"/>
        <w:rPr>
          <w:szCs w:val="22"/>
        </w:rPr>
      </w:pPr>
      <w:r w:rsidRPr="00EE0850">
        <w:rPr>
          <w:szCs w:val="22"/>
        </w:rPr>
        <w:t xml:space="preserve">Ms. </w:t>
      </w:r>
      <w:proofErr w:type="spellStart"/>
      <w:r w:rsidRPr="00EE0850">
        <w:rPr>
          <w:szCs w:val="22"/>
        </w:rPr>
        <w:t>Mery</w:t>
      </w:r>
      <w:proofErr w:type="spellEnd"/>
      <w:r w:rsidRPr="00EE0850">
        <w:rPr>
          <w:szCs w:val="22"/>
        </w:rPr>
        <w:t xml:space="preserve"> </w:t>
      </w:r>
      <w:proofErr w:type="spellStart"/>
      <w:r w:rsidRPr="00EE0850">
        <w:rPr>
          <w:szCs w:val="22"/>
        </w:rPr>
        <w:t>Ciacci</w:t>
      </w:r>
      <w:proofErr w:type="spellEnd"/>
      <w:r w:rsidRPr="00EE0850">
        <w:rPr>
          <w:szCs w:val="22"/>
        </w:rPr>
        <w:t xml:space="preserve"> (European Union) (as alternate)</w:t>
      </w:r>
    </w:p>
    <w:p w14:paraId="70F0C4ED" w14:textId="77CF4D62" w:rsidR="00C5397F" w:rsidRPr="00EE0850" w:rsidRDefault="00C5397F" w:rsidP="000C6220">
      <w:pPr>
        <w:pStyle w:val="Para1"/>
        <w:tabs>
          <w:tab w:val="clear" w:pos="360"/>
          <w:tab w:val="clear" w:pos="567"/>
          <w:tab w:val="clear" w:pos="2912"/>
        </w:tabs>
        <w:spacing w:line="240" w:lineRule="auto"/>
        <w:rPr>
          <w:szCs w:val="22"/>
        </w:rPr>
      </w:pPr>
      <w:r w:rsidRPr="00EE0850">
        <w:rPr>
          <w:szCs w:val="22"/>
        </w:rPr>
        <w:t xml:space="preserve">At the same plenary session, the Conference of the Parties serving as the meeting of the Parties to the </w:t>
      </w:r>
      <w:r w:rsidR="001D669D" w:rsidRPr="00EE0850">
        <w:rPr>
          <w:szCs w:val="22"/>
        </w:rPr>
        <w:t xml:space="preserve">Nagoya </w:t>
      </w:r>
      <w:r w:rsidRPr="00EE0850">
        <w:rPr>
          <w:szCs w:val="22"/>
        </w:rPr>
        <w:t xml:space="preserve">Protocol also elected two representatives from indigenous peoples and local communities to serve as observers: Ms. Jennifer </w:t>
      </w:r>
      <w:proofErr w:type="spellStart"/>
      <w:r w:rsidRPr="00EE0850">
        <w:rPr>
          <w:szCs w:val="22"/>
        </w:rPr>
        <w:t>Tauli</w:t>
      </w:r>
      <w:proofErr w:type="spellEnd"/>
      <w:r w:rsidRPr="00EE0850">
        <w:rPr>
          <w:szCs w:val="22"/>
        </w:rPr>
        <w:t xml:space="preserve"> </w:t>
      </w:r>
      <w:proofErr w:type="spellStart"/>
      <w:r w:rsidRPr="00EE0850">
        <w:rPr>
          <w:szCs w:val="22"/>
        </w:rPr>
        <w:t>Corpuz</w:t>
      </w:r>
      <w:proofErr w:type="spellEnd"/>
      <w:r w:rsidRPr="00EE0850">
        <w:rPr>
          <w:szCs w:val="22"/>
        </w:rPr>
        <w:t xml:space="preserve"> and Ms. </w:t>
      </w:r>
      <w:proofErr w:type="spellStart"/>
      <w:r w:rsidRPr="00EE0850">
        <w:rPr>
          <w:szCs w:val="22"/>
        </w:rPr>
        <w:t>Yeshing</w:t>
      </w:r>
      <w:proofErr w:type="spellEnd"/>
      <w:r w:rsidRPr="00EE0850">
        <w:rPr>
          <w:szCs w:val="22"/>
        </w:rPr>
        <w:t xml:space="preserve"> Juliana </w:t>
      </w:r>
      <w:proofErr w:type="spellStart"/>
      <w:r w:rsidRPr="00EE0850">
        <w:rPr>
          <w:szCs w:val="22"/>
        </w:rPr>
        <w:t>Upún</w:t>
      </w:r>
      <w:proofErr w:type="spellEnd"/>
      <w:r w:rsidRPr="00EE0850">
        <w:rPr>
          <w:szCs w:val="22"/>
        </w:rPr>
        <w:t xml:space="preserve"> </w:t>
      </w:r>
      <w:proofErr w:type="spellStart"/>
      <w:r w:rsidRPr="00EE0850">
        <w:rPr>
          <w:szCs w:val="22"/>
        </w:rPr>
        <w:t>Yos</w:t>
      </w:r>
      <w:proofErr w:type="spellEnd"/>
      <w:r w:rsidRPr="00EE0850">
        <w:rPr>
          <w:szCs w:val="22"/>
        </w:rPr>
        <w:t xml:space="preserve"> (</w:t>
      </w:r>
      <w:r w:rsidR="001869DD" w:rsidRPr="00EE0850">
        <w:rPr>
          <w:szCs w:val="22"/>
        </w:rPr>
        <w:t xml:space="preserve">both from </w:t>
      </w:r>
      <w:r w:rsidRPr="00EE0850">
        <w:rPr>
          <w:szCs w:val="22"/>
        </w:rPr>
        <w:t>IIFB/I</w:t>
      </w:r>
      <w:r w:rsidR="0072366B" w:rsidRPr="00EE0850">
        <w:rPr>
          <w:szCs w:val="22"/>
        </w:rPr>
        <w:t>WB</w:t>
      </w:r>
      <w:r w:rsidRPr="00EE0850">
        <w:rPr>
          <w:szCs w:val="22"/>
        </w:rPr>
        <w:t>N).</w:t>
      </w:r>
    </w:p>
    <w:p w14:paraId="5F991066" w14:textId="77777777" w:rsidR="00E47FEB" w:rsidRPr="00EE0850" w:rsidRDefault="00BB2871" w:rsidP="000C6220">
      <w:pPr>
        <w:pStyle w:val="Heading1-item"/>
        <w:tabs>
          <w:tab w:val="left" w:pos="993"/>
        </w:tabs>
        <w:spacing w:before="120" w:line="240" w:lineRule="auto"/>
      </w:pPr>
      <w:bookmarkStart w:id="36" w:name="_Toc256223"/>
      <w:r w:rsidRPr="00EE0850">
        <w:rPr>
          <w:rFonts w:ascii="Times New Roman" w:hAnsi="Times New Roman" w:cs="Times New Roman"/>
        </w:rPr>
        <w:t xml:space="preserve">ITEM </w:t>
      </w:r>
      <w:r w:rsidR="00342651" w:rsidRPr="00EE0850">
        <w:rPr>
          <w:rFonts w:ascii="Times New Roman" w:hAnsi="Times New Roman" w:cs="Times New Roman"/>
        </w:rPr>
        <w:t>6</w:t>
      </w:r>
      <w:r w:rsidRPr="00EE0850">
        <w:rPr>
          <w:rFonts w:ascii="Times New Roman" w:hAnsi="Times New Roman" w:cs="Times New Roman"/>
        </w:rPr>
        <w:t>.</w:t>
      </w:r>
      <w:r w:rsidRPr="00EE0850">
        <w:rPr>
          <w:rFonts w:ascii="Times New Roman" w:hAnsi="Times New Roman" w:cs="Times New Roman"/>
        </w:rPr>
        <w:tab/>
      </w:r>
      <w:r w:rsidR="00B659F9" w:rsidRPr="00EE0850">
        <w:rPr>
          <w:rFonts w:ascii="Times New Roman" w:hAnsi="Times New Roman" w:cs="Times New Roman"/>
        </w:rPr>
        <w:t>ADMINISTRATION OF THE PROTOCOL AND BUDGET FOR THE TRUST FUNDS</w:t>
      </w:r>
      <w:bookmarkEnd w:id="36"/>
    </w:p>
    <w:p w14:paraId="0E16FA77" w14:textId="153BC148" w:rsidR="000F6A49" w:rsidRPr="00EE0850" w:rsidRDefault="000F6A49" w:rsidP="000C6220">
      <w:pPr>
        <w:pStyle w:val="Para1"/>
        <w:tabs>
          <w:tab w:val="clear" w:pos="360"/>
          <w:tab w:val="clear" w:pos="567"/>
          <w:tab w:val="clear" w:pos="2912"/>
        </w:tabs>
        <w:spacing w:line="240" w:lineRule="auto"/>
        <w:rPr>
          <w:color w:val="000000"/>
        </w:rPr>
      </w:pPr>
      <w:r w:rsidRPr="00EE0850">
        <w:t xml:space="preserve">Agenda item 6 was taken up at the 2nd session of the meeting, on 17 November 2018. In considering the item, the Conference of the Parties serving as the meeting of the Parties </w:t>
      </w:r>
      <w:r w:rsidR="003D3AF7" w:rsidRPr="00EE0850">
        <w:t xml:space="preserve">to the Nagoya Protocol </w:t>
      </w:r>
      <w:r w:rsidRPr="00EE0850">
        <w:t xml:space="preserve">had before it the report of the Executive Secretary on the administration of the Convention and the Cartagena and Nagoya protocols </w:t>
      </w:r>
      <w:r w:rsidRPr="00EE0850">
        <w:rPr>
          <w:color w:val="000000"/>
        </w:rPr>
        <w:t>for the biennium 2017–2018</w:t>
      </w:r>
      <w:r w:rsidRPr="00EE0850">
        <w:t xml:space="preserve">, including the budget for the trust funds (CBD/COP/14/3), the </w:t>
      </w:r>
      <w:r w:rsidRPr="00EE0850">
        <w:rPr>
          <w:color w:val="000000"/>
        </w:rPr>
        <w:t xml:space="preserve">proposed budget for the programme of work of the Convention </w:t>
      </w:r>
      <w:r w:rsidRPr="00EE0850">
        <w:t>and the Cartagena and Nagoya protocols</w:t>
      </w:r>
      <w:r w:rsidRPr="00EE0850">
        <w:rPr>
          <w:color w:val="000000"/>
        </w:rPr>
        <w:t xml:space="preserve"> for the biennium 2019–2020</w:t>
      </w:r>
      <w:r w:rsidRPr="00EE0850">
        <w:t xml:space="preserve"> (CBD/COP/14/4)</w:t>
      </w:r>
      <w:r w:rsidR="003D3AF7" w:rsidRPr="00EE0850">
        <w:t xml:space="preserve"> and</w:t>
      </w:r>
      <w:r w:rsidRPr="00EE0850">
        <w:t xml:space="preserve"> elements of a draft decision on the matter (</w:t>
      </w:r>
      <w:r w:rsidR="003D3AF7" w:rsidRPr="00EE0850">
        <w:t xml:space="preserve">see </w:t>
      </w:r>
      <w:r w:rsidRPr="00EE0850">
        <w:rPr>
          <w:color w:val="000000"/>
        </w:rPr>
        <w:t xml:space="preserve">CBD/COP/14/2) </w:t>
      </w:r>
      <w:r w:rsidR="003D3AF7" w:rsidRPr="00EE0850">
        <w:t xml:space="preserve">as well as </w:t>
      </w:r>
      <w:r w:rsidR="00100E37" w:rsidRPr="00EE0850">
        <w:rPr>
          <w:color w:val="000000"/>
        </w:rPr>
        <w:t>an information document</w:t>
      </w:r>
      <w:r w:rsidRPr="00EE0850">
        <w:t xml:space="preserve"> on the administration of the Convention and the budget for the trust funds of the Convention and the Cartagena and Nagoya protocols (CBD/COP/14/INF/17).</w:t>
      </w:r>
    </w:p>
    <w:p w14:paraId="22935FCE" w14:textId="77777777" w:rsidR="000F6A49" w:rsidRPr="00EE0850" w:rsidRDefault="000F6A49" w:rsidP="000C6220">
      <w:pPr>
        <w:pStyle w:val="Para1"/>
        <w:tabs>
          <w:tab w:val="clear" w:pos="360"/>
          <w:tab w:val="clear" w:pos="567"/>
          <w:tab w:val="clear" w:pos="2912"/>
        </w:tabs>
        <w:spacing w:line="240" w:lineRule="auto"/>
      </w:pPr>
      <w:r w:rsidRPr="00EE0850">
        <w:t>A statement was made by the representative of Japan.</w:t>
      </w:r>
    </w:p>
    <w:p w14:paraId="0ACF1AA3" w14:textId="63B428A2" w:rsidR="000F6A49" w:rsidRPr="00EE0850" w:rsidRDefault="000F6A49" w:rsidP="000C6220">
      <w:pPr>
        <w:pStyle w:val="Para1"/>
        <w:tabs>
          <w:tab w:val="clear" w:pos="360"/>
          <w:tab w:val="clear" w:pos="567"/>
          <w:tab w:val="clear" w:pos="2912"/>
        </w:tabs>
        <w:spacing w:line="240" w:lineRule="auto"/>
      </w:pPr>
      <w:r w:rsidRPr="00EE0850">
        <w:t xml:space="preserve">The Conference of the Parties serving as the meeting of the Parties </w:t>
      </w:r>
      <w:r w:rsidR="0068667B" w:rsidRPr="00EE0850">
        <w:t xml:space="preserve">to the Nagoya Protocol </w:t>
      </w:r>
      <w:r w:rsidRPr="00EE0850">
        <w:t xml:space="preserve">took note of the reports and </w:t>
      </w:r>
      <w:r w:rsidR="007E030C" w:rsidRPr="00EE0850">
        <w:t xml:space="preserve">decided </w:t>
      </w:r>
      <w:r w:rsidRPr="00EE0850">
        <w:t xml:space="preserve">to establish a contact group on </w:t>
      </w:r>
      <w:r w:rsidR="00935B25" w:rsidRPr="00EE0850">
        <w:t xml:space="preserve">the </w:t>
      </w:r>
      <w:r w:rsidRPr="00EE0850">
        <w:t xml:space="preserve">budget with </w:t>
      </w:r>
      <w:r w:rsidR="00935B25" w:rsidRPr="00EE0850">
        <w:t xml:space="preserve">a </w:t>
      </w:r>
      <w:r w:rsidRPr="00EE0850">
        <w:t xml:space="preserve">mandate to review the matter and prepare a draft budget for the programme of work for the biennium 2019–2020 for the consideration of the Parties. The contact group would be chaired by Mr. Spencer Thomas (Grenada), would be open to all Parties and would meet informally at the invitation of its </w:t>
      </w:r>
      <w:r w:rsidR="004251E3" w:rsidRPr="00EE0850">
        <w:t>c</w:t>
      </w:r>
      <w:r w:rsidRPr="00EE0850">
        <w:t>hair, with meetings advertised in advance in the daily calendar of meetings.</w:t>
      </w:r>
    </w:p>
    <w:p w14:paraId="463D868D" w14:textId="1187BAD4" w:rsidR="005B76D9" w:rsidRPr="00EE0850" w:rsidRDefault="005B76D9" w:rsidP="000C6220">
      <w:pPr>
        <w:pStyle w:val="Para1"/>
        <w:tabs>
          <w:tab w:val="clear" w:pos="360"/>
          <w:tab w:val="clear" w:pos="567"/>
          <w:tab w:val="clear" w:pos="2912"/>
        </w:tabs>
        <w:spacing w:line="240" w:lineRule="auto"/>
      </w:pPr>
      <w:r w:rsidRPr="00EE0850">
        <w:t>T</w:t>
      </w:r>
      <w:r w:rsidRPr="00EE0850">
        <w:rPr>
          <w:szCs w:val="22"/>
        </w:rPr>
        <w:t xml:space="preserve">he Conference of the Parties serving as the meeting of the Parties </w:t>
      </w:r>
      <w:r w:rsidR="00BF4ADD" w:rsidRPr="00EE0850">
        <w:t xml:space="preserve">to the Nagoya Protocol </w:t>
      </w:r>
      <w:r w:rsidRPr="00EE0850">
        <w:rPr>
          <w:szCs w:val="22"/>
        </w:rPr>
        <w:t>he</w:t>
      </w:r>
      <w:r w:rsidRPr="00EE0850">
        <w:t>ard progress reports from the c</w:t>
      </w:r>
      <w:r w:rsidRPr="00EE0850">
        <w:rPr>
          <w:szCs w:val="22"/>
        </w:rPr>
        <w:t xml:space="preserve">hair of the open-ended contact group on </w:t>
      </w:r>
      <w:r w:rsidR="00935B25" w:rsidRPr="00EE0850">
        <w:rPr>
          <w:szCs w:val="22"/>
        </w:rPr>
        <w:t xml:space="preserve">the </w:t>
      </w:r>
      <w:r w:rsidRPr="00EE0850">
        <w:rPr>
          <w:szCs w:val="22"/>
        </w:rPr>
        <w:t>budget</w:t>
      </w:r>
      <w:r w:rsidRPr="00EE0850">
        <w:t xml:space="preserve"> at </w:t>
      </w:r>
      <w:r w:rsidRPr="00EE0850">
        <w:rPr>
          <w:szCs w:val="22"/>
        </w:rPr>
        <w:t xml:space="preserve">the 4th plenary session of the meeting, on 22 November 2018, </w:t>
      </w:r>
      <w:r w:rsidRPr="00EE0850">
        <w:t>and at the 5th plenary session, on 25 November 2018.</w:t>
      </w:r>
    </w:p>
    <w:p w14:paraId="415FB6EC" w14:textId="1F1700AE" w:rsidR="009F41A4" w:rsidRPr="00EE0850" w:rsidRDefault="009F41A4" w:rsidP="000C6220">
      <w:pPr>
        <w:pStyle w:val="Para1"/>
        <w:tabs>
          <w:tab w:val="clear" w:pos="360"/>
          <w:tab w:val="clear" w:pos="567"/>
          <w:tab w:val="clear" w:pos="2912"/>
        </w:tabs>
        <w:spacing w:line="240" w:lineRule="auto"/>
      </w:pPr>
      <w:r w:rsidRPr="00EE0850">
        <w:t xml:space="preserve">At </w:t>
      </w:r>
      <w:r w:rsidR="00FB0AE7" w:rsidRPr="00EE0850">
        <w:t>its</w:t>
      </w:r>
      <w:r w:rsidRPr="00EE0850">
        <w:t xml:space="preserve"> 8th plenary session, on 29 November 2018, the Conference of the Parties serving as the meeting of the Parties </w:t>
      </w:r>
      <w:r w:rsidR="00BF4ADD" w:rsidRPr="00EE0850">
        <w:t xml:space="preserve">to the Nagoya Protocol </w:t>
      </w:r>
      <w:r w:rsidRPr="00EE0850">
        <w:t>took up draft decision CBD/NP/MOP/3/L.16, on the budget for the integrated programme of work of the Secretariat.</w:t>
      </w:r>
    </w:p>
    <w:p w14:paraId="0FF96490" w14:textId="4D711A51" w:rsidR="005B76D9" w:rsidRPr="00EE0850" w:rsidRDefault="009F41A4" w:rsidP="000C6220">
      <w:pPr>
        <w:pStyle w:val="Para1"/>
        <w:tabs>
          <w:tab w:val="clear" w:pos="360"/>
          <w:tab w:val="clear" w:pos="567"/>
          <w:tab w:val="clear" w:pos="2912"/>
        </w:tabs>
        <w:spacing w:line="240" w:lineRule="auto"/>
      </w:pPr>
      <w:r w:rsidRPr="00EE0850">
        <w:t xml:space="preserve">The Conference of the Parties serving as the meeting of the Parties </w:t>
      </w:r>
      <w:r w:rsidR="00BF4ADD" w:rsidRPr="00EE0850">
        <w:t xml:space="preserve">to the Nagoya Protocol </w:t>
      </w:r>
      <w:r w:rsidRPr="00EE0850">
        <w:t>adopted the draft decision as d</w:t>
      </w:r>
      <w:r w:rsidR="003B2173" w:rsidRPr="00EE0850">
        <w:t>ecision NP-</w:t>
      </w:r>
      <w:r w:rsidRPr="00EE0850">
        <w:t>3/16 (for the text, see chap.</w:t>
      </w:r>
      <w:r w:rsidR="00A8524D" w:rsidRPr="00EE0850">
        <w:t> </w:t>
      </w:r>
      <w:r w:rsidRPr="00EE0850">
        <w:t>I).</w:t>
      </w:r>
    </w:p>
    <w:p w14:paraId="6D93A035" w14:textId="77777777" w:rsidR="00FC047F" w:rsidRPr="00EE0850" w:rsidRDefault="00FC047F" w:rsidP="000C6220">
      <w:pPr>
        <w:pStyle w:val="Heading1-item"/>
        <w:spacing w:before="120" w:line="240" w:lineRule="auto"/>
        <w:ind w:left="1559" w:right="0" w:hanging="992"/>
        <w:jc w:val="left"/>
      </w:pPr>
      <w:bookmarkStart w:id="37" w:name="_Toc256224"/>
      <w:r w:rsidRPr="00EE0850">
        <w:rPr>
          <w:rFonts w:ascii="Times New Roman" w:hAnsi="Times New Roman" w:cs="Times New Roman"/>
        </w:rPr>
        <w:t>ITEM 7.</w:t>
      </w:r>
      <w:r w:rsidRPr="00EE0850">
        <w:rPr>
          <w:rFonts w:ascii="Times New Roman" w:hAnsi="Times New Roman" w:cs="Times New Roman"/>
        </w:rPr>
        <w:tab/>
      </w:r>
      <w:r w:rsidR="00A40933" w:rsidRPr="00EE0850">
        <w:rPr>
          <w:rFonts w:ascii="Times New Roman" w:hAnsi="Times New Roman" w:cs="Times New Roman"/>
        </w:rPr>
        <w:t>Assessment and review of the effectiveness of the Protocol (Article 31)</w:t>
      </w:r>
      <w:bookmarkEnd w:id="37"/>
    </w:p>
    <w:p w14:paraId="5375FE6C" w14:textId="08B3524D" w:rsidR="002437E5" w:rsidRPr="00EE0850" w:rsidRDefault="00DC1729" w:rsidP="000C6220">
      <w:pPr>
        <w:pStyle w:val="Para1"/>
        <w:tabs>
          <w:tab w:val="clear" w:pos="360"/>
          <w:tab w:val="clear" w:pos="567"/>
          <w:tab w:val="clear" w:pos="2912"/>
        </w:tabs>
        <w:spacing w:line="240" w:lineRule="auto"/>
        <w:rPr>
          <w:szCs w:val="22"/>
        </w:rPr>
      </w:pPr>
      <w:r w:rsidRPr="00EE0850">
        <w:rPr>
          <w:szCs w:val="22"/>
        </w:rPr>
        <w:t xml:space="preserve">Working Group I took up agenda item 7 at its 1st meeting, on 18 November 2018. In considering the item, the Working Group had before it a </w:t>
      </w:r>
      <w:r w:rsidR="00D52D17" w:rsidRPr="00EE0850">
        <w:rPr>
          <w:szCs w:val="22"/>
        </w:rPr>
        <w:t xml:space="preserve">note by the Executive Secretary </w:t>
      </w:r>
      <w:r w:rsidRPr="00EE0850">
        <w:rPr>
          <w:szCs w:val="22"/>
        </w:rPr>
        <w:t xml:space="preserve">on </w:t>
      </w:r>
      <w:r w:rsidR="005360C3" w:rsidRPr="00EE0850">
        <w:rPr>
          <w:szCs w:val="22"/>
        </w:rPr>
        <w:t xml:space="preserve">the </w:t>
      </w:r>
      <w:r w:rsidRPr="00EE0850">
        <w:rPr>
          <w:szCs w:val="22"/>
        </w:rPr>
        <w:t>assessment and review of the effectiveness of the Protocol (Article</w:t>
      </w:r>
      <w:r w:rsidR="00BC2324" w:rsidRPr="00EE0850">
        <w:rPr>
          <w:szCs w:val="22"/>
        </w:rPr>
        <w:t> </w:t>
      </w:r>
      <w:r w:rsidRPr="00EE0850">
        <w:rPr>
          <w:szCs w:val="22"/>
        </w:rPr>
        <w:t xml:space="preserve">31) (CBD/NP/MOP/3/3) and a draft decision based on recommendation </w:t>
      </w:r>
      <w:hyperlink r:id="rId31" w:history="1">
        <w:r w:rsidRPr="00EE0850">
          <w:rPr>
            <w:rStyle w:val="Hyperlink"/>
            <w:sz w:val="22"/>
            <w:szCs w:val="22"/>
          </w:rPr>
          <w:t>SBI-2/2</w:t>
        </w:r>
      </w:hyperlink>
      <w:r w:rsidR="003F026A" w:rsidRPr="00EE0850">
        <w:rPr>
          <w:szCs w:val="22"/>
        </w:rPr>
        <w:t xml:space="preserve"> and additional elements from document CBD/NP/MOP/3/3</w:t>
      </w:r>
      <w:r w:rsidRPr="00EE0850">
        <w:rPr>
          <w:szCs w:val="22"/>
        </w:rPr>
        <w:t xml:space="preserve">, set out in the compilation of draft decisions (CBD/NP/MOP/3/1/Add.2). It also had before it </w:t>
      </w:r>
      <w:r w:rsidR="00DB1CBB" w:rsidRPr="00EE0850">
        <w:rPr>
          <w:szCs w:val="22"/>
        </w:rPr>
        <w:t xml:space="preserve">the following </w:t>
      </w:r>
      <w:r w:rsidRPr="00EE0850">
        <w:rPr>
          <w:szCs w:val="22"/>
        </w:rPr>
        <w:t>information documents on the assessment and review of the effectiveness of the Nagoya Protocol</w:t>
      </w:r>
      <w:r w:rsidR="00DB1CBB" w:rsidRPr="00EE0850">
        <w:rPr>
          <w:szCs w:val="22"/>
        </w:rPr>
        <w:t>:</w:t>
      </w:r>
      <w:r w:rsidRPr="00EE0850">
        <w:rPr>
          <w:szCs w:val="22"/>
        </w:rPr>
        <w:t xml:space="preserve"> </w:t>
      </w:r>
      <w:r w:rsidR="00DB1CBB" w:rsidRPr="00EE0850">
        <w:rPr>
          <w:szCs w:val="22"/>
        </w:rPr>
        <w:t>(a) </w:t>
      </w:r>
      <w:r w:rsidRPr="00EE0850">
        <w:rPr>
          <w:szCs w:val="22"/>
        </w:rPr>
        <w:t xml:space="preserve">analysis of information contained in the interim national reports and information published in the </w:t>
      </w:r>
      <w:r w:rsidR="001024C7" w:rsidRPr="00EE0850">
        <w:rPr>
          <w:szCs w:val="22"/>
        </w:rPr>
        <w:t>A</w:t>
      </w:r>
      <w:r w:rsidRPr="00EE0850">
        <w:rPr>
          <w:szCs w:val="22"/>
        </w:rPr>
        <w:t xml:space="preserve">ccess and </w:t>
      </w:r>
      <w:r w:rsidR="001024C7" w:rsidRPr="00EE0850">
        <w:rPr>
          <w:szCs w:val="22"/>
        </w:rPr>
        <w:t>B</w:t>
      </w:r>
      <w:r w:rsidRPr="00EE0850">
        <w:rPr>
          <w:szCs w:val="22"/>
        </w:rPr>
        <w:t xml:space="preserve">enefit-sharing </w:t>
      </w:r>
      <w:r w:rsidR="001024C7" w:rsidRPr="00EE0850">
        <w:rPr>
          <w:szCs w:val="22"/>
        </w:rPr>
        <w:t>C</w:t>
      </w:r>
      <w:r w:rsidRPr="00EE0850">
        <w:rPr>
          <w:szCs w:val="22"/>
        </w:rPr>
        <w:t>learing</w:t>
      </w:r>
      <w:r w:rsidR="001024C7" w:rsidRPr="00EE0850">
        <w:rPr>
          <w:szCs w:val="22"/>
        </w:rPr>
        <w:t>-H</w:t>
      </w:r>
      <w:r w:rsidRPr="00EE0850">
        <w:rPr>
          <w:szCs w:val="22"/>
        </w:rPr>
        <w:t xml:space="preserve">ouse (CBD/SBI/2/INF/3); </w:t>
      </w:r>
      <w:r w:rsidR="00DB1CBB" w:rsidRPr="00EE0850">
        <w:rPr>
          <w:szCs w:val="22"/>
        </w:rPr>
        <w:t>(b)</w:t>
      </w:r>
      <w:r w:rsidR="00955CAA" w:rsidRPr="00EE0850">
        <w:rPr>
          <w:szCs w:val="22"/>
        </w:rPr>
        <w:t> </w:t>
      </w:r>
      <w:r w:rsidRPr="00EE0850">
        <w:rPr>
          <w:szCs w:val="22"/>
        </w:rPr>
        <w:t xml:space="preserve">statistical overview of the answers provided in the interim national report for the Nagoya Protocol (CBD/SBI/2/INF/4); </w:t>
      </w:r>
      <w:r w:rsidR="00DB1CBB" w:rsidRPr="00EE0850">
        <w:rPr>
          <w:szCs w:val="22"/>
        </w:rPr>
        <w:t>(c) </w:t>
      </w:r>
      <w:r w:rsidRPr="00EE0850">
        <w:rPr>
          <w:szCs w:val="22"/>
        </w:rPr>
        <w:t xml:space="preserve">review of implementation and operation of the Access and Benefit-sharing Clearing-House (CBD/SBI/2/INF/7); and </w:t>
      </w:r>
      <w:r w:rsidR="00DB1CBB" w:rsidRPr="00EE0850">
        <w:rPr>
          <w:szCs w:val="22"/>
        </w:rPr>
        <w:t>(d) </w:t>
      </w:r>
      <w:r w:rsidRPr="00EE0850">
        <w:rPr>
          <w:szCs w:val="22"/>
        </w:rPr>
        <w:t>stock-taking of model contractual clauses, codes of conduct, guidelines, best practices and standards, as well as indigenous peoples and local communities’ customary laws, community protocols and procedures (CBD/SBI/2/INF/8)</w:t>
      </w:r>
      <w:r w:rsidR="002437E5" w:rsidRPr="00EE0850">
        <w:rPr>
          <w:szCs w:val="22"/>
        </w:rPr>
        <w:t>.</w:t>
      </w:r>
    </w:p>
    <w:p w14:paraId="70AE6819" w14:textId="59522478"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Statements were made by representatives of Argentina, </w:t>
      </w:r>
      <w:r w:rsidR="00780908" w:rsidRPr="00EE0850">
        <w:rPr>
          <w:szCs w:val="22"/>
        </w:rPr>
        <w:t xml:space="preserve">the </w:t>
      </w:r>
      <w:r w:rsidRPr="00EE0850">
        <w:rPr>
          <w:szCs w:val="22"/>
        </w:rPr>
        <w:t>European Union and its 28 member States, India, Indonesia, Japan, Malaysia, Mexico, Uganda and Venezuela (Bolivarian Republic of).</w:t>
      </w:r>
    </w:p>
    <w:p w14:paraId="6DDC7260"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At its 2nd meeting, on 18 November 2018, the Working Group resumed its consideration of the item.</w:t>
      </w:r>
    </w:p>
    <w:p w14:paraId="3D1CD146" w14:textId="14187D0C"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Statements were made by representatives of </w:t>
      </w:r>
      <w:r w:rsidR="000F6C07" w:rsidRPr="00EE0850">
        <w:rPr>
          <w:szCs w:val="22"/>
        </w:rPr>
        <w:t xml:space="preserve">the </w:t>
      </w:r>
      <w:r w:rsidRPr="00EE0850">
        <w:rPr>
          <w:szCs w:val="22"/>
        </w:rPr>
        <w:t>Central African Republic, Côte d’Ivoire, Ecuador, Guinea, Jordan, Lebanon, Niger, Peru, South Africa, Sudan and Switzerland.</w:t>
      </w:r>
    </w:p>
    <w:p w14:paraId="159542C6"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Statements were also made by representatives of Costa Rica and Morocco.</w:t>
      </w:r>
    </w:p>
    <w:p w14:paraId="1A2F5F54"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A statement was made by a representative of FAO.</w:t>
      </w:r>
    </w:p>
    <w:p w14:paraId="2668D23D"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A further statement was made by a representative of IIFB.</w:t>
      </w:r>
    </w:p>
    <w:p w14:paraId="1E5634E5"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The Chair said he would prepare a revised draft decision on the matter, taking into account the views expressed orally and submitted in writing.</w:t>
      </w:r>
    </w:p>
    <w:p w14:paraId="6C37FAA6"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At its 7th meeting, on 21 November 2018, the Working Group considered a revised draft decision submitted by the Chair.</w:t>
      </w:r>
    </w:p>
    <w:p w14:paraId="3A979AC1" w14:textId="730CA8DE"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w:t>
      </w:r>
      <w:r w:rsidR="00780908" w:rsidRPr="00EE0850">
        <w:t xml:space="preserve">the </w:t>
      </w:r>
      <w:r w:rsidRPr="00EE0850">
        <w:t>European Union and its 28 member States, Gabon, Japan, Madagascar, Mexico and Niger.</w:t>
      </w:r>
    </w:p>
    <w:p w14:paraId="6518C00B" w14:textId="77777777" w:rsidR="002437E5" w:rsidRPr="00EE0850" w:rsidRDefault="002437E5" w:rsidP="000C6220">
      <w:pPr>
        <w:pStyle w:val="Para1"/>
        <w:tabs>
          <w:tab w:val="clear" w:pos="360"/>
          <w:tab w:val="clear" w:pos="567"/>
          <w:tab w:val="clear" w:pos="2912"/>
        </w:tabs>
        <w:spacing w:line="240" w:lineRule="auto"/>
      </w:pPr>
      <w:r w:rsidRPr="00EE0850">
        <w:t xml:space="preserve">A statement was also made by a representative of </w:t>
      </w:r>
      <w:r w:rsidRPr="00EE0850">
        <w:rPr>
          <w:shd w:val="clear" w:color="auto" w:fill="FFFFFF"/>
        </w:rPr>
        <w:t>IIFB.</w:t>
      </w:r>
    </w:p>
    <w:p w14:paraId="018C4F59" w14:textId="62690EA4" w:rsidR="00FC047F" w:rsidRPr="00EE0850" w:rsidRDefault="002437E5" w:rsidP="000C6220">
      <w:pPr>
        <w:pStyle w:val="Para1"/>
        <w:tabs>
          <w:tab w:val="clear" w:pos="360"/>
          <w:tab w:val="clear" w:pos="567"/>
          <w:tab w:val="clear" w:pos="2912"/>
        </w:tabs>
        <w:spacing w:line="240" w:lineRule="auto"/>
      </w:pPr>
      <w:r w:rsidRPr="00EE0850">
        <w:t xml:space="preserve">The Working Group approved the </w:t>
      </w:r>
      <w:r w:rsidRPr="00EE0850">
        <w:rPr>
          <w:bCs/>
        </w:rPr>
        <w:t xml:space="preserve">revised </w:t>
      </w:r>
      <w:r w:rsidRPr="00EE0850">
        <w:t>draft decision, as orally amended, for transmission to the plenary as draft decision CBD/NP/MOP/3/L.2.</w:t>
      </w:r>
    </w:p>
    <w:p w14:paraId="7ECCCBA4" w14:textId="26464BE1" w:rsidR="00D463B5" w:rsidRPr="00EE0850" w:rsidRDefault="00D463B5" w:rsidP="000C6220">
      <w:pPr>
        <w:pStyle w:val="Para1"/>
        <w:tabs>
          <w:tab w:val="clear" w:pos="360"/>
          <w:tab w:val="clear" w:pos="567"/>
          <w:tab w:val="clear" w:pos="2912"/>
        </w:tabs>
        <w:spacing w:line="240" w:lineRule="auto"/>
      </w:pPr>
      <w:r w:rsidRPr="00EE0850">
        <w:rPr>
          <w:bCs/>
          <w:szCs w:val="22"/>
        </w:rPr>
        <w:t xml:space="preserve">At the 5th plenary session of the meeting, on 25 November 2018, the Conference of the Parties </w:t>
      </w:r>
      <w:r w:rsidR="00CA3361" w:rsidRPr="00EE0850">
        <w:rPr>
          <w:bCs/>
          <w:szCs w:val="22"/>
        </w:rPr>
        <w:t xml:space="preserve">serving as the meeting of the Parties </w:t>
      </w:r>
      <w:r w:rsidR="00BC0BB8" w:rsidRPr="00EE0850">
        <w:rPr>
          <w:bCs/>
          <w:szCs w:val="22"/>
        </w:rPr>
        <w:t xml:space="preserve">to the Nagoya Protocol </w:t>
      </w:r>
      <w:r w:rsidR="00A10F60" w:rsidRPr="00EE0850">
        <w:rPr>
          <w:bCs/>
          <w:szCs w:val="22"/>
        </w:rPr>
        <w:t xml:space="preserve">adopted </w:t>
      </w:r>
      <w:r w:rsidR="008C2396" w:rsidRPr="00EE0850">
        <w:rPr>
          <w:bCs/>
          <w:szCs w:val="22"/>
        </w:rPr>
        <w:t>draft decision CBD/NP/</w:t>
      </w:r>
      <w:r w:rsidRPr="00EE0850">
        <w:rPr>
          <w:bCs/>
          <w:szCs w:val="22"/>
        </w:rPr>
        <w:t>MOP/3/L.2</w:t>
      </w:r>
      <w:r w:rsidR="00CA3361" w:rsidRPr="00EE0850">
        <w:rPr>
          <w:bCs/>
          <w:szCs w:val="22"/>
        </w:rPr>
        <w:t xml:space="preserve">, as orally amended, </w:t>
      </w:r>
      <w:r w:rsidRPr="00EE0850">
        <w:rPr>
          <w:bCs/>
          <w:szCs w:val="22"/>
        </w:rPr>
        <w:t>as decision NP-</w:t>
      </w:r>
      <w:r w:rsidR="002C5EC6" w:rsidRPr="00EE0850">
        <w:rPr>
          <w:bCs/>
          <w:szCs w:val="22"/>
        </w:rPr>
        <w:t>3</w:t>
      </w:r>
      <w:r w:rsidRPr="00EE0850">
        <w:rPr>
          <w:bCs/>
          <w:szCs w:val="22"/>
        </w:rPr>
        <w:t>/</w:t>
      </w:r>
      <w:r w:rsidR="00426DF0" w:rsidRPr="00EE0850">
        <w:rPr>
          <w:bCs/>
          <w:szCs w:val="22"/>
        </w:rPr>
        <w:t>1</w:t>
      </w:r>
      <w:r w:rsidR="003B2173" w:rsidRPr="00EE0850">
        <w:rPr>
          <w:bCs/>
          <w:szCs w:val="22"/>
        </w:rPr>
        <w:t xml:space="preserve"> </w:t>
      </w:r>
      <w:r w:rsidR="003B2173" w:rsidRPr="00EE0850">
        <w:t>(for the text, see chap.</w:t>
      </w:r>
      <w:r w:rsidR="00AB6308" w:rsidRPr="00EE0850">
        <w:t> </w:t>
      </w:r>
      <w:r w:rsidR="003B2173" w:rsidRPr="00EE0850">
        <w:t>I)</w:t>
      </w:r>
      <w:r w:rsidR="00125355" w:rsidRPr="00EE0850">
        <w:t>.</w:t>
      </w:r>
    </w:p>
    <w:p w14:paraId="11AD4945" w14:textId="71D9CF60" w:rsidR="00FC047F" w:rsidRPr="00EE0850" w:rsidRDefault="00FC047F" w:rsidP="000C6220">
      <w:pPr>
        <w:pStyle w:val="Heading1-item"/>
        <w:tabs>
          <w:tab w:val="left" w:pos="993"/>
        </w:tabs>
        <w:spacing w:before="120" w:line="240" w:lineRule="auto"/>
        <w:rPr>
          <w:rFonts w:ascii="Times New Roman" w:hAnsi="Times New Roman" w:cs="Times New Roman"/>
        </w:rPr>
      </w:pPr>
      <w:bookmarkStart w:id="38" w:name="_Toc256225"/>
      <w:r w:rsidRPr="00EE0850">
        <w:rPr>
          <w:rFonts w:ascii="Times New Roman" w:hAnsi="Times New Roman" w:cs="Times New Roman" w:hint="eastAsia"/>
        </w:rPr>
        <w:t>ITEM 8.</w:t>
      </w:r>
      <w:r w:rsidRPr="00EE0850">
        <w:rPr>
          <w:rFonts w:ascii="Times New Roman" w:hAnsi="Times New Roman" w:cs="Times New Roman" w:hint="eastAsia"/>
        </w:rPr>
        <w:tab/>
      </w:r>
      <w:r w:rsidR="00475D73" w:rsidRPr="00EE0850">
        <w:rPr>
          <w:rFonts w:ascii="Times New Roman" w:hAnsi="Times New Roman" w:cs="Times New Roman" w:hint="eastAsia"/>
        </w:rPr>
        <w:t>Financial mechanism and resources (Article</w:t>
      </w:r>
      <w:r w:rsidR="00FC1B56" w:rsidRPr="00EE0850">
        <w:rPr>
          <w:rFonts w:ascii="Times New Roman" w:hAnsi="Times New Roman" w:cs="Times New Roman"/>
        </w:rPr>
        <w:t> </w:t>
      </w:r>
      <w:r w:rsidR="00475D73" w:rsidRPr="00EE0850">
        <w:rPr>
          <w:rFonts w:ascii="Times New Roman" w:hAnsi="Times New Roman" w:cs="Times New Roman" w:hint="eastAsia"/>
        </w:rPr>
        <w:t>25)</w:t>
      </w:r>
      <w:bookmarkEnd w:id="38"/>
    </w:p>
    <w:p w14:paraId="3FE0904B" w14:textId="4BF59182" w:rsidR="002437E5" w:rsidRPr="00EE0850" w:rsidRDefault="002437E5" w:rsidP="000C6220">
      <w:pPr>
        <w:pStyle w:val="Para1"/>
        <w:tabs>
          <w:tab w:val="clear" w:pos="360"/>
          <w:tab w:val="clear" w:pos="567"/>
          <w:tab w:val="clear" w:pos="2912"/>
        </w:tabs>
        <w:spacing w:line="240" w:lineRule="auto"/>
      </w:pPr>
      <w:r w:rsidRPr="00EE0850">
        <w:t xml:space="preserve">Working Group I took up agenda item 8 at its 4th meeting, on 19 November 2018. In considering the item, the Working Group had before it a note by the Executive Secretary on the financial mechanism and resources (CBD/NP/MOP/3/5) and the report of </w:t>
      </w:r>
      <w:r w:rsidR="001024C7" w:rsidRPr="00EE0850">
        <w:t xml:space="preserve">the Global Environment Facility (GEF) </w:t>
      </w:r>
      <w:r w:rsidRPr="00EE0850">
        <w:t>(CBD/COP/14/7). It also had before it a draft decision in the compilation of draft decisions (CBD/NP/MOP/3/1/Add.2).</w:t>
      </w:r>
    </w:p>
    <w:p w14:paraId="250C57E0" w14:textId="0A8A3522"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w:t>
      </w:r>
      <w:r w:rsidR="00780908" w:rsidRPr="00EE0850">
        <w:t xml:space="preserve">the </w:t>
      </w:r>
      <w:r w:rsidRPr="00EE0850">
        <w:t>European Union and its 28 member States, India and Mexico.</w:t>
      </w:r>
    </w:p>
    <w:p w14:paraId="659402EA" w14:textId="5EC6746F" w:rsidR="002437E5" w:rsidRPr="00EE0850" w:rsidRDefault="002437E5" w:rsidP="000C6220">
      <w:pPr>
        <w:pStyle w:val="Para1"/>
        <w:tabs>
          <w:tab w:val="clear" w:pos="360"/>
          <w:tab w:val="clear" w:pos="567"/>
          <w:tab w:val="clear" w:pos="2912"/>
        </w:tabs>
        <w:spacing w:line="240" w:lineRule="auto"/>
      </w:pPr>
      <w:r w:rsidRPr="00EE0850">
        <w:t>The Chair said he would prepare a revised draft decision on the matter</w:t>
      </w:r>
      <w:r w:rsidR="002A2D9A" w:rsidRPr="00EE0850">
        <w:t>,</w:t>
      </w:r>
      <w:r w:rsidRPr="00EE0850">
        <w:t xml:space="preserve"> taking into account the views expressed orally and submitted in writing.</w:t>
      </w:r>
    </w:p>
    <w:p w14:paraId="7A40C357" w14:textId="26DBF6FA" w:rsidR="002437E5" w:rsidRPr="00EE0850" w:rsidRDefault="002437E5" w:rsidP="000C6220">
      <w:pPr>
        <w:pStyle w:val="Para1"/>
        <w:tabs>
          <w:tab w:val="clear" w:pos="360"/>
          <w:tab w:val="clear" w:pos="567"/>
          <w:tab w:val="clear" w:pos="2912"/>
        </w:tabs>
        <w:spacing w:line="240" w:lineRule="auto"/>
      </w:pPr>
      <w:r w:rsidRPr="00EE0850">
        <w:t>The Working Group considered the revised draft decision prepared by the Chair at its 9th meeting, on 22</w:t>
      </w:r>
      <w:r w:rsidR="002A2D9A" w:rsidRPr="00EE0850">
        <w:t> </w:t>
      </w:r>
      <w:r w:rsidRPr="00EE0850">
        <w:t>November 2018.</w:t>
      </w:r>
    </w:p>
    <w:p w14:paraId="2192D5DF" w14:textId="77777777" w:rsidR="002437E5" w:rsidRPr="00EE0850" w:rsidRDefault="002437E5" w:rsidP="000C6220">
      <w:pPr>
        <w:pStyle w:val="Para1"/>
        <w:tabs>
          <w:tab w:val="clear" w:pos="360"/>
          <w:tab w:val="clear" w:pos="567"/>
          <w:tab w:val="clear" w:pos="2912"/>
        </w:tabs>
        <w:spacing w:line="240" w:lineRule="auto"/>
      </w:pPr>
      <w:r w:rsidRPr="00EE0850">
        <w:t>A statement was made by a representative of GEF.</w:t>
      </w:r>
    </w:p>
    <w:p w14:paraId="192389D5" w14:textId="5F9EAAFC" w:rsidR="00FC047F" w:rsidRPr="00EE0850" w:rsidRDefault="002437E5" w:rsidP="000C6220">
      <w:pPr>
        <w:pStyle w:val="Para1"/>
        <w:tabs>
          <w:tab w:val="clear" w:pos="360"/>
          <w:tab w:val="clear" w:pos="567"/>
          <w:tab w:val="clear" w:pos="2912"/>
        </w:tabs>
        <w:spacing w:line="240" w:lineRule="auto"/>
      </w:pPr>
      <w:r w:rsidRPr="00EE0850">
        <w:t>The Working Group approved the revised draft decision, as orally amended, for transmission to the plenary as draft decision CBD/NP/MOP/3/L.6.</w:t>
      </w:r>
    </w:p>
    <w:p w14:paraId="036B5E3D" w14:textId="0DE762D2" w:rsidR="00FC047F" w:rsidRPr="00EE0850" w:rsidRDefault="001E16B7" w:rsidP="000C6220">
      <w:pPr>
        <w:pStyle w:val="Para1"/>
        <w:tabs>
          <w:tab w:val="clear" w:pos="360"/>
          <w:tab w:val="clear" w:pos="567"/>
          <w:tab w:val="clear" w:pos="2912"/>
        </w:tabs>
        <w:spacing w:line="240" w:lineRule="auto"/>
        <w:rPr>
          <w:szCs w:val="22"/>
        </w:rPr>
      </w:pPr>
      <w:r w:rsidRPr="00EE0850">
        <w:rPr>
          <w:szCs w:val="22"/>
        </w:rPr>
        <w:t xml:space="preserve">At </w:t>
      </w:r>
      <w:r w:rsidR="005940E7" w:rsidRPr="00EE0850">
        <w:rPr>
          <w:szCs w:val="22"/>
        </w:rPr>
        <w:t>its</w:t>
      </w:r>
      <w:r w:rsidRPr="00EE0850">
        <w:rPr>
          <w:szCs w:val="22"/>
        </w:rPr>
        <w:t xml:space="preserve"> 8th plenary session, on 29 November 2018, the Conference of the Parties serving as the meeting of the Parties </w:t>
      </w:r>
      <w:r w:rsidR="003260D2" w:rsidRPr="00EE0850">
        <w:rPr>
          <w:szCs w:val="22"/>
        </w:rPr>
        <w:t xml:space="preserve">to the Nagoya Protocol </w:t>
      </w:r>
      <w:r w:rsidRPr="00EE0850">
        <w:rPr>
          <w:szCs w:val="22"/>
        </w:rPr>
        <w:t>adopted draft decision CBD/NP/MOP/3/L.6 as decision NP-3/8 (for the text, see chap.</w:t>
      </w:r>
      <w:r w:rsidR="0011779B" w:rsidRPr="00EE0850">
        <w:rPr>
          <w:szCs w:val="22"/>
        </w:rPr>
        <w:t> </w:t>
      </w:r>
      <w:r w:rsidRPr="00EE0850">
        <w:rPr>
          <w:szCs w:val="22"/>
        </w:rPr>
        <w:t>I).</w:t>
      </w:r>
    </w:p>
    <w:p w14:paraId="490B03EE" w14:textId="77777777" w:rsidR="00FC047F" w:rsidRPr="00EE0850" w:rsidRDefault="00FC047F" w:rsidP="000C6220">
      <w:pPr>
        <w:pStyle w:val="Heading1-item"/>
        <w:spacing w:before="120" w:line="240" w:lineRule="auto"/>
        <w:ind w:left="1701" w:right="0" w:hanging="1134"/>
        <w:jc w:val="left"/>
      </w:pPr>
      <w:bookmarkStart w:id="39" w:name="_Toc256226"/>
      <w:r w:rsidRPr="00EE0850">
        <w:rPr>
          <w:rFonts w:ascii="Times New Roman" w:hAnsi="Times New Roman" w:cs="Times New Roman"/>
        </w:rPr>
        <w:t xml:space="preserve">ITEM </w:t>
      </w:r>
      <w:r w:rsidR="00475D73" w:rsidRPr="00EE0850">
        <w:rPr>
          <w:rFonts w:ascii="Times New Roman" w:hAnsi="Times New Roman" w:cs="Times New Roman"/>
        </w:rPr>
        <w:t>9</w:t>
      </w:r>
      <w:r w:rsidRPr="00EE0850">
        <w:rPr>
          <w:rFonts w:ascii="Times New Roman" w:hAnsi="Times New Roman" w:cs="Times New Roman"/>
        </w:rPr>
        <w:t>.</w:t>
      </w:r>
      <w:r w:rsidRPr="00EE0850">
        <w:rPr>
          <w:rFonts w:ascii="Times New Roman" w:hAnsi="Times New Roman" w:cs="Times New Roman"/>
        </w:rPr>
        <w:tab/>
      </w:r>
      <w:r w:rsidR="00475D73" w:rsidRPr="00EE0850">
        <w:rPr>
          <w:rFonts w:ascii="Times New Roman" w:hAnsi="Times New Roman" w:cs="Times New Roman"/>
        </w:rPr>
        <w:t>Measures to assist in capacity-building and capacity development (Article 22)</w:t>
      </w:r>
      <w:bookmarkEnd w:id="39"/>
    </w:p>
    <w:p w14:paraId="46A29D06" w14:textId="596F336B"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Working Group I took up agenda item 9 at its 4th meeting, on 19 November 2018. In considering the item, the Working Group had before it a progress report on measures to assist in capacity-building and capacity development (Article 22) (CBD/NP/MOP/3/4)</w:t>
      </w:r>
      <w:r w:rsidR="00CC4AF3" w:rsidRPr="00EE0850">
        <w:rPr>
          <w:szCs w:val="22"/>
        </w:rPr>
        <w:t xml:space="preserve"> as well as the following information documents: </w:t>
      </w:r>
      <w:r w:rsidR="00F21743" w:rsidRPr="00EE0850">
        <w:rPr>
          <w:szCs w:val="22"/>
        </w:rPr>
        <w:t>(a) </w:t>
      </w:r>
      <w:r w:rsidRPr="00EE0850">
        <w:rPr>
          <w:szCs w:val="22"/>
        </w:rPr>
        <w:t xml:space="preserve">report of the Informal Advisory Committee on Capacity-building for the </w:t>
      </w:r>
      <w:r w:rsidR="000C6855" w:rsidRPr="00EE0850">
        <w:rPr>
          <w:szCs w:val="22"/>
        </w:rPr>
        <w:t>I</w:t>
      </w:r>
      <w:r w:rsidRPr="00EE0850">
        <w:rPr>
          <w:szCs w:val="22"/>
        </w:rPr>
        <w:t xml:space="preserve">mplementation of the Nagoya Protocol </w:t>
      </w:r>
      <w:r w:rsidR="000C6855" w:rsidRPr="00EE0850">
        <w:rPr>
          <w:szCs w:val="22"/>
        </w:rPr>
        <w:t xml:space="preserve">on </w:t>
      </w:r>
      <w:r w:rsidRPr="00EE0850">
        <w:rPr>
          <w:szCs w:val="22"/>
        </w:rPr>
        <w:t xml:space="preserve">its third meeting (CBD/ABS/CB-IAC/2018/1/4); </w:t>
      </w:r>
      <w:r w:rsidR="00F21743" w:rsidRPr="00EE0850">
        <w:rPr>
          <w:szCs w:val="22"/>
        </w:rPr>
        <w:t>(b) </w:t>
      </w:r>
      <w:r w:rsidRPr="00EE0850">
        <w:rPr>
          <w:szCs w:val="22"/>
        </w:rPr>
        <w:t xml:space="preserve">overview of capacity-building and development initiatives providing direct support to countries for the implementation of the Nagoya Protocol (CBD/NP/MOP/3/INF/1); </w:t>
      </w:r>
      <w:r w:rsidR="00F21743" w:rsidRPr="00EE0850">
        <w:rPr>
          <w:szCs w:val="22"/>
        </w:rPr>
        <w:t>(c) </w:t>
      </w:r>
      <w:r w:rsidRPr="00EE0850">
        <w:rPr>
          <w:szCs w:val="22"/>
        </w:rPr>
        <w:t xml:space="preserve">overview of access and benefit-sharing capacity-building tools and resources (CBD/NP/MOP/3/INF/2); and </w:t>
      </w:r>
      <w:r w:rsidR="001B0E98" w:rsidRPr="00EE0850">
        <w:rPr>
          <w:szCs w:val="22"/>
        </w:rPr>
        <w:t>(d) </w:t>
      </w:r>
      <w:r w:rsidRPr="00EE0850">
        <w:rPr>
          <w:szCs w:val="22"/>
        </w:rPr>
        <w:t>capacity-building programme to support the implementation of the Nagoya Protocol: overview and lessons (CBD/NP/MOP/3/INF/6).</w:t>
      </w:r>
    </w:p>
    <w:p w14:paraId="676EC7AB"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The Working Group also had before it a draft decision, based on recommendation SBI-2/8</w:t>
      </w:r>
      <w:r w:rsidR="00791E68" w:rsidRPr="00EE0850">
        <w:rPr>
          <w:szCs w:val="22"/>
        </w:rPr>
        <w:t xml:space="preserve"> and additional elements from document CBD/NP/MOP/3/4</w:t>
      </w:r>
      <w:r w:rsidRPr="00EE0850">
        <w:rPr>
          <w:szCs w:val="22"/>
        </w:rPr>
        <w:t>, set out in the compilation of draft decisions (CBD/NP/MOP/3/1/Add.2). The second part of the draft decision, relating to the long-term strategic framework for capacity-building, had been taken from recommendation 2/8, section II, of the Subsidiary Body on Implementation and was linked to the draft decision of the Conference of the Parties on capacity-building. Any changes incorporated into the latter following its discussion under the relevant agenda item of the Conference of the Parties would therefore be reflected, as necessary, in the draft decision currently under consideration. That being so, the Working Group focused its consideration on the new text contained in the first part of the draft decision, relating to the Strategic Framework for capacity-building and development for the implementation of the Nagoya Protocol.</w:t>
      </w:r>
    </w:p>
    <w:p w14:paraId="1FEED8D2" w14:textId="4321237D"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Argentina, Burkina Faso, Côte d’Ivoire, </w:t>
      </w:r>
      <w:r w:rsidR="00780908" w:rsidRPr="00EE0850">
        <w:t xml:space="preserve">the </w:t>
      </w:r>
      <w:r w:rsidRPr="00EE0850">
        <w:t xml:space="preserve">European Union and its 28 member States, Gabon, India, Japan, Jordan, Kenya, Mexico, </w:t>
      </w:r>
      <w:r w:rsidR="00BD76C0" w:rsidRPr="00EE0850">
        <w:t xml:space="preserve">the </w:t>
      </w:r>
      <w:r w:rsidRPr="00EE0850">
        <w:t>Philippines, South Africa, Uganda and Viet Nam.</w:t>
      </w:r>
    </w:p>
    <w:p w14:paraId="2900A0C5" w14:textId="77777777" w:rsidR="002437E5" w:rsidRPr="00EE0850" w:rsidRDefault="002437E5" w:rsidP="000C6220">
      <w:pPr>
        <w:pStyle w:val="Para1"/>
        <w:tabs>
          <w:tab w:val="clear" w:pos="360"/>
          <w:tab w:val="clear" w:pos="567"/>
          <w:tab w:val="clear" w:pos="2912"/>
        </w:tabs>
        <w:spacing w:line="240" w:lineRule="auto"/>
      </w:pPr>
      <w:r w:rsidRPr="00EE0850">
        <w:t>A statement was also made by a representative of Morocco.</w:t>
      </w:r>
    </w:p>
    <w:p w14:paraId="18246D0D" w14:textId="77777777" w:rsidR="002437E5" w:rsidRPr="00EE0850" w:rsidRDefault="002437E5" w:rsidP="000C6220">
      <w:pPr>
        <w:pStyle w:val="Para1"/>
        <w:tabs>
          <w:tab w:val="clear" w:pos="360"/>
          <w:tab w:val="clear" w:pos="567"/>
          <w:tab w:val="clear" w:pos="2912"/>
        </w:tabs>
        <w:spacing w:line="240" w:lineRule="auto"/>
      </w:pPr>
      <w:r w:rsidRPr="00EE0850">
        <w:t>A further statement was made by a representative of IIFB.</w:t>
      </w:r>
    </w:p>
    <w:p w14:paraId="48784A23" w14:textId="77777777" w:rsidR="002437E5" w:rsidRPr="00EE0850" w:rsidRDefault="002437E5" w:rsidP="000C6220">
      <w:pPr>
        <w:pStyle w:val="Para1"/>
        <w:tabs>
          <w:tab w:val="clear" w:pos="360"/>
          <w:tab w:val="clear" w:pos="567"/>
          <w:tab w:val="clear" w:pos="2912"/>
        </w:tabs>
        <w:spacing w:line="240" w:lineRule="auto"/>
      </w:pPr>
      <w:r w:rsidRPr="00EE0850">
        <w:t>The Chair said he would prepare a revised draft decision on the matter, taking into account the views expressed orally and submitted in writing.</w:t>
      </w:r>
    </w:p>
    <w:p w14:paraId="49C10651" w14:textId="77777777" w:rsidR="002437E5" w:rsidRPr="00EE0850" w:rsidRDefault="002437E5" w:rsidP="000C6220">
      <w:pPr>
        <w:pStyle w:val="Para1"/>
        <w:tabs>
          <w:tab w:val="clear" w:pos="360"/>
          <w:tab w:val="clear" w:pos="567"/>
          <w:tab w:val="clear" w:pos="2912"/>
        </w:tabs>
        <w:spacing w:line="240" w:lineRule="auto"/>
      </w:pPr>
      <w:r w:rsidRPr="00EE0850">
        <w:t>At its 9th meeting, on 22 November 2018, the Working Group considered the revised draft decision prepared by the Chair.</w:t>
      </w:r>
    </w:p>
    <w:p w14:paraId="0D1C36F5" w14:textId="57777BBD"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w:t>
      </w:r>
      <w:r w:rsidR="00780908" w:rsidRPr="00EE0850">
        <w:t xml:space="preserve">the </w:t>
      </w:r>
      <w:r w:rsidRPr="00EE0850">
        <w:t xml:space="preserve">European Union and its 28 member States, </w:t>
      </w:r>
      <w:r w:rsidRPr="00EE0850">
        <w:rPr>
          <w:bCs/>
        </w:rPr>
        <w:t>Mexico and Uganda</w:t>
      </w:r>
      <w:r w:rsidRPr="00EE0850">
        <w:t>.</w:t>
      </w:r>
    </w:p>
    <w:p w14:paraId="0E750D34" w14:textId="1A146332" w:rsidR="00FC047F" w:rsidRPr="00EE0850" w:rsidRDefault="002437E5" w:rsidP="000C6220">
      <w:pPr>
        <w:pStyle w:val="Para1"/>
        <w:tabs>
          <w:tab w:val="clear" w:pos="360"/>
          <w:tab w:val="clear" w:pos="567"/>
          <w:tab w:val="clear" w:pos="2912"/>
        </w:tabs>
        <w:spacing w:line="240" w:lineRule="auto"/>
      </w:pPr>
      <w:r w:rsidRPr="00EE0850">
        <w:t>The Working Group approved the revised draft decision, as orally amended, for transmission to the plenary as draft decision CBD/NP/MOP/3/L.5.</w:t>
      </w:r>
    </w:p>
    <w:p w14:paraId="3B884035" w14:textId="6D35ED95" w:rsidR="00FC047F" w:rsidRPr="00EE0850" w:rsidRDefault="00E3787A" w:rsidP="000C6220">
      <w:pPr>
        <w:pStyle w:val="Para1"/>
        <w:tabs>
          <w:tab w:val="clear" w:pos="360"/>
          <w:tab w:val="clear" w:pos="567"/>
          <w:tab w:val="clear" w:pos="2912"/>
        </w:tabs>
        <w:spacing w:line="240" w:lineRule="auto"/>
      </w:pPr>
      <w:r w:rsidRPr="00EE0850">
        <w:t xml:space="preserve">At </w:t>
      </w:r>
      <w:r w:rsidR="00EB5E82" w:rsidRPr="00EE0850">
        <w:t>its</w:t>
      </w:r>
      <w:r w:rsidRPr="00EE0850">
        <w:t xml:space="preserve"> 8th plenary session, the Conference of the Parties serving as the meeting of the Parties </w:t>
      </w:r>
      <w:r w:rsidR="00990591" w:rsidRPr="00EE0850">
        <w:t xml:space="preserve">to the Nagoya Protocol </w:t>
      </w:r>
      <w:r w:rsidRPr="00EE0850">
        <w:t>took up and adopted draft decision CBD/NP/MOP/3/L.5 as decision NP</w:t>
      </w:r>
      <w:r w:rsidRPr="00EE0850">
        <w:noBreakHyphen/>
        <w:t>3/</w:t>
      </w:r>
      <w:r w:rsidR="002E60B6" w:rsidRPr="00EE0850">
        <w:t>5</w:t>
      </w:r>
      <w:r w:rsidRPr="00EE0850">
        <w:t xml:space="preserve"> (for the text, see chap. I).</w:t>
      </w:r>
    </w:p>
    <w:p w14:paraId="7514138F" w14:textId="77777777" w:rsidR="00475D73" w:rsidRPr="00EE0850" w:rsidRDefault="00475D73" w:rsidP="000C6220">
      <w:pPr>
        <w:pStyle w:val="Heading1-item"/>
        <w:spacing w:before="120" w:line="240" w:lineRule="auto"/>
        <w:ind w:left="1701" w:hanging="1275"/>
        <w:jc w:val="left"/>
      </w:pPr>
      <w:bookmarkStart w:id="40" w:name="_Toc256227"/>
      <w:r w:rsidRPr="00EE0850">
        <w:rPr>
          <w:rFonts w:ascii="Times New Roman" w:hAnsi="Times New Roman" w:cs="Times New Roman"/>
        </w:rPr>
        <w:t>ITEM 10.</w:t>
      </w:r>
      <w:r w:rsidRPr="00EE0850">
        <w:rPr>
          <w:rFonts w:ascii="Times New Roman" w:hAnsi="Times New Roman" w:cs="Times New Roman"/>
        </w:rPr>
        <w:tab/>
        <w:t>The Access and Benefit-sharing Clearing-House and information-sharing (Article 14)</w:t>
      </w:r>
      <w:bookmarkEnd w:id="40"/>
    </w:p>
    <w:p w14:paraId="1E3F3AC7" w14:textId="143C0FB8" w:rsidR="002437E5" w:rsidRPr="00EE0850" w:rsidRDefault="002437E5" w:rsidP="000C6220">
      <w:pPr>
        <w:pStyle w:val="Para1"/>
        <w:tabs>
          <w:tab w:val="clear" w:pos="360"/>
          <w:tab w:val="clear" w:pos="567"/>
          <w:tab w:val="clear" w:pos="2912"/>
        </w:tabs>
        <w:spacing w:line="240" w:lineRule="auto"/>
      </w:pPr>
      <w:r w:rsidRPr="00EE0850">
        <w:t>Working Group I took up the item at its 4th meeting, on 19 November 2018. In considering the item, the Working Group had before it a report on progress in the implementation and operation of the Access and Benefit-sharing Clearing-House (CBD/NP/MOP/3/8) and the report of the Informal Advisory Committee to the Access and Benefit-Sharing Clearing-House at its third meeting (CBD/ABS/CH-IAC/2017/1/4). It also had before it a draft decision taken from section VII of</w:t>
      </w:r>
      <w:r w:rsidR="002A3387" w:rsidRPr="00EE0850">
        <w:t xml:space="preserve"> CBD/NP/MOP/3/8</w:t>
      </w:r>
      <w:r w:rsidRPr="00EE0850">
        <w:t>, except for paragraphs 3 and 4, which had come from recommendations of the Compliance Committee contained in document CBD/NP/MOP/3/2, annex II, section C. The draft decision was set out in the compilation of draft decisions (CBD/NP/MOP/3/1/Add.2).</w:t>
      </w:r>
    </w:p>
    <w:p w14:paraId="7ABEB86F" w14:textId="77777777" w:rsidR="002437E5" w:rsidRPr="00EE0850" w:rsidRDefault="002437E5" w:rsidP="000C6220">
      <w:pPr>
        <w:pStyle w:val="Para1"/>
        <w:tabs>
          <w:tab w:val="clear" w:pos="360"/>
          <w:tab w:val="clear" w:pos="567"/>
          <w:tab w:val="clear" w:pos="2912"/>
        </w:tabs>
        <w:spacing w:line="240" w:lineRule="auto"/>
      </w:pPr>
      <w:r w:rsidRPr="00EE0850">
        <w:t>The Working Group began by considering the joint modalities of operation, which were referred to in paragraph 4 of the draft decision.</w:t>
      </w:r>
    </w:p>
    <w:p w14:paraId="01B679DB" w14:textId="533DC928"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w:t>
      </w:r>
      <w:r w:rsidR="00780908" w:rsidRPr="00EE0850">
        <w:t xml:space="preserve">the </w:t>
      </w:r>
      <w:r w:rsidRPr="00EE0850">
        <w:t>European Union and its 28 member States, India, Jordan, Norway and South Africa.</w:t>
      </w:r>
    </w:p>
    <w:p w14:paraId="506D8007" w14:textId="77777777" w:rsidR="002437E5" w:rsidRPr="00EE0850" w:rsidRDefault="002437E5" w:rsidP="000C6220">
      <w:pPr>
        <w:pStyle w:val="Para1"/>
        <w:tabs>
          <w:tab w:val="clear" w:pos="360"/>
          <w:tab w:val="clear" w:pos="567"/>
          <w:tab w:val="clear" w:pos="2912"/>
        </w:tabs>
        <w:spacing w:line="240" w:lineRule="auto"/>
      </w:pPr>
      <w:r w:rsidRPr="00EE0850">
        <w:t>Statements were also made by representatives of Canada and Thailand.</w:t>
      </w:r>
    </w:p>
    <w:p w14:paraId="13D5729A" w14:textId="77777777" w:rsidR="002437E5" w:rsidRPr="00EE0850" w:rsidRDefault="002437E5" w:rsidP="000C6220">
      <w:pPr>
        <w:pStyle w:val="Para1"/>
        <w:tabs>
          <w:tab w:val="clear" w:pos="360"/>
          <w:tab w:val="clear" w:pos="567"/>
          <w:tab w:val="clear" w:pos="2912"/>
        </w:tabs>
        <w:spacing w:line="240" w:lineRule="auto"/>
      </w:pPr>
      <w:r w:rsidRPr="00EE0850">
        <w:t>At its 5th meeting, on 20 November 2018, the Working Group resumed its consideration of the agenda item, focusing on the remaining parts of the draft decision.</w:t>
      </w:r>
    </w:p>
    <w:p w14:paraId="7E9A3131" w14:textId="7B32315D"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Belarus, Benin, Congo, </w:t>
      </w:r>
      <w:r w:rsidR="00780908" w:rsidRPr="00EE0850">
        <w:t xml:space="preserve">the </w:t>
      </w:r>
      <w:r w:rsidRPr="00EE0850">
        <w:t>European Union and its 28 member States, Guinea, Japan, Jordan, Kenya, Mexico, Mozambique, Niger, South Africa, Switzerland and Uganda.</w:t>
      </w:r>
    </w:p>
    <w:p w14:paraId="7C5E2E4A" w14:textId="77777777" w:rsidR="002437E5" w:rsidRPr="00EE0850" w:rsidRDefault="002437E5" w:rsidP="000C6220">
      <w:pPr>
        <w:pStyle w:val="Para1"/>
        <w:tabs>
          <w:tab w:val="clear" w:pos="360"/>
          <w:tab w:val="clear" w:pos="567"/>
          <w:tab w:val="clear" w:pos="2912"/>
        </w:tabs>
        <w:spacing w:line="240" w:lineRule="auto"/>
      </w:pPr>
      <w:r w:rsidRPr="00EE0850">
        <w:t>Further statements were made by representatives of Costa Rica and Morocco.</w:t>
      </w:r>
    </w:p>
    <w:p w14:paraId="4422D913" w14:textId="77777777" w:rsidR="002437E5" w:rsidRPr="00EE0850" w:rsidRDefault="002437E5" w:rsidP="000C6220">
      <w:pPr>
        <w:pStyle w:val="Para1"/>
        <w:tabs>
          <w:tab w:val="clear" w:pos="360"/>
          <w:tab w:val="clear" w:pos="567"/>
          <w:tab w:val="clear" w:pos="2912"/>
        </w:tabs>
        <w:spacing w:line="240" w:lineRule="auto"/>
      </w:pPr>
      <w:r w:rsidRPr="00EE0850">
        <w:t>Following the discussion, the Chair said that he would prepare a revised draft decision for the consideration of the Working Group.</w:t>
      </w:r>
    </w:p>
    <w:p w14:paraId="07EE820D" w14:textId="77777777" w:rsidR="002437E5" w:rsidRPr="00EE0850" w:rsidRDefault="002437E5" w:rsidP="000C6220">
      <w:pPr>
        <w:pStyle w:val="Para1"/>
        <w:tabs>
          <w:tab w:val="clear" w:pos="360"/>
          <w:tab w:val="clear" w:pos="567"/>
          <w:tab w:val="clear" w:pos="2912"/>
        </w:tabs>
        <w:spacing w:line="240" w:lineRule="auto"/>
      </w:pPr>
      <w:r w:rsidRPr="00EE0850">
        <w:t xml:space="preserve">At its 10th meeting, on 25 November 2018, the Working Group considered a </w:t>
      </w:r>
      <w:r w:rsidRPr="00EE0850">
        <w:rPr>
          <w:bCs/>
        </w:rPr>
        <w:t xml:space="preserve">revised </w:t>
      </w:r>
      <w:r w:rsidRPr="00EE0850">
        <w:t>draft decision submitted by the Chair.</w:t>
      </w:r>
    </w:p>
    <w:p w14:paraId="63FFDF86" w14:textId="161CD117"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w:t>
      </w:r>
      <w:r w:rsidR="00780908" w:rsidRPr="00EE0850">
        <w:t xml:space="preserve">the </w:t>
      </w:r>
      <w:r w:rsidRPr="00EE0850">
        <w:t>European Union and its 28 member States, India, Japan, Mexico, South Africa and Uganda.</w:t>
      </w:r>
    </w:p>
    <w:p w14:paraId="6A2EF75C" w14:textId="77777777" w:rsidR="002437E5" w:rsidRPr="00EE0850" w:rsidRDefault="002437E5" w:rsidP="000C6220">
      <w:pPr>
        <w:pStyle w:val="Para1"/>
        <w:tabs>
          <w:tab w:val="clear" w:pos="360"/>
          <w:tab w:val="clear" w:pos="567"/>
          <w:tab w:val="clear" w:pos="2912"/>
        </w:tabs>
        <w:spacing w:line="240" w:lineRule="auto"/>
      </w:pPr>
      <w:r w:rsidRPr="00EE0850">
        <w:t>A statement was also made by a representative of Morocco.</w:t>
      </w:r>
    </w:p>
    <w:p w14:paraId="26D482E7" w14:textId="5F33CB60" w:rsidR="00475D73" w:rsidRPr="00EE0850" w:rsidRDefault="002437E5" w:rsidP="000C6220">
      <w:pPr>
        <w:pStyle w:val="Para1"/>
        <w:tabs>
          <w:tab w:val="clear" w:pos="360"/>
          <w:tab w:val="clear" w:pos="567"/>
          <w:tab w:val="clear" w:pos="2912"/>
        </w:tabs>
        <w:spacing w:line="240" w:lineRule="auto"/>
      </w:pPr>
      <w:r w:rsidRPr="00EE0850">
        <w:t xml:space="preserve">The Working Group approved the </w:t>
      </w:r>
      <w:r w:rsidRPr="00EE0850">
        <w:rPr>
          <w:bCs/>
        </w:rPr>
        <w:t xml:space="preserve">revised </w:t>
      </w:r>
      <w:r w:rsidRPr="00EE0850">
        <w:t>draft decision, as orally amended, for transmission to the plenary as draft decision CBD/NP</w:t>
      </w:r>
      <w:r w:rsidR="00066C74" w:rsidRPr="00EE0850">
        <w:t>/</w:t>
      </w:r>
      <w:r w:rsidRPr="00EE0850">
        <w:t>MOP/3/L.8.</w:t>
      </w:r>
    </w:p>
    <w:p w14:paraId="41AEA2C6" w14:textId="176CC9E1" w:rsidR="00475D73" w:rsidRPr="00EE0850" w:rsidRDefault="001E16B7" w:rsidP="000C6220">
      <w:pPr>
        <w:pStyle w:val="Para1"/>
        <w:tabs>
          <w:tab w:val="clear" w:pos="360"/>
          <w:tab w:val="clear" w:pos="567"/>
          <w:tab w:val="clear" w:pos="2912"/>
        </w:tabs>
        <w:spacing w:line="240" w:lineRule="auto"/>
      </w:pPr>
      <w:r w:rsidRPr="00EE0850">
        <w:t xml:space="preserve">At </w:t>
      </w:r>
      <w:r w:rsidR="003379C8" w:rsidRPr="00EE0850">
        <w:t>its</w:t>
      </w:r>
      <w:r w:rsidRPr="00EE0850">
        <w:t xml:space="preserve"> 8th plenary session, on 29 November 2018, the Conference of the Parties serving as the meeting of the Parties </w:t>
      </w:r>
      <w:r w:rsidR="003379C8" w:rsidRPr="00EE0850">
        <w:t xml:space="preserve">to the Nagoya Protocol </w:t>
      </w:r>
      <w:r w:rsidRPr="00EE0850">
        <w:t>adopted draft decision CBD/NP/MOP/3/L.8 as decision NP-3/3 (for the text, see chap.</w:t>
      </w:r>
      <w:r w:rsidR="008A71DD" w:rsidRPr="00EE0850">
        <w:t> </w:t>
      </w:r>
      <w:r w:rsidRPr="00EE0850">
        <w:t>I).</w:t>
      </w:r>
    </w:p>
    <w:p w14:paraId="63A74B03" w14:textId="77777777" w:rsidR="00475D73" w:rsidRPr="00EE0850" w:rsidRDefault="00475D73" w:rsidP="000C6220">
      <w:pPr>
        <w:pStyle w:val="Heading1-item"/>
        <w:tabs>
          <w:tab w:val="left" w:pos="1134"/>
        </w:tabs>
        <w:spacing w:before="120" w:line="240" w:lineRule="auto"/>
        <w:ind w:right="0"/>
        <w:rPr>
          <w:rFonts w:ascii="Times New Roman" w:hAnsi="Times New Roman" w:cs="Times New Roman"/>
        </w:rPr>
      </w:pPr>
      <w:bookmarkStart w:id="41" w:name="_Toc256228"/>
      <w:r w:rsidRPr="00EE0850">
        <w:rPr>
          <w:rFonts w:ascii="Times New Roman" w:hAnsi="Times New Roman" w:cs="Times New Roman" w:hint="eastAsia"/>
        </w:rPr>
        <w:t>ITEM 11.</w:t>
      </w:r>
      <w:r w:rsidRPr="00EE0850">
        <w:rPr>
          <w:rFonts w:ascii="Times New Roman" w:hAnsi="Times New Roman" w:cs="Times New Roman" w:hint="eastAsia"/>
        </w:rPr>
        <w:tab/>
        <w:t>Monitoring and reporting (Article 29)</w:t>
      </w:r>
      <w:bookmarkEnd w:id="41"/>
    </w:p>
    <w:p w14:paraId="23F59E10" w14:textId="430B35E9" w:rsidR="002437E5" w:rsidRPr="00EE0850" w:rsidRDefault="002437E5" w:rsidP="000C6220">
      <w:pPr>
        <w:pStyle w:val="Para1"/>
        <w:tabs>
          <w:tab w:val="clear" w:pos="360"/>
          <w:tab w:val="clear" w:pos="567"/>
          <w:tab w:val="clear" w:pos="2912"/>
        </w:tabs>
        <w:spacing w:line="240" w:lineRule="auto"/>
      </w:pPr>
      <w:r w:rsidRPr="00EE0850">
        <w:t>Working Group I took up agenda item 11 at its 5th meeting, on 20 November 2018. In considering the item, the Working Group had before it a note by the Executive Secretary (CBD/NP/MOP/3/7) containing information on interim national reports submitted by Parties and non-Parties, as well as information on the reporting format and intervals for reporting</w:t>
      </w:r>
      <w:r w:rsidR="0006789E" w:rsidRPr="00EE0850">
        <w:t>, taking into account recommendation SBI/2-11 of the Subsidiary Body on Implementation</w:t>
      </w:r>
      <w:r w:rsidRPr="00EE0850">
        <w:t xml:space="preserve">. It also had before </w:t>
      </w:r>
      <w:r w:rsidR="008D087C" w:rsidRPr="00EE0850">
        <w:t xml:space="preserve">it </w:t>
      </w:r>
      <w:r w:rsidRPr="00EE0850">
        <w:t>a draft decision set out in the compilation of draft decisions (CBD/NP/MOP/3/1/Add.2)</w:t>
      </w:r>
      <w:r w:rsidR="0006789E" w:rsidRPr="00EE0850">
        <w:t xml:space="preserve"> containing the draft recommendation </w:t>
      </w:r>
      <w:r w:rsidR="008D087C" w:rsidRPr="00EE0850">
        <w:t>from SBI-2/11, relevant recommendations from the Compliance Committee and additional elements from document CBD/NP/MOP/3/7</w:t>
      </w:r>
      <w:r w:rsidRPr="00EE0850">
        <w:t>.</w:t>
      </w:r>
    </w:p>
    <w:p w14:paraId="20BD9BD7" w14:textId="43898D96" w:rsidR="002437E5" w:rsidRPr="00EE0850" w:rsidRDefault="00DC1729" w:rsidP="000C6220">
      <w:pPr>
        <w:pStyle w:val="Para1"/>
        <w:tabs>
          <w:tab w:val="clear" w:pos="360"/>
          <w:tab w:val="clear" w:pos="567"/>
          <w:tab w:val="clear" w:pos="2912"/>
        </w:tabs>
        <w:spacing w:line="240" w:lineRule="auto"/>
      </w:pPr>
      <w:r w:rsidRPr="00EE0850">
        <w:t>The Chair recalled that the first paragraph of the draft decision was linked to a decision being considered by the Conference of the Parties on alignment of national reporting. In addition, the number of interim national reports submitted had increased and the draft decision would need to be amended to reflect that new information</w:t>
      </w:r>
      <w:r w:rsidR="002437E5" w:rsidRPr="00EE0850">
        <w:t>.</w:t>
      </w:r>
    </w:p>
    <w:p w14:paraId="25103A49" w14:textId="7722C5E0"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Belarus, Côte d’Ivoire, Egypt, </w:t>
      </w:r>
      <w:r w:rsidR="00780908" w:rsidRPr="00EE0850">
        <w:t xml:space="preserve">the </w:t>
      </w:r>
      <w:r w:rsidRPr="00EE0850">
        <w:t xml:space="preserve">European Union and its 28 member States, India, Jordan, Mexico, South Africa, Uganda and </w:t>
      </w:r>
      <w:r w:rsidR="00953069" w:rsidRPr="00EE0850">
        <w:t xml:space="preserve">the </w:t>
      </w:r>
      <w:r w:rsidRPr="00EE0850">
        <w:t>United Republic of Tanzania.</w:t>
      </w:r>
    </w:p>
    <w:p w14:paraId="7A98B851" w14:textId="77777777" w:rsidR="002437E5" w:rsidRPr="00EE0850" w:rsidRDefault="002437E5" w:rsidP="000C6220">
      <w:pPr>
        <w:pStyle w:val="Para1"/>
        <w:tabs>
          <w:tab w:val="clear" w:pos="360"/>
          <w:tab w:val="clear" w:pos="567"/>
          <w:tab w:val="clear" w:pos="2912"/>
        </w:tabs>
        <w:spacing w:line="240" w:lineRule="auto"/>
      </w:pPr>
      <w:r w:rsidRPr="00EE0850">
        <w:t>The Chair said that he would prepare a revised draft decision, taking into consideration the views expressed orally and submitted in writing.</w:t>
      </w:r>
    </w:p>
    <w:p w14:paraId="4FE3E54C" w14:textId="77777777" w:rsidR="002437E5" w:rsidRPr="00EE0850" w:rsidRDefault="002437E5" w:rsidP="000C6220">
      <w:pPr>
        <w:pStyle w:val="Para1"/>
        <w:tabs>
          <w:tab w:val="clear" w:pos="360"/>
          <w:tab w:val="clear" w:pos="567"/>
          <w:tab w:val="clear" w:pos="2912"/>
        </w:tabs>
        <w:spacing w:line="240" w:lineRule="auto"/>
      </w:pPr>
      <w:r w:rsidRPr="00EE0850">
        <w:t>At its 9th meeting, on 22 November 2018, the Working Group considered the revised draft decision prepared by the Chair.</w:t>
      </w:r>
    </w:p>
    <w:p w14:paraId="74E087C5" w14:textId="77777777" w:rsidR="002437E5" w:rsidRPr="00EE0850" w:rsidRDefault="002437E5" w:rsidP="000C6220">
      <w:pPr>
        <w:pStyle w:val="Para1"/>
        <w:tabs>
          <w:tab w:val="clear" w:pos="360"/>
          <w:tab w:val="clear" w:pos="567"/>
          <w:tab w:val="clear" w:pos="2912"/>
        </w:tabs>
        <w:spacing w:line="240" w:lineRule="auto"/>
      </w:pPr>
      <w:r w:rsidRPr="00EE0850">
        <w:t>A representative of the secretariat drew attention to a section of text that required amendment to reflect earlier comments.</w:t>
      </w:r>
    </w:p>
    <w:p w14:paraId="64C597BC" w14:textId="0F098CF6" w:rsidR="00475D73" w:rsidRPr="00EE0850" w:rsidRDefault="002437E5" w:rsidP="000C6220">
      <w:pPr>
        <w:pStyle w:val="Para1"/>
        <w:tabs>
          <w:tab w:val="clear" w:pos="360"/>
          <w:tab w:val="clear" w:pos="567"/>
          <w:tab w:val="clear" w:pos="2912"/>
        </w:tabs>
        <w:spacing w:line="240" w:lineRule="auto"/>
      </w:pPr>
      <w:r w:rsidRPr="00EE0850">
        <w:t>The Working Group approved the revised draft decision, as orally amended, for transmission to the plenary as draft decision CBD/NP/MOP/3/L.7.</w:t>
      </w:r>
    </w:p>
    <w:p w14:paraId="0B5AFB37" w14:textId="6AF9AF3F" w:rsidR="008C2396" w:rsidRPr="00EE0850" w:rsidRDefault="008C2396" w:rsidP="000C6220">
      <w:pPr>
        <w:pStyle w:val="Para1"/>
        <w:tabs>
          <w:tab w:val="clear" w:pos="360"/>
          <w:tab w:val="clear" w:pos="567"/>
          <w:tab w:val="clear" w:pos="2912"/>
        </w:tabs>
        <w:spacing w:line="240" w:lineRule="auto"/>
      </w:pPr>
      <w:r w:rsidRPr="00EE0850">
        <w:rPr>
          <w:bCs/>
          <w:szCs w:val="22"/>
        </w:rPr>
        <w:t xml:space="preserve">At the 5th plenary session of the meeting, on 25 November 2018, the Conference of the Parties </w:t>
      </w:r>
      <w:r w:rsidR="00A10F60" w:rsidRPr="00EE0850">
        <w:rPr>
          <w:bCs/>
          <w:szCs w:val="22"/>
        </w:rPr>
        <w:t xml:space="preserve">serving as the meeting of the Parties </w:t>
      </w:r>
      <w:r w:rsidR="003379C8" w:rsidRPr="00EE0850">
        <w:rPr>
          <w:bCs/>
          <w:szCs w:val="22"/>
        </w:rPr>
        <w:t xml:space="preserve">to the Nagoya Protocol </w:t>
      </w:r>
      <w:r w:rsidR="00A10F60" w:rsidRPr="00EE0850">
        <w:rPr>
          <w:bCs/>
          <w:szCs w:val="22"/>
        </w:rPr>
        <w:t xml:space="preserve">adopted </w:t>
      </w:r>
      <w:r w:rsidRPr="00EE0850">
        <w:rPr>
          <w:bCs/>
          <w:szCs w:val="22"/>
        </w:rPr>
        <w:t>draft decision CBD/NP/MOP/3/L.7 as decision NP-</w:t>
      </w:r>
      <w:r w:rsidR="002C5EC6" w:rsidRPr="00EE0850">
        <w:rPr>
          <w:bCs/>
          <w:szCs w:val="22"/>
        </w:rPr>
        <w:t>3</w:t>
      </w:r>
      <w:r w:rsidRPr="00EE0850">
        <w:rPr>
          <w:bCs/>
          <w:szCs w:val="22"/>
        </w:rPr>
        <w:t>/</w:t>
      </w:r>
      <w:r w:rsidR="00426DF0" w:rsidRPr="00EE0850">
        <w:rPr>
          <w:bCs/>
          <w:szCs w:val="22"/>
        </w:rPr>
        <w:t>4</w:t>
      </w:r>
      <w:r w:rsidR="005C0957" w:rsidRPr="00EE0850">
        <w:rPr>
          <w:bCs/>
          <w:szCs w:val="22"/>
        </w:rPr>
        <w:t xml:space="preserve"> </w:t>
      </w:r>
      <w:r w:rsidR="00DE5CC0" w:rsidRPr="00EE0850">
        <w:rPr>
          <w:bCs/>
          <w:szCs w:val="22"/>
        </w:rPr>
        <w:t>(</w:t>
      </w:r>
      <w:r w:rsidR="005C0957" w:rsidRPr="00EE0850">
        <w:t>for the text, see chap.</w:t>
      </w:r>
      <w:r w:rsidR="00DE5CC0" w:rsidRPr="00EE0850">
        <w:t> </w:t>
      </w:r>
      <w:r w:rsidR="005C0957" w:rsidRPr="00EE0850">
        <w:t>I)</w:t>
      </w:r>
      <w:r w:rsidR="00DE5CC0" w:rsidRPr="00EE0850">
        <w:t>.</w:t>
      </w:r>
    </w:p>
    <w:p w14:paraId="3C642062" w14:textId="07C4EA2B" w:rsidR="00475D73" w:rsidRPr="00EE0850" w:rsidRDefault="00475D73" w:rsidP="000C6220">
      <w:pPr>
        <w:pStyle w:val="Heading1-item"/>
        <w:spacing w:before="120" w:line="240" w:lineRule="auto"/>
        <w:ind w:left="1701" w:right="0" w:hanging="1134"/>
        <w:jc w:val="left"/>
      </w:pPr>
      <w:bookmarkStart w:id="42" w:name="_Toc256229"/>
      <w:r w:rsidRPr="00EE0850">
        <w:rPr>
          <w:rFonts w:ascii="Times New Roman" w:hAnsi="Times New Roman" w:cs="Times New Roman"/>
        </w:rPr>
        <w:t>ITEM 12.</w:t>
      </w:r>
      <w:r w:rsidRPr="00EE0850">
        <w:rPr>
          <w:rFonts w:ascii="Times New Roman" w:hAnsi="Times New Roman" w:cs="Times New Roman"/>
        </w:rPr>
        <w:tab/>
        <w:t>Measures to raise awareness of the importance of genetic resources and associated traditional knowledge (Article</w:t>
      </w:r>
      <w:r w:rsidR="00275E53" w:rsidRPr="00EE0850">
        <w:rPr>
          <w:rFonts w:ascii="Times New Roman" w:hAnsi="Times New Roman" w:cs="Times New Roman"/>
        </w:rPr>
        <w:t> </w:t>
      </w:r>
      <w:r w:rsidRPr="00EE0850">
        <w:rPr>
          <w:rFonts w:ascii="Times New Roman" w:hAnsi="Times New Roman" w:cs="Times New Roman"/>
        </w:rPr>
        <w:t>21)</w:t>
      </w:r>
      <w:bookmarkEnd w:id="42"/>
    </w:p>
    <w:p w14:paraId="683B1A4E" w14:textId="627256E0" w:rsidR="002437E5" w:rsidRPr="00EE0850" w:rsidRDefault="002437E5" w:rsidP="000C6220">
      <w:pPr>
        <w:pStyle w:val="Para1"/>
        <w:tabs>
          <w:tab w:val="clear" w:pos="360"/>
          <w:tab w:val="clear" w:pos="567"/>
          <w:tab w:val="clear" w:pos="2912"/>
        </w:tabs>
        <w:spacing w:line="240" w:lineRule="auto"/>
      </w:pPr>
      <w:r w:rsidRPr="00EE0850">
        <w:t>Working Group I took up the first aspect of agenda item 12 at its 4th meeting, on 19 November 2018. In considering the item, the Working Group had before it a progress report on measures to raise awareness of the importance of genetic resources and associated tradition</w:t>
      </w:r>
      <w:r w:rsidR="002A3387" w:rsidRPr="00EE0850">
        <w:t>al</w:t>
      </w:r>
      <w:r w:rsidRPr="00EE0850">
        <w:t xml:space="preserve"> knowledge (Article 21) (CBD/NP/MOP/3/6) and the CEPA Toolkit including considerations for access and benefit-sharing (CBD/NP/MOP/3/INF/7). It also had before it a draft decision set out in the compilation of draft decisions (CBD/NP/MOP/3/1/Add.2).</w:t>
      </w:r>
    </w:p>
    <w:p w14:paraId="3E6CFFD9" w14:textId="1416AD1D"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Côte d’Ivoire, Ecuador, Egypt, </w:t>
      </w:r>
      <w:r w:rsidR="00780908" w:rsidRPr="00EE0850">
        <w:t xml:space="preserve">the </w:t>
      </w:r>
      <w:r w:rsidRPr="00EE0850">
        <w:t>European Union and its 28 member States, Gabon, Mexico, South Africa and Sudan.</w:t>
      </w:r>
    </w:p>
    <w:p w14:paraId="769FF5AE" w14:textId="77777777" w:rsidR="002437E5" w:rsidRPr="00EE0850" w:rsidRDefault="002437E5" w:rsidP="000C6220">
      <w:pPr>
        <w:pStyle w:val="Para1"/>
        <w:tabs>
          <w:tab w:val="clear" w:pos="360"/>
          <w:tab w:val="clear" w:pos="567"/>
          <w:tab w:val="clear" w:pos="2912"/>
        </w:tabs>
        <w:spacing w:line="240" w:lineRule="auto"/>
      </w:pPr>
      <w:r w:rsidRPr="00EE0850">
        <w:t>The Chair said he would prepare a revised draft decision on the matter, taking into account the views expressed orally and submitted in writing.</w:t>
      </w:r>
    </w:p>
    <w:p w14:paraId="71A109D8" w14:textId="77777777" w:rsidR="002437E5" w:rsidRPr="00EE0850" w:rsidRDefault="002437E5" w:rsidP="000C6220">
      <w:pPr>
        <w:pStyle w:val="Para1"/>
        <w:tabs>
          <w:tab w:val="clear" w:pos="360"/>
          <w:tab w:val="clear" w:pos="567"/>
          <w:tab w:val="clear" w:pos="2912"/>
        </w:tabs>
        <w:spacing w:line="240" w:lineRule="auto"/>
      </w:pPr>
      <w:r w:rsidRPr="00EE0850">
        <w:t>At its 9th meeting, on 22 November 2018, the Working Group considered a revised draft decision prepared by the Chair.</w:t>
      </w:r>
    </w:p>
    <w:p w14:paraId="4A03AA90" w14:textId="29C0602E" w:rsidR="002437E5" w:rsidRPr="00EE0850" w:rsidRDefault="002437E5" w:rsidP="000C6220">
      <w:pPr>
        <w:pStyle w:val="Para1"/>
        <w:tabs>
          <w:tab w:val="clear" w:pos="360"/>
          <w:tab w:val="clear" w:pos="567"/>
          <w:tab w:val="clear" w:pos="2912"/>
        </w:tabs>
        <w:spacing w:line="240" w:lineRule="auto"/>
      </w:pPr>
      <w:r w:rsidRPr="00EE0850">
        <w:t xml:space="preserve">Statements were made by representatives of </w:t>
      </w:r>
      <w:r w:rsidR="00780908" w:rsidRPr="00EE0850">
        <w:t xml:space="preserve">the </w:t>
      </w:r>
      <w:r w:rsidRPr="00EE0850">
        <w:t xml:space="preserve">European Union and its 28 member States </w:t>
      </w:r>
      <w:r w:rsidRPr="00EE0850">
        <w:rPr>
          <w:bCs/>
        </w:rPr>
        <w:t>and Uganda</w:t>
      </w:r>
      <w:r w:rsidRPr="00EE0850">
        <w:t>.</w:t>
      </w:r>
    </w:p>
    <w:p w14:paraId="09B34356" w14:textId="2858333D" w:rsidR="00475D73" w:rsidRPr="00EE0850" w:rsidRDefault="002437E5" w:rsidP="000C6220">
      <w:pPr>
        <w:pStyle w:val="Para1"/>
        <w:tabs>
          <w:tab w:val="clear" w:pos="360"/>
          <w:tab w:val="clear" w:pos="567"/>
          <w:tab w:val="clear" w:pos="2912"/>
        </w:tabs>
        <w:spacing w:line="240" w:lineRule="auto"/>
      </w:pPr>
      <w:r w:rsidRPr="00EE0850">
        <w:t>The Working Group approved the revised draft decision, as orally amended, for transmission to the plenary as draft decision CBD/NP/MOP/3/L.4.</w:t>
      </w:r>
    </w:p>
    <w:p w14:paraId="3D2AF8BC" w14:textId="3062DA12" w:rsidR="008C2396" w:rsidRPr="00EE0850" w:rsidRDefault="008C2396" w:rsidP="000C6220">
      <w:pPr>
        <w:pStyle w:val="Para1"/>
        <w:tabs>
          <w:tab w:val="clear" w:pos="360"/>
          <w:tab w:val="clear" w:pos="567"/>
          <w:tab w:val="clear" w:pos="2912"/>
        </w:tabs>
        <w:spacing w:line="240" w:lineRule="auto"/>
      </w:pPr>
      <w:r w:rsidRPr="00EE0850">
        <w:rPr>
          <w:bCs/>
          <w:szCs w:val="22"/>
        </w:rPr>
        <w:t xml:space="preserve">At the 5th plenary session of the meeting, on 25 November 2018, the Conference of the Parties </w:t>
      </w:r>
      <w:r w:rsidR="00A10F60" w:rsidRPr="00EE0850">
        <w:rPr>
          <w:bCs/>
          <w:szCs w:val="22"/>
        </w:rPr>
        <w:t xml:space="preserve">serving as the meeting of the Parties </w:t>
      </w:r>
      <w:r w:rsidR="00A74572" w:rsidRPr="00EE0850">
        <w:rPr>
          <w:bCs/>
          <w:szCs w:val="22"/>
        </w:rPr>
        <w:t xml:space="preserve">to the Nagoya Protocol </w:t>
      </w:r>
      <w:r w:rsidR="00A10F60" w:rsidRPr="00EE0850">
        <w:rPr>
          <w:bCs/>
          <w:szCs w:val="22"/>
        </w:rPr>
        <w:t xml:space="preserve">adopted </w:t>
      </w:r>
      <w:r w:rsidRPr="00EE0850">
        <w:rPr>
          <w:bCs/>
          <w:szCs w:val="22"/>
        </w:rPr>
        <w:t>draft decision CBD/NP/MOP/3/L.4 as decision NP-</w:t>
      </w:r>
      <w:r w:rsidR="002C5EC6" w:rsidRPr="00EE0850">
        <w:rPr>
          <w:bCs/>
          <w:szCs w:val="22"/>
        </w:rPr>
        <w:t>3</w:t>
      </w:r>
      <w:r w:rsidRPr="00EE0850">
        <w:rPr>
          <w:bCs/>
          <w:szCs w:val="22"/>
        </w:rPr>
        <w:t>/</w:t>
      </w:r>
      <w:r w:rsidR="00426DF0" w:rsidRPr="00EE0850">
        <w:rPr>
          <w:bCs/>
          <w:szCs w:val="22"/>
        </w:rPr>
        <w:t>6</w:t>
      </w:r>
      <w:r w:rsidR="005C0957" w:rsidRPr="00EE0850">
        <w:rPr>
          <w:bCs/>
          <w:szCs w:val="22"/>
        </w:rPr>
        <w:t xml:space="preserve"> </w:t>
      </w:r>
      <w:r w:rsidR="004860CA" w:rsidRPr="00EE0850">
        <w:rPr>
          <w:bCs/>
          <w:szCs w:val="22"/>
        </w:rPr>
        <w:t>(</w:t>
      </w:r>
      <w:r w:rsidR="005C0957" w:rsidRPr="00EE0850">
        <w:t>for the text, see chap.</w:t>
      </w:r>
      <w:r w:rsidR="004860CA" w:rsidRPr="00EE0850">
        <w:t> </w:t>
      </w:r>
      <w:r w:rsidR="005C0957" w:rsidRPr="00EE0850">
        <w:t>I.)</w:t>
      </w:r>
    </w:p>
    <w:p w14:paraId="34950A81" w14:textId="77777777" w:rsidR="00475D73" w:rsidRPr="00EE0850" w:rsidRDefault="00475D73" w:rsidP="000C6220">
      <w:pPr>
        <w:pStyle w:val="Heading1-item"/>
        <w:spacing w:before="120" w:line="240" w:lineRule="auto"/>
        <w:ind w:left="1701" w:right="0" w:hanging="1134"/>
        <w:jc w:val="left"/>
      </w:pPr>
      <w:bookmarkStart w:id="43" w:name="_Toc256230"/>
      <w:r w:rsidRPr="00EE0850">
        <w:rPr>
          <w:rFonts w:ascii="Times New Roman" w:hAnsi="Times New Roman" w:cs="Times New Roman"/>
        </w:rPr>
        <w:t>ITEM 13.</w:t>
      </w:r>
      <w:r w:rsidRPr="00EE0850">
        <w:rPr>
          <w:rFonts w:ascii="Times New Roman" w:hAnsi="Times New Roman" w:cs="Times New Roman"/>
        </w:rPr>
        <w:tab/>
        <w:t>Enhancing integration under the Convention and its Protocols with respect to provisions related to access and benefit-sharing</w:t>
      </w:r>
      <w:bookmarkEnd w:id="43"/>
    </w:p>
    <w:p w14:paraId="54C0D845" w14:textId="77777777" w:rsidR="003905B1" w:rsidRPr="00EE0850" w:rsidRDefault="00E02386" w:rsidP="000C6220">
      <w:pPr>
        <w:pStyle w:val="Para1"/>
        <w:tabs>
          <w:tab w:val="clear" w:pos="360"/>
          <w:tab w:val="clear" w:pos="567"/>
          <w:tab w:val="clear" w:pos="2912"/>
        </w:tabs>
        <w:spacing w:line="240" w:lineRule="auto"/>
      </w:pPr>
      <w:r w:rsidRPr="00EE0850">
        <w:t>Working Group I took up agenda item 13 at its 6th meeting, on 21 November 2018 in conjunction with agenda item 13 of the Conference of the Parties and agenda item 11 of the Conference of the Parties serving as the meeting of the Parties to the Cartagena Protocol. In considering the item, the Working Group had before it a draft decision based on recommendation SBI-2/14 set out in the compilation of draft decisions (CBD/NP/MOP/3/1/Add.2)</w:t>
      </w:r>
      <w:r w:rsidR="003905B1" w:rsidRPr="00EE0850">
        <w:t>.</w:t>
      </w:r>
    </w:p>
    <w:p w14:paraId="0535AE01" w14:textId="5E29D30B" w:rsidR="003905B1" w:rsidRPr="00EE0850" w:rsidRDefault="003905B1" w:rsidP="000C6220">
      <w:pPr>
        <w:pStyle w:val="Para1"/>
        <w:tabs>
          <w:tab w:val="clear" w:pos="360"/>
          <w:tab w:val="clear" w:pos="567"/>
          <w:tab w:val="clear" w:pos="2912"/>
        </w:tabs>
        <w:spacing w:line="240" w:lineRule="auto"/>
      </w:pPr>
      <w:r w:rsidRPr="00EE0850">
        <w:t xml:space="preserve">Statements were made by representatives of Argentina, Colombia, </w:t>
      </w:r>
      <w:r w:rsidR="00780908" w:rsidRPr="00EE0850">
        <w:t xml:space="preserve">the </w:t>
      </w:r>
      <w:r w:rsidRPr="00EE0850">
        <w:t>European Union and its 28 member States, Gabon, India, Indonesia, Malawi and Venezuela (Bolivarian Republic of).</w:t>
      </w:r>
    </w:p>
    <w:p w14:paraId="77611528" w14:textId="77777777" w:rsidR="003905B1" w:rsidRPr="00EE0850" w:rsidRDefault="003905B1" w:rsidP="000C6220">
      <w:pPr>
        <w:pStyle w:val="Para1"/>
        <w:tabs>
          <w:tab w:val="clear" w:pos="360"/>
          <w:tab w:val="clear" w:pos="567"/>
          <w:tab w:val="clear" w:pos="2912"/>
        </w:tabs>
        <w:spacing w:line="240" w:lineRule="auto"/>
      </w:pPr>
      <w:r w:rsidRPr="00EE0850">
        <w:t>A statement was also made by a representative of Morocco.</w:t>
      </w:r>
    </w:p>
    <w:p w14:paraId="62759398" w14:textId="77777777" w:rsidR="003905B1" w:rsidRPr="00EE0850" w:rsidRDefault="003905B1" w:rsidP="000C6220">
      <w:pPr>
        <w:pStyle w:val="Para1"/>
        <w:tabs>
          <w:tab w:val="clear" w:pos="360"/>
          <w:tab w:val="clear" w:pos="567"/>
          <w:tab w:val="clear" w:pos="2912"/>
        </w:tabs>
        <w:spacing w:line="240" w:lineRule="auto"/>
      </w:pPr>
      <w:r w:rsidRPr="00EE0850">
        <w:t>A further statement was made by a representative of ISAAA.</w:t>
      </w:r>
    </w:p>
    <w:p w14:paraId="53AC15FE" w14:textId="5B54A294" w:rsidR="00475D73" w:rsidRPr="00EE0850" w:rsidRDefault="003905B1" w:rsidP="000C6220">
      <w:pPr>
        <w:pStyle w:val="Para1"/>
        <w:tabs>
          <w:tab w:val="clear" w:pos="360"/>
          <w:tab w:val="clear" w:pos="567"/>
          <w:tab w:val="clear" w:pos="2912"/>
        </w:tabs>
        <w:spacing w:line="240" w:lineRule="auto"/>
      </w:pPr>
      <w:r w:rsidRPr="00EE0850">
        <w:t>The Chair said that he would prepare a revised draft decision, taking into consideration the views expressed orally and submitted in writing.</w:t>
      </w:r>
    </w:p>
    <w:p w14:paraId="0BD4A112" w14:textId="58EDFC64" w:rsidR="00844475" w:rsidRPr="00EE0850" w:rsidRDefault="00A508F8" w:rsidP="000C6220">
      <w:pPr>
        <w:pStyle w:val="Para1"/>
        <w:tabs>
          <w:tab w:val="clear" w:pos="360"/>
          <w:tab w:val="clear" w:pos="567"/>
          <w:tab w:val="clear" w:pos="2912"/>
        </w:tabs>
        <w:spacing w:line="240" w:lineRule="auto"/>
      </w:pPr>
      <w:r w:rsidRPr="00EE0850">
        <w:rPr>
          <w:bCs/>
        </w:rPr>
        <w:t xml:space="preserve">At its 12th meeting, on 28 November 2018, Working Group I considered a revised draft decision submitted by its Chair, which it approved for transmission to the </w:t>
      </w:r>
      <w:r w:rsidRPr="00EE0850">
        <w:t xml:space="preserve">plenary as draft decision </w:t>
      </w:r>
      <w:r w:rsidRPr="00EE0850">
        <w:rPr>
          <w:snapToGrid w:val="0"/>
          <w:kern w:val="22"/>
        </w:rPr>
        <w:t>CBD/COP/14/L</w:t>
      </w:r>
      <w:r w:rsidR="00844475" w:rsidRPr="00EE0850">
        <w:rPr>
          <w:snapToGrid w:val="0"/>
          <w:kern w:val="22"/>
          <w:szCs w:val="22"/>
        </w:rPr>
        <w:t>.11.</w:t>
      </w:r>
    </w:p>
    <w:p w14:paraId="7733E350" w14:textId="7E869FF2" w:rsidR="00475D73" w:rsidRPr="00EE0850" w:rsidRDefault="001E16B7" w:rsidP="000C6220">
      <w:pPr>
        <w:pStyle w:val="Para1"/>
        <w:tabs>
          <w:tab w:val="clear" w:pos="360"/>
          <w:tab w:val="clear" w:pos="567"/>
          <w:tab w:val="clear" w:pos="2912"/>
        </w:tabs>
        <w:spacing w:line="240" w:lineRule="auto"/>
      </w:pPr>
      <w:r w:rsidRPr="00EE0850">
        <w:t xml:space="preserve">At </w:t>
      </w:r>
      <w:r w:rsidR="00B27BDE" w:rsidRPr="00EE0850">
        <w:t>its</w:t>
      </w:r>
      <w:r w:rsidRPr="00EE0850">
        <w:t xml:space="preserve"> 8th plenary session, on 29 November 2018, the Conference of the Parties serving as the meeting of the Parties </w:t>
      </w:r>
      <w:r w:rsidR="00EF027F" w:rsidRPr="00EE0850">
        <w:t xml:space="preserve">to the Nagoya Protocol </w:t>
      </w:r>
      <w:r w:rsidRPr="00EE0850">
        <w:t>adopted draft decision CBD/NP/MOP/3/L.11 as decision NP-3/9 (for the text, see chap.</w:t>
      </w:r>
      <w:r w:rsidR="00586748" w:rsidRPr="00EE0850">
        <w:t> </w:t>
      </w:r>
      <w:r w:rsidRPr="00EE0850">
        <w:t>I).</w:t>
      </w:r>
    </w:p>
    <w:p w14:paraId="1CA4619C" w14:textId="77777777" w:rsidR="00475D73" w:rsidRPr="00EE0850" w:rsidRDefault="00475D73" w:rsidP="000C6220">
      <w:pPr>
        <w:pStyle w:val="Heading1-item"/>
        <w:spacing w:before="120" w:line="240" w:lineRule="auto"/>
        <w:ind w:left="1701" w:right="0" w:hanging="1134"/>
        <w:jc w:val="left"/>
      </w:pPr>
      <w:bookmarkStart w:id="44" w:name="_Toc256231"/>
      <w:r w:rsidRPr="00EE0850">
        <w:rPr>
          <w:rFonts w:ascii="Times New Roman" w:hAnsi="Times New Roman" w:cs="Times New Roman"/>
        </w:rPr>
        <w:t>ITEM 14.</w:t>
      </w:r>
      <w:r w:rsidRPr="00EE0850">
        <w:rPr>
          <w:rFonts w:ascii="Times New Roman" w:hAnsi="Times New Roman" w:cs="Times New Roman"/>
        </w:rPr>
        <w:tab/>
        <w:t>Cooperation with other international organizations, conventions and initiatives</w:t>
      </w:r>
      <w:bookmarkEnd w:id="44"/>
    </w:p>
    <w:p w14:paraId="694166BA" w14:textId="55166277" w:rsidR="003905B1" w:rsidRPr="00EE0850" w:rsidRDefault="003905B1" w:rsidP="000C6220">
      <w:pPr>
        <w:pStyle w:val="Para1"/>
        <w:tabs>
          <w:tab w:val="clear" w:pos="360"/>
          <w:tab w:val="clear" w:pos="567"/>
          <w:tab w:val="clear" w:pos="2912"/>
        </w:tabs>
        <w:spacing w:line="240" w:lineRule="auto"/>
      </w:pPr>
      <w:r w:rsidRPr="00EE0850">
        <w:t>Working Group I took up agenda item 14 at its 6th meeting, on 21 November 2018. In considering the item, the Working Group had before it a note summarizing relevant cooperative activities (CBD/NP/MOP/3/9)</w:t>
      </w:r>
      <w:r w:rsidR="008D087C" w:rsidRPr="00EE0850">
        <w:t xml:space="preserve"> as well as the following information documents:</w:t>
      </w:r>
      <w:r w:rsidRPr="00EE0850">
        <w:t xml:space="preserve"> </w:t>
      </w:r>
      <w:r w:rsidR="00D16700" w:rsidRPr="00EE0850">
        <w:t>(a) </w:t>
      </w:r>
      <w:r w:rsidRPr="00EE0850">
        <w:t xml:space="preserve">a report on a study carried out by the </w:t>
      </w:r>
      <w:r w:rsidR="00156B0D" w:rsidRPr="00EE0850">
        <w:t>S</w:t>
      </w:r>
      <w:r w:rsidRPr="00EE0850">
        <w:t>ecretariat of WHO (CBD/NP/MOP/3/INF/3)</w:t>
      </w:r>
      <w:r w:rsidR="008D087C" w:rsidRPr="00EE0850">
        <w:t>;</w:t>
      </w:r>
      <w:r w:rsidRPr="00EE0850">
        <w:t xml:space="preserve"> </w:t>
      </w:r>
      <w:r w:rsidR="00D16700" w:rsidRPr="00EE0850">
        <w:t>(b) </w:t>
      </w:r>
      <w:r w:rsidRPr="00EE0850">
        <w:t xml:space="preserve">the document provided by the Executive Secretary to the </w:t>
      </w:r>
      <w:r w:rsidR="00504700" w:rsidRPr="00EE0850">
        <w:t>S</w:t>
      </w:r>
      <w:r w:rsidRPr="00EE0850">
        <w:t xml:space="preserve">ecretariat of WHO on information provided by Parties </w:t>
      </w:r>
      <w:r w:rsidR="00504700" w:rsidRPr="00EE0850">
        <w:t xml:space="preserve">to the Nagoya Protocol </w:t>
      </w:r>
      <w:r w:rsidRPr="00EE0850">
        <w:t xml:space="preserve">on </w:t>
      </w:r>
      <w:r w:rsidR="00504700" w:rsidRPr="00EE0850">
        <w:t xml:space="preserve">the </w:t>
      </w:r>
      <w:r w:rsidRPr="00EE0850">
        <w:t xml:space="preserve">national implementation of </w:t>
      </w:r>
      <w:r w:rsidR="00504700" w:rsidRPr="00EE0850">
        <w:t xml:space="preserve">Article 8(b) and other relevant provisions of </w:t>
      </w:r>
      <w:r w:rsidRPr="00EE0850">
        <w:t xml:space="preserve">the Protocol (CBD/NP/MOP/3/INF/4); </w:t>
      </w:r>
      <w:r w:rsidR="00D16700" w:rsidRPr="00EE0850">
        <w:t>(c) i</w:t>
      </w:r>
      <w:r w:rsidRPr="00EE0850">
        <w:t>mplementation of the Nagoya Protocol in the context of human and animal health, and food safety: access to pathogens and fair and equitable sharing of benefit</w:t>
      </w:r>
      <w:r w:rsidR="00D16700" w:rsidRPr="00EE0850">
        <w:t>s</w:t>
      </w:r>
      <w:r w:rsidRPr="00EE0850">
        <w:t xml:space="preserve">: questions and answers” (CBD/NP/MOP/3/INF/5); update on recent developments under </w:t>
      </w:r>
      <w:r w:rsidR="0069612A" w:rsidRPr="00EE0850">
        <w:t xml:space="preserve">the International Treaty on Plant Genetic Resources for Food and Agriculture </w:t>
      </w:r>
      <w:r w:rsidRPr="00EE0850">
        <w:t>of relevance to the Convention on Biological Diversity and the Nagoya Protocol (CBD/NP/MOP/3/INF/30).</w:t>
      </w:r>
    </w:p>
    <w:p w14:paraId="0D0ECB3C" w14:textId="25DDFC70" w:rsidR="003905B1" w:rsidRPr="00EE0850" w:rsidRDefault="003905B1" w:rsidP="000C6220">
      <w:pPr>
        <w:pStyle w:val="Para1"/>
        <w:tabs>
          <w:tab w:val="clear" w:pos="360"/>
          <w:tab w:val="clear" w:pos="567"/>
          <w:tab w:val="clear" w:pos="2912"/>
        </w:tabs>
        <w:spacing w:line="240" w:lineRule="auto"/>
      </w:pPr>
      <w:r w:rsidRPr="00EE0850">
        <w:t xml:space="preserve">Statements were made by representatives of </w:t>
      </w:r>
      <w:r w:rsidR="00780908" w:rsidRPr="00EE0850">
        <w:t xml:space="preserve">the </w:t>
      </w:r>
      <w:r w:rsidRPr="00EE0850">
        <w:t>European Union and its 28 member States, Kenya and Mexico.</w:t>
      </w:r>
    </w:p>
    <w:p w14:paraId="0B977239" w14:textId="77777777" w:rsidR="003905B1" w:rsidRPr="00EE0850" w:rsidRDefault="003905B1" w:rsidP="000C6220">
      <w:pPr>
        <w:pStyle w:val="Para1"/>
        <w:tabs>
          <w:tab w:val="clear" w:pos="360"/>
          <w:tab w:val="clear" w:pos="567"/>
          <w:tab w:val="clear" w:pos="2912"/>
        </w:tabs>
        <w:spacing w:line="240" w:lineRule="auto"/>
      </w:pPr>
      <w:r w:rsidRPr="00EE0850">
        <w:t>Further statements were made by representatives of WHO and WIPO.</w:t>
      </w:r>
    </w:p>
    <w:p w14:paraId="4C05BBBD" w14:textId="77777777" w:rsidR="003905B1" w:rsidRPr="00EE0850" w:rsidRDefault="003905B1" w:rsidP="000C6220">
      <w:pPr>
        <w:pStyle w:val="Para1"/>
        <w:tabs>
          <w:tab w:val="clear" w:pos="360"/>
          <w:tab w:val="clear" w:pos="567"/>
          <w:tab w:val="clear" w:pos="2912"/>
        </w:tabs>
        <w:spacing w:line="240" w:lineRule="auto"/>
      </w:pPr>
      <w:r w:rsidRPr="00EE0850">
        <w:t>The Chair said that he would prepare a draft decision, taking into consideration the views expressed orally and submitted in writing.</w:t>
      </w:r>
    </w:p>
    <w:p w14:paraId="130022FF" w14:textId="77777777" w:rsidR="003905B1" w:rsidRPr="00EE0850" w:rsidRDefault="003905B1" w:rsidP="000C6220">
      <w:pPr>
        <w:pStyle w:val="Para1"/>
        <w:tabs>
          <w:tab w:val="clear" w:pos="360"/>
          <w:tab w:val="clear" w:pos="567"/>
          <w:tab w:val="clear" w:pos="2912"/>
        </w:tabs>
        <w:spacing w:line="240" w:lineRule="auto"/>
      </w:pPr>
      <w:r w:rsidRPr="00EE0850">
        <w:t>At its 11th meeting, on 26 November 2018, the Working Group considered a draft decision submitted by its Chair.</w:t>
      </w:r>
    </w:p>
    <w:p w14:paraId="074B423E" w14:textId="56CC40E7" w:rsidR="00475D73" w:rsidRPr="00EE0850" w:rsidRDefault="003905B1" w:rsidP="000C6220">
      <w:pPr>
        <w:pStyle w:val="Para1"/>
        <w:tabs>
          <w:tab w:val="clear" w:pos="360"/>
          <w:tab w:val="clear" w:pos="567"/>
          <w:tab w:val="clear" w:pos="2912"/>
        </w:tabs>
        <w:spacing w:line="240" w:lineRule="auto"/>
      </w:pPr>
      <w:r w:rsidRPr="00EE0850">
        <w:t xml:space="preserve">Statements were made by representatives of </w:t>
      </w:r>
      <w:r w:rsidR="00780908" w:rsidRPr="00EE0850">
        <w:t xml:space="preserve">the </w:t>
      </w:r>
      <w:r w:rsidRPr="00EE0850">
        <w:t>European Union and its 28 member States, Mexico, Norway, Switzerland, Uganda, Venezuela (Bolivarian Republic of) and Viet Nam.</w:t>
      </w:r>
    </w:p>
    <w:p w14:paraId="6D390170" w14:textId="74E2B74E" w:rsidR="00616E9D" w:rsidRPr="00EE0850" w:rsidRDefault="00616E9D" w:rsidP="000C6220">
      <w:pPr>
        <w:pStyle w:val="Para1"/>
        <w:tabs>
          <w:tab w:val="clear" w:pos="360"/>
          <w:tab w:val="clear" w:pos="567"/>
          <w:tab w:val="clear" w:pos="2912"/>
        </w:tabs>
        <w:spacing w:line="240" w:lineRule="auto"/>
      </w:pPr>
      <w:r w:rsidRPr="00EE0850">
        <w:t xml:space="preserve">At its 13th </w:t>
      </w:r>
      <w:r w:rsidR="00427165" w:rsidRPr="00EE0850">
        <w:t>meeting, on 28</w:t>
      </w:r>
      <w:r w:rsidRPr="00EE0850">
        <w:t xml:space="preserve"> November 2018, the Working Group considered a </w:t>
      </w:r>
      <w:r w:rsidR="00844475" w:rsidRPr="00EE0850">
        <w:t xml:space="preserve">revised </w:t>
      </w:r>
      <w:r w:rsidRPr="00EE0850">
        <w:t>draft decision submitted by the Chair.</w:t>
      </w:r>
    </w:p>
    <w:p w14:paraId="3EF91961" w14:textId="77777777" w:rsidR="00F65F9A" w:rsidRPr="00EE0850" w:rsidRDefault="00F65F9A" w:rsidP="000C6220">
      <w:pPr>
        <w:pStyle w:val="Para1"/>
        <w:tabs>
          <w:tab w:val="clear" w:pos="360"/>
          <w:tab w:val="clear" w:pos="567"/>
          <w:tab w:val="clear" w:pos="2912"/>
        </w:tabs>
        <w:spacing w:line="240" w:lineRule="auto"/>
      </w:pPr>
      <w:r w:rsidRPr="00EE0850">
        <w:t>Statements were made by representatives of Argentina, Mexico, Norway, South Africa, Switzerland and Uganda.</w:t>
      </w:r>
    </w:p>
    <w:p w14:paraId="754F6318" w14:textId="389F1FED" w:rsidR="00616E9D" w:rsidRPr="00EE0850" w:rsidRDefault="00616E9D" w:rsidP="000C6220">
      <w:pPr>
        <w:pStyle w:val="Para1"/>
        <w:tabs>
          <w:tab w:val="clear" w:pos="360"/>
          <w:tab w:val="clear" w:pos="567"/>
          <w:tab w:val="clear" w:pos="2912"/>
        </w:tabs>
        <w:spacing w:line="240" w:lineRule="auto"/>
      </w:pPr>
      <w:r w:rsidRPr="00EE0850">
        <w:t xml:space="preserve">The Working Group approved the </w:t>
      </w:r>
      <w:r w:rsidR="00844475" w:rsidRPr="00EE0850">
        <w:t xml:space="preserve">revised </w:t>
      </w:r>
      <w:r w:rsidRPr="00EE0850">
        <w:t>draft decision</w:t>
      </w:r>
      <w:r w:rsidR="00F65F9A" w:rsidRPr="00EE0850">
        <w:t>, as orally amended,</w:t>
      </w:r>
      <w:r w:rsidRPr="00EE0850">
        <w:t xml:space="preserve"> for transmission to the plenary as draft decision CBD/NP/MOP/3/L.14.</w:t>
      </w:r>
    </w:p>
    <w:p w14:paraId="01998D27" w14:textId="5E489210" w:rsidR="002E60B6" w:rsidRPr="00EE0850" w:rsidRDefault="002E60B6" w:rsidP="000C6220">
      <w:pPr>
        <w:pStyle w:val="Para1"/>
        <w:tabs>
          <w:tab w:val="clear" w:pos="360"/>
          <w:tab w:val="clear" w:pos="567"/>
          <w:tab w:val="clear" w:pos="2912"/>
        </w:tabs>
        <w:spacing w:line="240" w:lineRule="auto"/>
      </w:pPr>
      <w:r w:rsidRPr="00EE0850">
        <w:t xml:space="preserve">The Conference of the Parties serving as the meeting of the Parties </w:t>
      </w:r>
      <w:r w:rsidR="0047190A" w:rsidRPr="00EE0850">
        <w:t xml:space="preserve">to the Nagoya Protocol </w:t>
      </w:r>
      <w:r w:rsidRPr="00EE0850">
        <w:t>took up the draft decision at the 8th plenary session, on 29 November 2018.</w:t>
      </w:r>
    </w:p>
    <w:p w14:paraId="7AC8C756" w14:textId="4B9892DA" w:rsidR="002E60B6" w:rsidRPr="00EE0850" w:rsidRDefault="002E60B6" w:rsidP="000C6220">
      <w:pPr>
        <w:pStyle w:val="Para1"/>
        <w:tabs>
          <w:tab w:val="clear" w:pos="360"/>
          <w:tab w:val="clear" w:pos="567"/>
          <w:tab w:val="clear" w:pos="2912"/>
        </w:tabs>
        <w:spacing w:line="240" w:lineRule="auto"/>
      </w:pPr>
      <w:r w:rsidRPr="00EE0850">
        <w:t>Statements were made by representatives of the European Union and its 28 member States, Japan, Mexico and Uganda.</w:t>
      </w:r>
    </w:p>
    <w:p w14:paraId="03943AF6" w14:textId="09F0A2CC" w:rsidR="00475D73" w:rsidRPr="00EE0850" w:rsidRDefault="002E60B6" w:rsidP="000C6220">
      <w:pPr>
        <w:pStyle w:val="Para1"/>
        <w:tabs>
          <w:tab w:val="clear" w:pos="360"/>
          <w:tab w:val="clear" w:pos="567"/>
          <w:tab w:val="clear" w:pos="2912"/>
        </w:tabs>
        <w:spacing w:line="240" w:lineRule="auto"/>
      </w:pPr>
      <w:r w:rsidRPr="00EE0850">
        <w:t xml:space="preserve">The Conference of the Parties serving as the meeting of the Parties </w:t>
      </w:r>
      <w:r w:rsidR="003806A4" w:rsidRPr="00EE0850">
        <w:t xml:space="preserve">to the Nagoya Protocol </w:t>
      </w:r>
      <w:r w:rsidRPr="00EE0850">
        <w:t>adopted, as orally amended, draft decision CBD/NP/MOP/3/L.14 as decision NP-3/7 (for the text, see chap.</w:t>
      </w:r>
      <w:r w:rsidR="00896D8F" w:rsidRPr="00EE0850">
        <w:t> </w:t>
      </w:r>
      <w:r w:rsidRPr="00EE0850">
        <w:t>I).</w:t>
      </w:r>
    </w:p>
    <w:p w14:paraId="68A6B306" w14:textId="77777777" w:rsidR="00475D73" w:rsidRPr="00EE0850" w:rsidRDefault="00475D73" w:rsidP="000C6220">
      <w:pPr>
        <w:pStyle w:val="Heading1-item"/>
        <w:tabs>
          <w:tab w:val="left" w:pos="1134"/>
        </w:tabs>
        <w:spacing w:before="120" w:line="240" w:lineRule="auto"/>
        <w:ind w:right="0"/>
      </w:pPr>
      <w:bookmarkStart w:id="45" w:name="_Toc256232"/>
      <w:r w:rsidRPr="00EE0850">
        <w:rPr>
          <w:rFonts w:ascii="Times New Roman" w:hAnsi="Times New Roman" w:cs="Times New Roman"/>
        </w:rPr>
        <w:t>ITEM 15.</w:t>
      </w:r>
      <w:r w:rsidRPr="00EE0850">
        <w:rPr>
          <w:rFonts w:ascii="Times New Roman" w:hAnsi="Times New Roman" w:cs="Times New Roman"/>
        </w:rPr>
        <w:tab/>
        <w:t>Review of the effectiveness of structures and processes</w:t>
      </w:r>
      <w:bookmarkEnd w:id="45"/>
    </w:p>
    <w:p w14:paraId="5E2EEE34" w14:textId="2989C0E0" w:rsidR="00612D3A" w:rsidRPr="00EE0850" w:rsidRDefault="00612D3A" w:rsidP="000C6220">
      <w:pPr>
        <w:pStyle w:val="Heading3"/>
        <w:spacing w:line="240" w:lineRule="auto"/>
        <w:rPr>
          <w:color w:val="000000" w:themeColor="text1"/>
        </w:rPr>
      </w:pPr>
      <w:r w:rsidRPr="00EE0850">
        <w:rPr>
          <w:color w:val="000000" w:themeColor="text1"/>
        </w:rPr>
        <w:t xml:space="preserve">Review of experience in holding concurrent meetings of the Convention and </w:t>
      </w:r>
      <w:r w:rsidR="002E6719" w:rsidRPr="00EE0850">
        <w:rPr>
          <w:color w:val="000000" w:themeColor="text1"/>
        </w:rPr>
        <w:t xml:space="preserve">its </w:t>
      </w:r>
      <w:r w:rsidRPr="00EE0850">
        <w:rPr>
          <w:color w:val="000000" w:themeColor="text1"/>
        </w:rPr>
        <w:t>protocols</w:t>
      </w:r>
    </w:p>
    <w:p w14:paraId="497538DA" w14:textId="09A91E19" w:rsidR="003905B1" w:rsidRPr="00EE0850" w:rsidRDefault="003905B1" w:rsidP="000C6220">
      <w:pPr>
        <w:pStyle w:val="Para1"/>
        <w:tabs>
          <w:tab w:val="clear" w:pos="360"/>
          <w:tab w:val="clear" w:pos="567"/>
          <w:tab w:val="clear" w:pos="2912"/>
        </w:tabs>
        <w:spacing w:line="240" w:lineRule="auto"/>
        <w:rPr>
          <w:rFonts w:eastAsia="MS Mincho"/>
        </w:rPr>
      </w:pPr>
      <w:r w:rsidRPr="00EE0850">
        <w:t xml:space="preserve">Working Group I took up the first aspect of agenda item 13 at its 6th meeting, on 21 November 2018. In considering the item, the Working Group had before it a draft decision based on </w:t>
      </w:r>
      <w:r w:rsidR="001024C7" w:rsidRPr="00EE0850">
        <w:t xml:space="preserve">section </w:t>
      </w:r>
      <w:r w:rsidRPr="00EE0850">
        <w:t>A of recommendation SBI</w:t>
      </w:r>
      <w:r w:rsidR="00AD2612" w:rsidRPr="00EE0850">
        <w:noBreakHyphen/>
      </w:r>
      <w:r w:rsidRPr="00EE0850">
        <w:t>2/15, set out in the compilation of draft decisions (</w:t>
      </w:r>
      <w:r w:rsidR="004902AC" w:rsidRPr="00EE0850">
        <w:t>CBD/NP/MOP/3/1/Add.2</w:t>
      </w:r>
      <w:r w:rsidRPr="00EE0850">
        <w:t>).</w:t>
      </w:r>
    </w:p>
    <w:p w14:paraId="3112D59E" w14:textId="6D8D080D" w:rsidR="003905B1" w:rsidRPr="00EE0850" w:rsidRDefault="003905B1" w:rsidP="000C6220">
      <w:pPr>
        <w:pStyle w:val="Para1"/>
        <w:tabs>
          <w:tab w:val="clear" w:pos="360"/>
          <w:tab w:val="clear" w:pos="567"/>
          <w:tab w:val="clear" w:pos="2912"/>
        </w:tabs>
        <w:spacing w:line="240" w:lineRule="auto"/>
      </w:pPr>
      <w:r w:rsidRPr="00EE0850">
        <w:t xml:space="preserve">Statements were made by representatives of Argentina, </w:t>
      </w:r>
      <w:r w:rsidR="00780908" w:rsidRPr="00EE0850">
        <w:t xml:space="preserve">the </w:t>
      </w:r>
      <w:r w:rsidRPr="00EE0850">
        <w:t>European Union and its 28 member States, Honduras, India, Jordan, Mexico, Panama, Switzerland and Uganda (on behalf of the African Group).</w:t>
      </w:r>
    </w:p>
    <w:p w14:paraId="3A99E0BF" w14:textId="77777777" w:rsidR="003905B1" w:rsidRPr="00EE0850" w:rsidRDefault="003905B1" w:rsidP="000C6220">
      <w:pPr>
        <w:pStyle w:val="Para1"/>
        <w:tabs>
          <w:tab w:val="clear" w:pos="360"/>
          <w:tab w:val="clear" w:pos="567"/>
          <w:tab w:val="clear" w:pos="2912"/>
        </w:tabs>
        <w:spacing w:line="240" w:lineRule="auto"/>
      </w:pPr>
      <w:r w:rsidRPr="00EE0850">
        <w:t>Statements were also made by representatives of Canada, Morocco, New Zealand and Paraguay.</w:t>
      </w:r>
    </w:p>
    <w:p w14:paraId="3C4FCAC4" w14:textId="77777777" w:rsidR="003905B1" w:rsidRPr="00EE0850" w:rsidRDefault="003905B1" w:rsidP="000C6220">
      <w:pPr>
        <w:pStyle w:val="Para1"/>
        <w:tabs>
          <w:tab w:val="clear" w:pos="360"/>
          <w:tab w:val="clear" w:pos="567"/>
          <w:tab w:val="clear" w:pos="2912"/>
        </w:tabs>
        <w:spacing w:line="240" w:lineRule="auto"/>
      </w:pPr>
      <w:r w:rsidRPr="00EE0850">
        <w:rPr>
          <w:rFonts w:eastAsia="MS Mincho"/>
        </w:rPr>
        <w:t xml:space="preserve">Further statements were made by representatives of </w:t>
      </w:r>
      <w:r w:rsidRPr="00EE0850">
        <w:t xml:space="preserve">the J. Craig Venter Institute, PRRI and Third World Network (on behalf of the Corporate Europe Observatory, </w:t>
      </w:r>
      <w:proofErr w:type="spellStart"/>
      <w:r w:rsidRPr="00EE0850">
        <w:t>EcoNexus</w:t>
      </w:r>
      <w:proofErr w:type="spellEnd"/>
      <w:r w:rsidRPr="00EE0850">
        <w:t>, ETC Group, Friends of the Earth International and Pro Natura).</w:t>
      </w:r>
    </w:p>
    <w:p w14:paraId="5C2290B3" w14:textId="77777777" w:rsidR="00612D3A" w:rsidRPr="00EE0850" w:rsidRDefault="003905B1" w:rsidP="000C6220">
      <w:pPr>
        <w:pStyle w:val="Para1"/>
        <w:tabs>
          <w:tab w:val="clear" w:pos="360"/>
          <w:tab w:val="clear" w:pos="567"/>
          <w:tab w:val="clear" w:pos="2912"/>
        </w:tabs>
        <w:spacing w:line="240" w:lineRule="auto"/>
      </w:pPr>
      <w:r w:rsidRPr="00EE0850">
        <w:t xml:space="preserve">At its 10th meeting, on 25 November 2018, the Working Group considered a revised draft decision submitted by the Chair, which it approved for transmission to the plenary as draft decision </w:t>
      </w:r>
      <w:r w:rsidRPr="00EE0850">
        <w:rPr>
          <w:snapToGrid w:val="0"/>
        </w:rPr>
        <w:t>CBD/NP/MOP/3/L.9.</w:t>
      </w:r>
    </w:p>
    <w:p w14:paraId="35161884" w14:textId="4E103CF2" w:rsidR="00612D3A" w:rsidRPr="00EE0850" w:rsidRDefault="001E16B7" w:rsidP="000C6220">
      <w:pPr>
        <w:pStyle w:val="Para1"/>
        <w:tabs>
          <w:tab w:val="clear" w:pos="360"/>
          <w:tab w:val="clear" w:pos="567"/>
          <w:tab w:val="clear" w:pos="2912"/>
        </w:tabs>
        <w:spacing w:line="240" w:lineRule="auto"/>
      </w:pPr>
      <w:r w:rsidRPr="00EE0850">
        <w:t xml:space="preserve">At </w:t>
      </w:r>
      <w:r w:rsidR="00E91473" w:rsidRPr="00EE0850">
        <w:t>its</w:t>
      </w:r>
      <w:r w:rsidRPr="00EE0850">
        <w:t xml:space="preserve"> 8th plenary session, on 29 November 2018, the Conference of the Parties serving as the meeting of the Parties </w:t>
      </w:r>
      <w:r w:rsidR="00E5173D" w:rsidRPr="00EE0850">
        <w:t xml:space="preserve">to the Nagoya Protocol </w:t>
      </w:r>
      <w:r w:rsidRPr="00EE0850">
        <w:t>adopted draft decision CBD/NP/MOP/3/L.9 as decision NP-3/10 (for the text, see chap.</w:t>
      </w:r>
      <w:r w:rsidR="00743229" w:rsidRPr="00EE0850">
        <w:t> </w:t>
      </w:r>
      <w:r w:rsidRPr="00EE0850">
        <w:t>I).</w:t>
      </w:r>
    </w:p>
    <w:p w14:paraId="2BB7529A" w14:textId="77777777" w:rsidR="00612D3A" w:rsidRPr="00EE0850" w:rsidRDefault="00612D3A" w:rsidP="000C6220">
      <w:pPr>
        <w:pStyle w:val="Heading3"/>
        <w:spacing w:line="240" w:lineRule="auto"/>
        <w:rPr>
          <w:color w:val="000000" w:themeColor="text1"/>
        </w:rPr>
      </w:pPr>
      <w:r w:rsidRPr="00EE0850">
        <w:rPr>
          <w:color w:val="000000" w:themeColor="text1"/>
        </w:rPr>
        <w:t>Procedure for avoiding or managing conflicts of interest in expert groups</w:t>
      </w:r>
    </w:p>
    <w:p w14:paraId="32E89ED6" w14:textId="05436D1C" w:rsidR="003905B1" w:rsidRPr="00EE0850" w:rsidRDefault="003905B1" w:rsidP="000C6220">
      <w:pPr>
        <w:pStyle w:val="Para1"/>
        <w:tabs>
          <w:tab w:val="clear" w:pos="360"/>
          <w:tab w:val="clear" w:pos="567"/>
          <w:tab w:val="clear" w:pos="2912"/>
        </w:tabs>
        <w:spacing w:line="240" w:lineRule="auto"/>
      </w:pPr>
      <w:r w:rsidRPr="00EE0850">
        <w:t xml:space="preserve">Working Group I took up the second aspect of agenda item 15 at its 6th meeting, on 21 November 2018. In considering the item, the Working Group had before it a draft decision based on </w:t>
      </w:r>
      <w:r w:rsidR="001024C7" w:rsidRPr="00EE0850">
        <w:t xml:space="preserve">section </w:t>
      </w:r>
      <w:r w:rsidRPr="00EE0850">
        <w:t>B of recommendation SBI</w:t>
      </w:r>
      <w:r w:rsidR="00B9657E" w:rsidRPr="00EE0850">
        <w:noBreakHyphen/>
      </w:r>
      <w:r w:rsidRPr="00EE0850">
        <w:t>2/15</w:t>
      </w:r>
      <w:r w:rsidR="00221210" w:rsidRPr="00EE0850">
        <w:t>,</w:t>
      </w:r>
      <w:r w:rsidRPr="00EE0850">
        <w:t xml:space="preserve"> </w:t>
      </w:r>
      <w:r w:rsidR="00221210" w:rsidRPr="00EE0850">
        <w:t xml:space="preserve">set out </w:t>
      </w:r>
      <w:r w:rsidRPr="00EE0850">
        <w:t xml:space="preserve">in the compilation of draft decisions (CBD/NP/MOP/3/1/Add.2) and a summary of views submitted by Parties and observers </w:t>
      </w:r>
      <w:r w:rsidR="008D087C" w:rsidRPr="00EE0850">
        <w:t xml:space="preserve">regarding </w:t>
      </w:r>
      <w:r w:rsidRPr="00EE0850">
        <w:t>the procedure for avoiding or managing conflicts of interest in expert groups (CBD/COP/14/INF/3).</w:t>
      </w:r>
    </w:p>
    <w:p w14:paraId="212236C2" w14:textId="3CB3E344" w:rsidR="003905B1" w:rsidRPr="00EE0850" w:rsidRDefault="003905B1" w:rsidP="000C6220">
      <w:pPr>
        <w:pStyle w:val="Para1"/>
        <w:tabs>
          <w:tab w:val="clear" w:pos="360"/>
          <w:tab w:val="clear" w:pos="567"/>
          <w:tab w:val="clear" w:pos="2912"/>
        </w:tabs>
        <w:spacing w:line="240" w:lineRule="auto"/>
      </w:pPr>
      <w:r w:rsidRPr="00EE0850">
        <w:t xml:space="preserve">Statements were made by representatives of Argentina, </w:t>
      </w:r>
      <w:r w:rsidR="00780908" w:rsidRPr="00EE0850">
        <w:t xml:space="preserve">the </w:t>
      </w:r>
      <w:r w:rsidRPr="00EE0850">
        <w:t>European Union and its 28 member States, Honduras, India, Jordan, Mexico, Panama, Switzerland and Uganda (on behalf of the African Group).</w:t>
      </w:r>
    </w:p>
    <w:p w14:paraId="389B811A" w14:textId="77777777" w:rsidR="003905B1" w:rsidRPr="00EE0850" w:rsidRDefault="003905B1" w:rsidP="000C6220">
      <w:pPr>
        <w:pStyle w:val="Para1"/>
        <w:tabs>
          <w:tab w:val="clear" w:pos="360"/>
          <w:tab w:val="clear" w:pos="567"/>
          <w:tab w:val="clear" w:pos="2912"/>
        </w:tabs>
        <w:spacing w:line="240" w:lineRule="auto"/>
      </w:pPr>
      <w:r w:rsidRPr="00EE0850">
        <w:t>Statements were also made by representatives of Canada, Morocco, New Zealand and Paraguay.</w:t>
      </w:r>
    </w:p>
    <w:p w14:paraId="40B48701" w14:textId="77777777" w:rsidR="003905B1" w:rsidRPr="00EE0850" w:rsidRDefault="003905B1" w:rsidP="000C6220">
      <w:pPr>
        <w:pStyle w:val="Para1"/>
        <w:tabs>
          <w:tab w:val="clear" w:pos="360"/>
          <w:tab w:val="clear" w:pos="567"/>
          <w:tab w:val="clear" w:pos="2912"/>
        </w:tabs>
        <w:spacing w:line="240" w:lineRule="auto"/>
      </w:pPr>
      <w:r w:rsidRPr="00EE0850">
        <w:rPr>
          <w:rFonts w:eastAsia="MS Mincho"/>
        </w:rPr>
        <w:t xml:space="preserve">Further statements were made by representatives of </w:t>
      </w:r>
      <w:r w:rsidRPr="00EE0850">
        <w:t xml:space="preserve">the J. Craig Venter Institute, PRRI and Third World Network (on behalf of the Corporate Europe Observatory, </w:t>
      </w:r>
      <w:proofErr w:type="spellStart"/>
      <w:r w:rsidRPr="00EE0850">
        <w:t>EcoNexus</w:t>
      </w:r>
      <w:proofErr w:type="spellEnd"/>
      <w:r w:rsidRPr="00EE0850">
        <w:t>, ETC Group, Friends of the Earth International and Pro Natura).</w:t>
      </w:r>
    </w:p>
    <w:p w14:paraId="68AC12EB" w14:textId="06BD8AB7" w:rsidR="00475D73" w:rsidRPr="00EE0850" w:rsidRDefault="003905B1" w:rsidP="000C6220">
      <w:pPr>
        <w:pStyle w:val="Para1"/>
        <w:tabs>
          <w:tab w:val="clear" w:pos="360"/>
          <w:tab w:val="clear" w:pos="567"/>
          <w:tab w:val="clear" w:pos="2912"/>
        </w:tabs>
        <w:spacing w:line="240" w:lineRule="auto"/>
      </w:pPr>
      <w:r w:rsidRPr="00EE0850">
        <w:t>Following the exchange of views, the Chair established a group of friends of the Chair to continue discussion of the unresolved issues.</w:t>
      </w:r>
    </w:p>
    <w:p w14:paraId="2C5EAE3E" w14:textId="307F4328" w:rsidR="00A508F8" w:rsidRPr="00EE0850" w:rsidRDefault="00A508F8" w:rsidP="000C6220">
      <w:pPr>
        <w:pStyle w:val="Para1"/>
        <w:tabs>
          <w:tab w:val="clear" w:pos="360"/>
          <w:tab w:val="clear" w:pos="567"/>
          <w:tab w:val="clear" w:pos="2912"/>
        </w:tabs>
        <w:spacing w:line="240" w:lineRule="auto"/>
        <w:rPr>
          <w:szCs w:val="22"/>
        </w:rPr>
      </w:pPr>
      <w:r w:rsidRPr="00EE0850">
        <w:rPr>
          <w:szCs w:val="22"/>
        </w:rPr>
        <w:t>At its 12th meeting, on 28 November 2018, Working Group I considered a revised draft decision submitted by its Chair.</w:t>
      </w:r>
    </w:p>
    <w:p w14:paraId="474F5771" w14:textId="1D40239C" w:rsidR="00A508F8" w:rsidRPr="00EE0850" w:rsidRDefault="00A508F8" w:rsidP="000C6220">
      <w:pPr>
        <w:pStyle w:val="Para1"/>
        <w:tabs>
          <w:tab w:val="clear" w:pos="360"/>
          <w:tab w:val="clear" w:pos="567"/>
          <w:tab w:val="clear" w:pos="2912"/>
        </w:tabs>
        <w:spacing w:line="240" w:lineRule="auto"/>
        <w:rPr>
          <w:szCs w:val="22"/>
        </w:rPr>
      </w:pPr>
      <w:r w:rsidRPr="00EE0850">
        <w:rPr>
          <w:szCs w:val="22"/>
        </w:rPr>
        <w:t xml:space="preserve">Statements were made by representatives of </w:t>
      </w:r>
      <w:r w:rsidR="00780908" w:rsidRPr="00EE0850">
        <w:rPr>
          <w:szCs w:val="22"/>
        </w:rPr>
        <w:t xml:space="preserve">the </w:t>
      </w:r>
      <w:r w:rsidRPr="00EE0850">
        <w:rPr>
          <w:szCs w:val="22"/>
        </w:rPr>
        <w:t>European Union and its 28 member States and Switzerland.</w:t>
      </w:r>
    </w:p>
    <w:p w14:paraId="49DA5880" w14:textId="47861F53" w:rsidR="00A508F8" w:rsidRPr="00EE0850" w:rsidRDefault="00A508F8" w:rsidP="000C6220">
      <w:pPr>
        <w:pStyle w:val="Para1"/>
        <w:tabs>
          <w:tab w:val="clear" w:pos="360"/>
          <w:tab w:val="clear" w:pos="567"/>
          <w:tab w:val="clear" w:pos="2912"/>
        </w:tabs>
        <w:spacing w:line="240" w:lineRule="auto"/>
      </w:pPr>
      <w:r w:rsidRPr="00EE0850">
        <w:t>The Working Group approved the revised draft decision, as orally amended, for transmission to the</w:t>
      </w:r>
      <w:r w:rsidR="005866C2" w:rsidRPr="00EE0850">
        <w:t xml:space="preserve"> plenary as draft decision </w:t>
      </w:r>
      <w:r w:rsidR="00B8152A" w:rsidRPr="00EE0850">
        <w:rPr>
          <w:szCs w:val="22"/>
        </w:rPr>
        <w:t>CBD/NP/MOP/3/L.10</w:t>
      </w:r>
      <w:r w:rsidRPr="00EE0850">
        <w:rPr>
          <w:snapToGrid w:val="0"/>
          <w:kern w:val="22"/>
        </w:rPr>
        <w:t>.</w:t>
      </w:r>
    </w:p>
    <w:p w14:paraId="58820728" w14:textId="7D331097" w:rsidR="00475D73" w:rsidRPr="00EE0850" w:rsidRDefault="00C576FA" w:rsidP="000C6220">
      <w:pPr>
        <w:pStyle w:val="Para1"/>
        <w:tabs>
          <w:tab w:val="clear" w:pos="360"/>
          <w:tab w:val="clear" w:pos="567"/>
          <w:tab w:val="clear" w:pos="2912"/>
        </w:tabs>
        <w:spacing w:line="240" w:lineRule="auto"/>
      </w:pPr>
      <w:r w:rsidRPr="00EE0850">
        <w:t xml:space="preserve">At </w:t>
      </w:r>
      <w:r w:rsidR="00E91473" w:rsidRPr="00EE0850">
        <w:t>its</w:t>
      </w:r>
      <w:r w:rsidRPr="00EE0850">
        <w:t xml:space="preserve"> 8th plenary session, on 29 November 2018, the Conference of the Parties serving as the meeting of the Parties adopted, as corrected orally by the Secretariat, draft decision C</w:t>
      </w:r>
      <w:r w:rsidR="003D06C9" w:rsidRPr="00EE0850">
        <w:t>BD/NP/MOP/3/L.10 as decision NP</w:t>
      </w:r>
      <w:r w:rsidR="003D06C9" w:rsidRPr="00EE0850">
        <w:noBreakHyphen/>
      </w:r>
      <w:r w:rsidRPr="00EE0850">
        <w:t>3/11 (for the text, see chap.</w:t>
      </w:r>
      <w:r w:rsidR="0018411F" w:rsidRPr="00EE0850">
        <w:t> </w:t>
      </w:r>
      <w:r w:rsidRPr="00EE0850">
        <w:t>I)</w:t>
      </w:r>
      <w:r w:rsidR="003D06C9" w:rsidRPr="00EE0850">
        <w:t>.</w:t>
      </w:r>
    </w:p>
    <w:p w14:paraId="0F596F83" w14:textId="77777777" w:rsidR="00BD0496" w:rsidRPr="00EE0850" w:rsidRDefault="00BD0496" w:rsidP="000C6220">
      <w:pPr>
        <w:pStyle w:val="Heading1-item"/>
        <w:spacing w:before="120" w:line="240" w:lineRule="auto"/>
        <w:ind w:left="1843" w:hanging="1276"/>
        <w:jc w:val="left"/>
        <w:rPr>
          <w:lang w:eastAsia="en-CA"/>
        </w:rPr>
      </w:pPr>
      <w:bookmarkStart w:id="46" w:name="_Toc256233"/>
      <w:r w:rsidRPr="00EE0850">
        <w:rPr>
          <w:rFonts w:ascii="Times New Roman" w:hAnsi="Times New Roman" w:cs="Times New Roman"/>
        </w:rPr>
        <w:t>ITEM 1</w:t>
      </w:r>
      <w:r w:rsidR="00475D73" w:rsidRPr="00EE0850">
        <w:rPr>
          <w:rFonts w:ascii="Times New Roman" w:hAnsi="Times New Roman" w:cs="Times New Roman"/>
        </w:rPr>
        <w:t>6</w:t>
      </w:r>
      <w:r w:rsidRPr="00EE0850">
        <w:rPr>
          <w:rFonts w:ascii="Times New Roman" w:hAnsi="Times New Roman" w:cs="Times New Roman"/>
        </w:rPr>
        <w:t>.</w:t>
      </w:r>
      <w:r w:rsidRPr="00EE0850">
        <w:rPr>
          <w:rFonts w:ascii="Times New Roman" w:hAnsi="Times New Roman" w:cs="Times New Roman"/>
        </w:rPr>
        <w:tab/>
        <w:t xml:space="preserve">PREPARATION FOR </w:t>
      </w:r>
      <w:r w:rsidR="0099446C" w:rsidRPr="00EE0850">
        <w:rPr>
          <w:rFonts w:ascii="Times New Roman" w:hAnsi="Times New Roman" w:cs="Times New Roman"/>
        </w:rPr>
        <w:t xml:space="preserve">THE </w:t>
      </w:r>
      <w:r w:rsidRPr="00EE0850">
        <w:rPr>
          <w:rFonts w:ascii="Times New Roman" w:hAnsi="Times New Roman" w:cs="Times New Roman"/>
        </w:rPr>
        <w:t>FOLLOW</w:t>
      </w:r>
      <w:r w:rsidR="0099446C" w:rsidRPr="00EE0850">
        <w:rPr>
          <w:rFonts w:ascii="Times New Roman" w:hAnsi="Times New Roman" w:cs="Times New Roman"/>
        </w:rPr>
        <w:t>-</w:t>
      </w:r>
      <w:r w:rsidRPr="00EE0850">
        <w:rPr>
          <w:rFonts w:ascii="Times New Roman" w:hAnsi="Times New Roman" w:cs="Times New Roman"/>
        </w:rPr>
        <w:t>UP TO THE STRATEGIC PLAN</w:t>
      </w:r>
      <w:r w:rsidR="00A864A9" w:rsidRPr="00EE0850">
        <w:rPr>
          <w:rFonts w:ascii="Times New Roman" w:hAnsi="Times New Roman" w:cs="Times New Roman"/>
        </w:rPr>
        <w:t xml:space="preserve"> FOR BIODIVERSITY 2011-2020</w:t>
      </w:r>
      <w:bookmarkEnd w:id="46"/>
    </w:p>
    <w:p w14:paraId="7517B03B" w14:textId="2B107614" w:rsidR="000539B9" w:rsidRPr="00EE0850" w:rsidRDefault="00E02386" w:rsidP="000C6220">
      <w:pPr>
        <w:numPr>
          <w:ilvl w:val="0"/>
          <w:numId w:val="12"/>
        </w:numPr>
        <w:suppressLineNumbers/>
        <w:tabs>
          <w:tab w:val="clear" w:pos="360"/>
        </w:tabs>
        <w:suppressAutoHyphens/>
        <w:kinsoku w:val="0"/>
        <w:overflowPunct w:val="0"/>
        <w:autoSpaceDE w:val="0"/>
        <w:autoSpaceDN w:val="0"/>
        <w:snapToGrid w:val="0"/>
        <w:spacing w:before="120" w:line="240" w:lineRule="auto"/>
        <w:rPr>
          <w:rFonts w:eastAsia="Times New Roman"/>
          <w:snapToGrid w:val="0"/>
          <w:kern w:val="22"/>
          <w:szCs w:val="22"/>
          <w:lang w:eastAsia="en-CA"/>
        </w:rPr>
      </w:pPr>
      <w:bookmarkStart w:id="47" w:name="_Hlk530243594"/>
      <w:r w:rsidRPr="00EE0850">
        <w:t xml:space="preserve">Agenda item 16 was taken up at the </w:t>
      </w:r>
      <w:r w:rsidRPr="00EE0850">
        <w:rPr>
          <w:snapToGrid w:val="0"/>
        </w:rPr>
        <w:t xml:space="preserve">3rd </w:t>
      </w:r>
      <w:r w:rsidRPr="00EE0850">
        <w:t xml:space="preserve">plenary session of the meeting, on </w:t>
      </w:r>
      <w:r w:rsidRPr="00EE0850">
        <w:rPr>
          <w:snapToGrid w:val="0"/>
        </w:rPr>
        <w:t>20 November 2018</w:t>
      </w:r>
      <w:r w:rsidR="00BE2476" w:rsidRPr="00EE0850">
        <w:rPr>
          <w:snapToGrid w:val="0"/>
        </w:rPr>
        <w:t>,</w:t>
      </w:r>
      <w:r w:rsidRPr="00EE0850">
        <w:rPr>
          <w:snapToGrid w:val="0"/>
        </w:rPr>
        <w:t xml:space="preserve"> in conjunction with agenda item 17 of the Conference of the Parties and agenda item 14 </w:t>
      </w:r>
      <w:r w:rsidR="0057583C" w:rsidRPr="00EE0850">
        <w:rPr>
          <w:snapToGrid w:val="0"/>
        </w:rPr>
        <w:t xml:space="preserve">of </w:t>
      </w:r>
      <w:r w:rsidRPr="00EE0850">
        <w:rPr>
          <w:snapToGrid w:val="0"/>
        </w:rPr>
        <w:t xml:space="preserve">the </w:t>
      </w:r>
      <w:r w:rsidRPr="00EE0850">
        <w:t xml:space="preserve">Conference of the Parties serving as the </w:t>
      </w:r>
      <w:r w:rsidRPr="00EE0850">
        <w:rPr>
          <w:snapToGrid w:val="0"/>
        </w:rPr>
        <w:t>meeting of the Parties to the Cartagena Protocol</w:t>
      </w:r>
      <w:r w:rsidRPr="00EE0850">
        <w:t xml:space="preserve">. </w:t>
      </w:r>
      <w:bookmarkEnd w:id="47"/>
      <w:r w:rsidRPr="00EE0850">
        <w:t xml:space="preserve">In considering the item, the Conference of the Parties serving as the meeting of the Parties </w:t>
      </w:r>
      <w:r w:rsidR="00AC3581" w:rsidRPr="00EE0850">
        <w:t xml:space="preserve">to the Nagoya Protocol </w:t>
      </w:r>
      <w:r w:rsidRPr="00EE0850">
        <w:t xml:space="preserve">had before </w:t>
      </w:r>
      <w:r w:rsidR="00B8152A" w:rsidRPr="00EE0850">
        <w:t xml:space="preserve">it </w:t>
      </w:r>
      <w:r w:rsidRPr="00EE0850">
        <w:rPr>
          <w:snapToGrid w:val="0"/>
        </w:rPr>
        <w:t xml:space="preserve">a draft decision based on </w:t>
      </w:r>
      <w:r w:rsidRPr="00EE0850">
        <w:rPr>
          <w:rFonts w:eastAsia="Times New Roman"/>
          <w:snapToGrid w:val="0"/>
          <w:kern w:val="22"/>
          <w:szCs w:val="22"/>
          <w:lang w:eastAsia="en-CA"/>
        </w:rPr>
        <w:t xml:space="preserve">recommendation SBI-2/19 and the relevant recommendations from the Compliance Committee, set out in </w:t>
      </w:r>
      <w:r w:rsidRPr="00EE0850">
        <w:rPr>
          <w:rFonts w:eastAsia="Times New Roman"/>
          <w:snapToGrid w:val="0"/>
          <w:kern w:val="22"/>
        </w:rPr>
        <w:t xml:space="preserve">the </w:t>
      </w:r>
      <w:r w:rsidRPr="00EE0850">
        <w:rPr>
          <w:snapToGrid w:val="0"/>
          <w:kern w:val="22"/>
        </w:rPr>
        <w:t>compilation of draft decisions (CBD/NP/MOP/3/1/Add.2)</w:t>
      </w:r>
      <w:r w:rsidR="0018350F" w:rsidRPr="00EE0850">
        <w:rPr>
          <w:rFonts w:eastAsia="Times New Roman"/>
          <w:snapToGrid w:val="0"/>
          <w:kern w:val="22"/>
          <w:szCs w:val="22"/>
          <w:lang w:eastAsia="en-CA"/>
        </w:rPr>
        <w:t>.</w:t>
      </w:r>
    </w:p>
    <w:p w14:paraId="28D0B7C1" w14:textId="1C6E3DA2" w:rsidR="009134BF" w:rsidRPr="00EE0850" w:rsidRDefault="009134BF" w:rsidP="000C6220">
      <w:pPr>
        <w:pStyle w:val="Para1"/>
        <w:tabs>
          <w:tab w:val="clear" w:pos="360"/>
          <w:tab w:val="clear" w:pos="567"/>
          <w:tab w:val="clear" w:pos="2912"/>
        </w:tabs>
        <w:spacing w:line="240" w:lineRule="auto"/>
      </w:pPr>
      <w:r w:rsidRPr="00EE0850">
        <w:rPr>
          <w:rFonts w:eastAsia="MS Mincho"/>
          <w:snapToGrid w:val="0"/>
          <w:kern w:val="22"/>
        </w:rPr>
        <w:t xml:space="preserve">Statements were made by representatives of </w:t>
      </w:r>
      <w:r w:rsidRPr="00EE0850">
        <w:t xml:space="preserve">Antigua and Barbuda, Argentina, Botswana, Burkina Faso, Cambodia, Cameroon, China, Côte d’Ivoire, Cuba (on behalf of </w:t>
      </w:r>
      <w:r w:rsidR="00805C24" w:rsidRPr="00EE0850">
        <w:t xml:space="preserve">the </w:t>
      </w:r>
      <w:r w:rsidRPr="00EE0850">
        <w:t xml:space="preserve">small island developing States), Dominican Republic, Ecuador, Egypt, Ethiopia, </w:t>
      </w:r>
      <w:r w:rsidR="0056201C" w:rsidRPr="00EE0850">
        <w:t xml:space="preserve">the </w:t>
      </w:r>
      <w:r w:rsidRPr="00EE0850">
        <w:t xml:space="preserve">European Union and its 28 member States, Gabon, India, Japan, Kenya, Malawi, Mexico, Norway, Palau (on behalf of the Pacific island countries), Panama, Philippines, South Africa (on behalf of the African Group), Saint Kitts and Nevis (on behalf of the Latin American and Caribbean </w:t>
      </w:r>
      <w:r w:rsidR="00F1612C" w:rsidRPr="00EE0850">
        <w:t>Group</w:t>
      </w:r>
      <w:r w:rsidRPr="00EE0850">
        <w:t xml:space="preserve">), Sudan, Switzerland, Uganda, </w:t>
      </w:r>
      <w:r w:rsidR="00805C24" w:rsidRPr="00EE0850">
        <w:t xml:space="preserve">the </w:t>
      </w:r>
      <w:r w:rsidRPr="00EE0850">
        <w:t>United Republic of Tanzania, Uruguay and Venezuela (Bolivarian Republic of).</w:t>
      </w:r>
    </w:p>
    <w:p w14:paraId="6A262560" w14:textId="77777777" w:rsidR="009134BF" w:rsidRPr="00EE0850" w:rsidRDefault="009134BF" w:rsidP="000C6220">
      <w:pPr>
        <w:pStyle w:val="Para1"/>
        <w:tabs>
          <w:tab w:val="clear" w:pos="360"/>
          <w:tab w:val="clear" w:pos="567"/>
          <w:tab w:val="clear" w:pos="2912"/>
        </w:tabs>
        <w:spacing w:line="240" w:lineRule="auto"/>
        <w:rPr>
          <w:rFonts w:eastAsia="MS Mincho"/>
          <w:snapToGrid w:val="0"/>
          <w:kern w:val="22"/>
        </w:rPr>
      </w:pPr>
      <w:r w:rsidRPr="00EE0850">
        <w:t xml:space="preserve">Statements were also made by representatives of Algeria, Bangladesh, Bosnia and Herzegovina, Canada, Colombia (on behalf of the </w:t>
      </w:r>
      <w:r w:rsidR="005D6687" w:rsidRPr="00EE0850">
        <w:t xml:space="preserve">Group of </w:t>
      </w:r>
      <w:r w:rsidRPr="00EE0850">
        <w:t>Like-minded Megadiverse Countries), Costa Rica, Iraq, Jamaica, Morocco, Nepal, New Zealand and Turkey.</w:t>
      </w:r>
    </w:p>
    <w:p w14:paraId="5474D1E7" w14:textId="318EB59B" w:rsidR="009134BF" w:rsidRPr="00EE0850" w:rsidRDefault="009134BF" w:rsidP="000C6220">
      <w:pPr>
        <w:pStyle w:val="Para1"/>
        <w:tabs>
          <w:tab w:val="clear" w:pos="360"/>
          <w:tab w:val="clear" w:pos="567"/>
          <w:tab w:val="clear" w:pos="2912"/>
        </w:tabs>
        <w:spacing w:line="240" w:lineRule="auto"/>
      </w:pPr>
      <w:r w:rsidRPr="00EE0850">
        <w:t xml:space="preserve">Additional statements were made by representatives of the Food and Agriculture Organization of the United Nations (FAO) (on behalf of the International Treaty on Plant and Genetic Resources for Food and Agriculture), </w:t>
      </w:r>
      <w:r w:rsidR="006A2A26" w:rsidRPr="00EE0850">
        <w:t xml:space="preserve">the </w:t>
      </w:r>
      <w:r w:rsidRPr="00EE0850">
        <w:t>United Nations Entity for Gender Equality and the Empowerment of Women (UN</w:t>
      </w:r>
      <w:r w:rsidRPr="00EE0850">
        <w:noBreakHyphen/>
        <w:t>Women) and the secretariat of the Convention on International Trade in Endangered Species of Wild Fauna and Flora (CITES) (on behalf of the Liaison Group of Biodiversity-related Conventions).</w:t>
      </w:r>
    </w:p>
    <w:p w14:paraId="20A578B1" w14:textId="4AD9DB11" w:rsidR="009134BF" w:rsidRPr="00EE0850" w:rsidRDefault="009134BF" w:rsidP="000C6220">
      <w:pPr>
        <w:pStyle w:val="Para1"/>
        <w:tabs>
          <w:tab w:val="clear" w:pos="360"/>
          <w:tab w:val="clear" w:pos="567"/>
          <w:tab w:val="clear" w:pos="2912"/>
        </w:tabs>
        <w:spacing w:line="240" w:lineRule="auto"/>
      </w:pPr>
      <w:r w:rsidRPr="00EE0850">
        <w:t xml:space="preserve">Further statements were made by representatives of </w:t>
      </w:r>
      <w:proofErr w:type="spellStart"/>
      <w:r w:rsidRPr="00EE0850">
        <w:rPr>
          <w:szCs w:val="22"/>
        </w:rPr>
        <w:t>BirdLife</w:t>
      </w:r>
      <w:proofErr w:type="spellEnd"/>
      <w:r w:rsidRPr="00EE0850">
        <w:rPr>
          <w:szCs w:val="22"/>
        </w:rPr>
        <w:t xml:space="preserve"> International (also on behalf of Conservation International, GYBN, the International Fund for Animal Welfare (IFAW), Rare, the Royal Society for the Protection of Birds (RSPB), The Nature Conservancy, The Pew Charitable Trusts and WWF), Friends of the Earth International (also on behalf of </w:t>
      </w:r>
      <w:proofErr w:type="spellStart"/>
      <w:r w:rsidRPr="00EE0850">
        <w:rPr>
          <w:szCs w:val="22"/>
        </w:rPr>
        <w:t>EcoNexus</w:t>
      </w:r>
      <w:proofErr w:type="spellEnd"/>
      <w:r w:rsidRPr="00EE0850">
        <w:rPr>
          <w:szCs w:val="22"/>
        </w:rPr>
        <w:t xml:space="preserve">, the European Network for Ecological Reflection and Action (ECOROPA), Forests of the World, </w:t>
      </w:r>
      <w:r w:rsidRPr="00EE0850">
        <w:rPr>
          <w:rFonts w:eastAsia="Times New Roman"/>
          <w:bCs/>
          <w:szCs w:val="22"/>
          <w:shd w:val="clear" w:color="auto" w:fill="FFFFFF"/>
          <w:lang w:val="es-ES"/>
        </w:rPr>
        <w:t>Fundación</w:t>
      </w:r>
      <w:r w:rsidRPr="00EE0850">
        <w:rPr>
          <w:rFonts w:eastAsia="Times New Roman"/>
          <w:szCs w:val="22"/>
          <w:shd w:val="clear" w:color="auto" w:fill="FFFFFF"/>
          <w:lang w:val="es-ES"/>
        </w:rPr>
        <w:t xml:space="preserve"> Ambiente y </w:t>
      </w:r>
      <w:r w:rsidRPr="00EE0850">
        <w:rPr>
          <w:rFonts w:eastAsia="Times New Roman"/>
          <w:bCs/>
          <w:szCs w:val="22"/>
          <w:shd w:val="clear" w:color="auto" w:fill="FFFFFF"/>
          <w:lang w:val="es-ES"/>
        </w:rPr>
        <w:t>Recursos Naturales</w:t>
      </w:r>
      <w:r w:rsidRPr="00EE0850">
        <w:rPr>
          <w:rFonts w:eastAsia="Times New Roman"/>
          <w:bCs/>
          <w:szCs w:val="22"/>
          <w:shd w:val="clear" w:color="auto" w:fill="FFFFFF"/>
        </w:rPr>
        <w:t xml:space="preserve"> (FARN)</w:t>
      </w:r>
      <w:r w:rsidRPr="00EE0850">
        <w:rPr>
          <w:rFonts w:eastAsia="Times New Roman"/>
          <w:bCs/>
          <w:color w:val="6A6A6A"/>
          <w:szCs w:val="22"/>
          <w:shd w:val="clear" w:color="auto" w:fill="FFFFFF"/>
        </w:rPr>
        <w:t xml:space="preserve"> </w:t>
      </w:r>
      <w:r w:rsidRPr="00EE0850">
        <w:rPr>
          <w:rFonts w:eastAsia="Times New Roman"/>
          <w:szCs w:val="22"/>
        </w:rPr>
        <w:t xml:space="preserve">and </w:t>
      </w:r>
      <w:r w:rsidRPr="00EE0850">
        <w:rPr>
          <w:szCs w:val="22"/>
        </w:rPr>
        <w:t>the Global Forest Coalition), the Group on Earth Observations Biodiversity Observation Network (GEO BON), GYBN, the International Committee for Food Sovereignty, IIFB, the International Union for Conservation of Nature (IUCN), the United Nations University Institute for the Advanced Study of Sustainability (UNU</w:t>
      </w:r>
      <w:r w:rsidRPr="00EE0850">
        <w:rPr>
          <w:szCs w:val="22"/>
        </w:rPr>
        <w:noBreakHyphen/>
        <w:t>IAS), and WWF</w:t>
      </w:r>
      <w:r w:rsidRPr="00EE0850">
        <w:t>.</w:t>
      </w:r>
    </w:p>
    <w:p w14:paraId="0713D5C0" w14:textId="22B5FA43" w:rsidR="00427165" w:rsidRPr="00EE0850" w:rsidRDefault="00427165" w:rsidP="000C6220">
      <w:pPr>
        <w:pStyle w:val="Para1"/>
        <w:tabs>
          <w:tab w:val="clear" w:pos="360"/>
          <w:tab w:val="clear" w:pos="567"/>
          <w:tab w:val="clear" w:pos="2912"/>
        </w:tabs>
        <w:spacing w:line="240" w:lineRule="auto"/>
      </w:pPr>
      <w:r w:rsidRPr="00EE0850">
        <w:t xml:space="preserve">Based on the views expressed, the Conference of the Parties serving as the meeting of the Parties </w:t>
      </w:r>
      <w:r w:rsidR="009E103E" w:rsidRPr="00EE0850">
        <w:t xml:space="preserve">to the Nagoya Protocol </w:t>
      </w:r>
      <w:r w:rsidRPr="00EE0850">
        <w:t xml:space="preserve">agreed to establish a contact group, chaired by Ms. </w:t>
      </w:r>
      <w:r w:rsidRPr="00EE0850">
        <w:rPr>
          <w:noProof/>
        </w:rPr>
        <w:t>Charlotta</w:t>
      </w:r>
      <w:r w:rsidRPr="00EE0850">
        <w:t xml:space="preserve"> </w:t>
      </w:r>
      <w:r w:rsidRPr="00EE0850">
        <w:rPr>
          <w:noProof/>
        </w:rPr>
        <w:t>Sörqvist</w:t>
      </w:r>
      <w:r w:rsidRPr="00EE0850">
        <w:t xml:space="preserve"> (Sweden), to discuss the preparatory process for the post-2020 global biodiversity framework.</w:t>
      </w:r>
    </w:p>
    <w:p w14:paraId="1EFBEA1D" w14:textId="3A4EA313" w:rsidR="00427165" w:rsidRPr="00EE0850" w:rsidRDefault="00427165" w:rsidP="000C6220">
      <w:pPr>
        <w:pStyle w:val="Para1"/>
        <w:tabs>
          <w:tab w:val="clear" w:pos="360"/>
          <w:tab w:val="clear" w:pos="567"/>
          <w:tab w:val="clear" w:pos="2912"/>
        </w:tabs>
        <w:spacing w:line="240" w:lineRule="auto"/>
      </w:pPr>
      <w:r w:rsidRPr="00EE0850">
        <w:t>At the 4th plenary session of the meeting, on 22 November 2018, the chair of the contact group reported on the progress made.</w:t>
      </w:r>
    </w:p>
    <w:p w14:paraId="41511953" w14:textId="75D2D55C" w:rsidR="00427165" w:rsidRPr="00EE0850" w:rsidRDefault="00427165" w:rsidP="000C6220">
      <w:pPr>
        <w:pStyle w:val="Para1"/>
        <w:tabs>
          <w:tab w:val="clear" w:pos="360"/>
          <w:tab w:val="clear" w:pos="567"/>
          <w:tab w:val="clear" w:pos="2912"/>
        </w:tabs>
        <w:spacing w:line="240" w:lineRule="auto"/>
        <w:rPr>
          <w:color w:val="000000"/>
        </w:rPr>
      </w:pPr>
      <w:r w:rsidRPr="00EE0850">
        <w:t xml:space="preserve">At the 5th plenary session of the meeting, on 25 November 2018, the Conference of the Parties serving as the meeting of the Parties </w:t>
      </w:r>
      <w:r w:rsidR="00B80A2F" w:rsidRPr="00EE0850">
        <w:t xml:space="preserve">to the Nagoya Protocol </w:t>
      </w:r>
      <w:r w:rsidRPr="00EE0850">
        <w:t>heard another report by the chair of the contact group.</w:t>
      </w:r>
    </w:p>
    <w:p w14:paraId="5F45673B" w14:textId="7EF0D6F1" w:rsidR="00427165" w:rsidRPr="00EE0850" w:rsidRDefault="00427165" w:rsidP="000C6220">
      <w:pPr>
        <w:pStyle w:val="Para1"/>
        <w:tabs>
          <w:tab w:val="clear" w:pos="360"/>
          <w:tab w:val="clear" w:pos="567"/>
          <w:tab w:val="clear" w:pos="2912"/>
        </w:tabs>
        <w:spacing w:line="240" w:lineRule="auto"/>
        <w:rPr>
          <w:color w:val="000000"/>
        </w:rPr>
      </w:pPr>
      <w:bookmarkStart w:id="48" w:name="_Hlk532983213"/>
      <w:r w:rsidRPr="00EE0850">
        <w:t xml:space="preserve">The representative of Norway informed the Conference of the Parties serving as the meeting of the Parties </w:t>
      </w:r>
      <w:r w:rsidR="001A220B" w:rsidRPr="00EE0850">
        <w:t xml:space="preserve">to the Nagoya Protocol </w:t>
      </w:r>
      <w:r w:rsidRPr="00EE0850">
        <w:t>that, subject to parliamentary approval, Norway would donate $350,000 for regional workshops in Africa, the Latin America</w:t>
      </w:r>
      <w:r w:rsidR="000F7ED6" w:rsidRPr="00EE0850">
        <w:t>n</w:t>
      </w:r>
      <w:r w:rsidRPr="00EE0850">
        <w:t xml:space="preserve"> and Caribbean region and the Asian and Pacific region as its contribution to further discussion on the post-2020 framework. He also said that Norway would provide travel support to delegates from developing </w:t>
      </w:r>
      <w:r w:rsidR="00FD3AC5" w:rsidRPr="00EE0850">
        <w:t xml:space="preserve">countries </w:t>
      </w:r>
      <w:r w:rsidRPr="00EE0850">
        <w:t>attending the ninth Trondheim Conference on Biodiversity, to be held in July 2019.</w:t>
      </w:r>
    </w:p>
    <w:bookmarkEnd w:id="48"/>
    <w:p w14:paraId="049639B9" w14:textId="431EFE38" w:rsidR="00961BBA" w:rsidRPr="00EE0850" w:rsidRDefault="00961BBA" w:rsidP="000C6220">
      <w:pPr>
        <w:pStyle w:val="Para1"/>
        <w:tabs>
          <w:tab w:val="clear" w:pos="360"/>
          <w:tab w:val="clear" w:pos="567"/>
          <w:tab w:val="clear" w:pos="2912"/>
        </w:tabs>
        <w:spacing w:line="240" w:lineRule="auto"/>
      </w:pPr>
      <w:r w:rsidRPr="00EE0850">
        <w:t xml:space="preserve">At the 6th plenary session of the meeting, on 28 November 2018, the Conference of the Parties serving as the meeting of the Parties </w:t>
      </w:r>
      <w:r w:rsidR="002E4C08" w:rsidRPr="00EE0850">
        <w:t xml:space="preserve">to the Nagoya Protocol </w:t>
      </w:r>
      <w:r w:rsidRPr="00EE0850">
        <w:t>resumed consideration of the draft decision</w:t>
      </w:r>
      <w:r w:rsidR="00292E93" w:rsidRPr="00EE0850">
        <w:t xml:space="preserve"> on the matter</w:t>
      </w:r>
      <w:r w:rsidRPr="00EE0850">
        <w:t>.</w:t>
      </w:r>
    </w:p>
    <w:p w14:paraId="12312848" w14:textId="7872C4E6" w:rsidR="00961BBA" w:rsidRPr="00EE0850" w:rsidRDefault="00961BBA" w:rsidP="000C6220">
      <w:pPr>
        <w:pStyle w:val="Para1"/>
        <w:tabs>
          <w:tab w:val="clear" w:pos="360"/>
          <w:tab w:val="clear" w:pos="567"/>
          <w:tab w:val="clear" w:pos="2912"/>
        </w:tabs>
        <w:spacing w:line="240" w:lineRule="auto"/>
      </w:pPr>
      <w:r w:rsidRPr="00EE0850">
        <w:t xml:space="preserve">Statements were made by representatives of Argentina, </w:t>
      </w:r>
      <w:r w:rsidR="0056201C" w:rsidRPr="00EE0850">
        <w:t xml:space="preserve">the </w:t>
      </w:r>
      <w:r w:rsidRPr="00EE0850">
        <w:t>European Union</w:t>
      </w:r>
      <w:r w:rsidR="00045453" w:rsidRPr="00EE0850">
        <w:t xml:space="preserve"> and its 28 member States</w:t>
      </w:r>
      <w:r w:rsidRPr="00EE0850">
        <w:t>, Gabon, Japan, Mexico, Peru, South Africa and Switzerland.</w:t>
      </w:r>
    </w:p>
    <w:p w14:paraId="02E2FCDF" w14:textId="65F89461" w:rsidR="00C576FA" w:rsidRPr="00EE0850" w:rsidRDefault="00C576FA" w:rsidP="000C6220">
      <w:pPr>
        <w:pStyle w:val="Para1"/>
        <w:tabs>
          <w:tab w:val="clear" w:pos="360"/>
          <w:tab w:val="clear" w:pos="567"/>
          <w:tab w:val="clear" w:pos="2912"/>
        </w:tabs>
        <w:spacing w:line="240" w:lineRule="auto"/>
      </w:pPr>
      <w:r w:rsidRPr="00EE0850">
        <w:t xml:space="preserve">Subsequently, at the 8th plenary session, on 29 November 2018, the Conference of the Parties serving as the meeting of the Parties </w:t>
      </w:r>
      <w:r w:rsidR="00ED13EC" w:rsidRPr="00EE0850">
        <w:t xml:space="preserve">to the Nagoya Protocol </w:t>
      </w:r>
      <w:r w:rsidRPr="00EE0850">
        <w:t>took up a revised version of the draft decision, presented as draft decision CBD/NP/MOP/3/L.12.</w:t>
      </w:r>
    </w:p>
    <w:p w14:paraId="590B98A7" w14:textId="77777777" w:rsidR="00C576FA" w:rsidRPr="00EE0850" w:rsidRDefault="00C576FA" w:rsidP="000C6220">
      <w:pPr>
        <w:pStyle w:val="Para1"/>
        <w:tabs>
          <w:tab w:val="clear" w:pos="360"/>
          <w:tab w:val="clear" w:pos="567"/>
          <w:tab w:val="clear" w:pos="2912"/>
        </w:tabs>
        <w:spacing w:line="240" w:lineRule="auto"/>
      </w:pPr>
      <w:r w:rsidRPr="00EE0850">
        <w:t>Statements were made by representatives of the European Union and its 28 member States and Mexico.</w:t>
      </w:r>
    </w:p>
    <w:p w14:paraId="2CEC2DDE" w14:textId="478F80E8" w:rsidR="009134BF" w:rsidRPr="00EE0850" w:rsidRDefault="00C576FA" w:rsidP="000C6220">
      <w:pPr>
        <w:pStyle w:val="Para1"/>
        <w:tabs>
          <w:tab w:val="clear" w:pos="360"/>
          <w:tab w:val="clear" w:pos="567"/>
          <w:tab w:val="clear" w:pos="2912"/>
        </w:tabs>
        <w:spacing w:line="240" w:lineRule="auto"/>
      </w:pPr>
      <w:r w:rsidRPr="00EE0850">
        <w:t xml:space="preserve">The Conference of the Parties serving as the meeting of the Parties </w:t>
      </w:r>
      <w:r w:rsidR="004C090E" w:rsidRPr="00EE0850">
        <w:t xml:space="preserve">to the Nagoya Protocol </w:t>
      </w:r>
      <w:r w:rsidRPr="00EE0850">
        <w:t>adopted the draft decision, as orally amended, as decision NP-3/15 (for the text, see chap.</w:t>
      </w:r>
      <w:r w:rsidR="008D4CFC" w:rsidRPr="00EE0850">
        <w:t> </w:t>
      </w:r>
      <w:r w:rsidRPr="00EE0850">
        <w:t>I).</w:t>
      </w:r>
    </w:p>
    <w:p w14:paraId="7BA8570A" w14:textId="77777777" w:rsidR="00475D73" w:rsidRPr="00EE0850" w:rsidRDefault="00475D73" w:rsidP="000C6220">
      <w:pPr>
        <w:pStyle w:val="Heading1-item"/>
        <w:tabs>
          <w:tab w:val="left" w:pos="1134"/>
        </w:tabs>
        <w:spacing w:before="120" w:line="240" w:lineRule="auto"/>
        <w:ind w:right="0"/>
      </w:pPr>
      <w:bookmarkStart w:id="49" w:name="_Toc256234"/>
      <w:r w:rsidRPr="00EE0850">
        <w:rPr>
          <w:rFonts w:ascii="Times New Roman" w:hAnsi="Times New Roman" w:cs="Times New Roman"/>
        </w:rPr>
        <w:t>ITEM 17.</w:t>
      </w:r>
      <w:r w:rsidRPr="00EE0850">
        <w:rPr>
          <w:rFonts w:ascii="Times New Roman" w:hAnsi="Times New Roman" w:cs="Times New Roman"/>
        </w:rPr>
        <w:tab/>
        <w:t>Digital sequence information on genetic resources</w:t>
      </w:r>
      <w:bookmarkEnd w:id="49"/>
    </w:p>
    <w:p w14:paraId="04202016" w14:textId="63F0647D" w:rsidR="002437E5" w:rsidRPr="00EE0850" w:rsidRDefault="00427165" w:rsidP="000C6220">
      <w:pPr>
        <w:pStyle w:val="Para1"/>
        <w:tabs>
          <w:tab w:val="clear" w:pos="360"/>
          <w:tab w:val="clear" w:pos="567"/>
          <w:tab w:val="clear" w:pos="2912"/>
        </w:tabs>
        <w:spacing w:line="240" w:lineRule="auto"/>
        <w:rPr>
          <w:szCs w:val="22"/>
        </w:rPr>
      </w:pPr>
      <w:r w:rsidRPr="00EE0850">
        <w:rPr>
          <w:szCs w:val="22"/>
        </w:rPr>
        <w:t>Working Group I took up agenda item 17 at its 2nd meeting, on 18 November 2018 in conjunction with agenda item 18 of the Conference of the Parties. In considering the item, the Working Group</w:t>
      </w:r>
      <w:r w:rsidR="008D087C" w:rsidRPr="00EE0850">
        <w:rPr>
          <w:szCs w:val="22"/>
        </w:rPr>
        <w:t xml:space="preserve"> had before it a draft decision based on recommendation SBSTTA-22/1, set out in the compilation of draft decisions (CBD/NP/MOP/3/1/Add.2). The following documents were also made available for the information of the meeting of the Parties: </w:t>
      </w:r>
      <w:r w:rsidRPr="00EE0850">
        <w:rPr>
          <w:szCs w:val="22"/>
        </w:rPr>
        <w:t>a synthesis of views and information on the potential implications of the use of digital sequence information on genetic resources for the three objectives of the Convention and the objective of the Nagoya Protocol (CBD/DSI/AHTEG/2018/1/2); case studies and examples of the use of digital sequence information in relation to the objectives of the Convention and the Nagoya Protocol (CBD/DSI/AHTEG/2018/1/2/Add.1); digital sequence information on genetic resources in relevant ongoing international processes and policy debates (CBD/DSI/AHTEG/2018/1/2/Add.2); a fact-finding and scoping study on digital sequence information on genetic resources in the context of the Convention on Biological Diversity and the Nagoya Protocol (CBD/DSI/AHTEG/2018/1/3); and a submission from the secretariat of the Commission on Genetic Resources for Food and Agriculture (CBD/COP/14/INF/29).</w:t>
      </w:r>
    </w:p>
    <w:p w14:paraId="5F7B8C6F" w14:textId="1E4C473A"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Statements were made by representatives of Argentina, Belarus, Bolivia (</w:t>
      </w:r>
      <w:proofErr w:type="spellStart"/>
      <w:r w:rsidRPr="00EE0850">
        <w:rPr>
          <w:szCs w:val="22"/>
        </w:rPr>
        <w:t>Plurinational</w:t>
      </w:r>
      <w:proofErr w:type="spellEnd"/>
      <w:r w:rsidRPr="00EE0850">
        <w:rPr>
          <w:szCs w:val="22"/>
        </w:rPr>
        <w:t xml:space="preserve"> State of), Botswana, Cameroon, China, </w:t>
      </w:r>
      <w:r w:rsidR="00B70C13" w:rsidRPr="00EE0850">
        <w:rPr>
          <w:szCs w:val="22"/>
        </w:rPr>
        <w:t xml:space="preserve">the </w:t>
      </w:r>
      <w:r w:rsidRPr="00EE0850">
        <w:rPr>
          <w:szCs w:val="22"/>
        </w:rPr>
        <w:t xml:space="preserve">Dominican Republic, Ecuador, Ethiopia, </w:t>
      </w:r>
      <w:r w:rsidR="0056201C" w:rsidRPr="00EE0850">
        <w:rPr>
          <w:szCs w:val="22"/>
        </w:rPr>
        <w:t xml:space="preserve">the </w:t>
      </w:r>
      <w:r w:rsidRPr="00EE0850">
        <w:rPr>
          <w:szCs w:val="22"/>
        </w:rPr>
        <w:t xml:space="preserve">European Union and its 28 member States, Guatemala, Guinea-Bissau, India, Indonesia, Japan, Jordan, Kenya, Madagascar, Malawi (on behalf of the African Group), Malaysia, Mexico, Norway, Peru, </w:t>
      </w:r>
      <w:r w:rsidR="009276AD" w:rsidRPr="00EE0850">
        <w:rPr>
          <w:szCs w:val="22"/>
        </w:rPr>
        <w:t xml:space="preserve">the </w:t>
      </w:r>
      <w:r w:rsidRPr="00EE0850">
        <w:rPr>
          <w:szCs w:val="22"/>
        </w:rPr>
        <w:t xml:space="preserve">Philippines, </w:t>
      </w:r>
      <w:r w:rsidR="009276AD" w:rsidRPr="00EE0850">
        <w:rPr>
          <w:szCs w:val="22"/>
        </w:rPr>
        <w:t xml:space="preserve">the </w:t>
      </w:r>
      <w:r w:rsidRPr="00EE0850">
        <w:rPr>
          <w:szCs w:val="22"/>
        </w:rPr>
        <w:t xml:space="preserve">Republic of Korea, Senegal, South Africa, Sudan, Switzerland, Togo, Uganda, </w:t>
      </w:r>
      <w:r w:rsidR="0089693E" w:rsidRPr="00EE0850">
        <w:rPr>
          <w:szCs w:val="22"/>
        </w:rPr>
        <w:t xml:space="preserve">the </w:t>
      </w:r>
      <w:r w:rsidRPr="00EE0850">
        <w:rPr>
          <w:szCs w:val="22"/>
        </w:rPr>
        <w:t>United Republic of Tanzania, Uruguay and Venezuela (Bolivarian Republic of).</w:t>
      </w:r>
    </w:p>
    <w:p w14:paraId="21C7711E"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Statements were also made by representatives of Brazil (on behalf of the </w:t>
      </w:r>
      <w:r w:rsidR="005D6687" w:rsidRPr="00EE0850">
        <w:rPr>
          <w:szCs w:val="22"/>
        </w:rPr>
        <w:t xml:space="preserve">Group of </w:t>
      </w:r>
      <w:r w:rsidRPr="00EE0850">
        <w:rPr>
          <w:szCs w:val="22"/>
        </w:rPr>
        <w:t>Like-minded Megadiverse Countries), Canada, Colombia, Costa Rica, Morocco, New Zealand, Thailand and Turkey.</w:t>
      </w:r>
    </w:p>
    <w:p w14:paraId="7B4B49DC" w14:textId="298A3CE9"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Further statements were made by representatives of the African Union, </w:t>
      </w:r>
      <w:r w:rsidR="004C4689" w:rsidRPr="00EE0850">
        <w:rPr>
          <w:szCs w:val="22"/>
        </w:rPr>
        <w:t xml:space="preserve">the </w:t>
      </w:r>
      <w:r w:rsidR="004C4689" w:rsidRPr="00EE0850">
        <w:rPr>
          <w:rStyle w:val="preferred"/>
          <w:szCs w:val="22"/>
        </w:rPr>
        <w:t>Division for Ocean Affairs and the Law of the Sea</w:t>
      </w:r>
      <w:r w:rsidR="00BE2E09" w:rsidRPr="00EE0850">
        <w:rPr>
          <w:rStyle w:val="preferred"/>
          <w:szCs w:val="22"/>
        </w:rPr>
        <w:t xml:space="preserve"> of the United Nations Office of Legal Affairs</w:t>
      </w:r>
      <w:r w:rsidRPr="00EE0850">
        <w:rPr>
          <w:szCs w:val="22"/>
        </w:rPr>
        <w:t>,</w:t>
      </w:r>
      <w:r w:rsidRPr="00EE0850">
        <w:rPr>
          <w:szCs w:val="22"/>
          <w:shd w:val="clear" w:color="auto" w:fill="FFFFFF"/>
        </w:rPr>
        <w:t xml:space="preserve"> WHO and WIPO.</w:t>
      </w:r>
    </w:p>
    <w:p w14:paraId="125D8572" w14:textId="77777777" w:rsidR="002437E5" w:rsidRPr="00EE0850" w:rsidRDefault="002437E5" w:rsidP="000C6220">
      <w:pPr>
        <w:pStyle w:val="Para1"/>
        <w:tabs>
          <w:tab w:val="clear" w:pos="360"/>
          <w:tab w:val="clear" w:pos="567"/>
          <w:tab w:val="clear" w:pos="2912"/>
        </w:tabs>
        <w:spacing w:line="240" w:lineRule="auto"/>
        <w:rPr>
          <w:szCs w:val="22"/>
          <w:shd w:val="clear" w:color="auto" w:fill="FFFFFF"/>
        </w:rPr>
      </w:pPr>
      <w:r w:rsidRPr="00EE0850">
        <w:rPr>
          <w:szCs w:val="22"/>
          <w:shd w:val="clear" w:color="auto" w:fill="FFFFFF"/>
        </w:rPr>
        <w:t>A statement was made by a representative of IIFB.</w:t>
      </w:r>
    </w:p>
    <w:p w14:paraId="28D51818" w14:textId="0ECB2515" w:rsidR="00475D73" w:rsidRPr="00EE0850" w:rsidRDefault="002437E5" w:rsidP="000C6220">
      <w:pPr>
        <w:pStyle w:val="Para1"/>
        <w:tabs>
          <w:tab w:val="clear" w:pos="360"/>
          <w:tab w:val="clear" w:pos="567"/>
          <w:tab w:val="clear" w:pos="2912"/>
        </w:tabs>
        <w:spacing w:line="240" w:lineRule="auto"/>
        <w:rPr>
          <w:szCs w:val="22"/>
        </w:rPr>
      </w:pPr>
      <w:r w:rsidRPr="00EE0850">
        <w:rPr>
          <w:szCs w:val="22"/>
          <w:shd w:val="clear" w:color="auto" w:fill="FFFFFF"/>
        </w:rPr>
        <w:t xml:space="preserve">The Working Group </w:t>
      </w:r>
      <w:r w:rsidR="00B74E5F" w:rsidRPr="00EE0850">
        <w:rPr>
          <w:szCs w:val="22"/>
          <w:shd w:val="clear" w:color="auto" w:fill="FFFFFF"/>
        </w:rPr>
        <w:t xml:space="preserve">decided </w:t>
      </w:r>
      <w:r w:rsidRPr="00EE0850">
        <w:rPr>
          <w:szCs w:val="22"/>
          <w:shd w:val="clear" w:color="auto" w:fill="FFFFFF"/>
        </w:rPr>
        <w:t xml:space="preserve">to establish a contact group, co-chaired by </w:t>
      </w:r>
      <w:r w:rsidR="00B74E5F" w:rsidRPr="00EE0850">
        <w:rPr>
          <w:szCs w:val="22"/>
          <w:shd w:val="clear" w:color="auto" w:fill="FFFFFF"/>
        </w:rPr>
        <w:t xml:space="preserve">Ms. </w:t>
      </w:r>
      <w:r w:rsidR="00427165" w:rsidRPr="00EE0850">
        <w:rPr>
          <w:szCs w:val="22"/>
          <w:shd w:val="clear" w:color="auto" w:fill="FFFFFF"/>
        </w:rPr>
        <w:t xml:space="preserve">Georgina </w:t>
      </w:r>
      <w:proofErr w:type="spellStart"/>
      <w:r w:rsidR="00427165" w:rsidRPr="00EE0850">
        <w:rPr>
          <w:szCs w:val="22"/>
        </w:rPr>
        <w:t>Catacora</w:t>
      </w:r>
      <w:proofErr w:type="spellEnd"/>
      <w:r w:rsidR="00472385" w:rsidRPr="00EE0850">
        <w:rPr>
          <w:szCs w:val="22"/>
          <w:shd w:val="clear" w:color="auto" w:fill="FFFFFF"/>
        </w:rPr>
        <w:t>-</w:t>
      </w:r>
      <w:r w:rsidR="00427165" w:rsidRPr="00EE0850">
        <w:rPr>
          <w:szCs w:val="22"/>
          <w:shd w:val="clear" w:color="auto" w:fill="FFFFFF"/>
        </w:rPr>
        <w:t xml:space="preserve">Vargas </w:t>
      </w:r>
      <w:r w:rsidRPr="00EE0850">
        <w:rPr>
          <w:szCs w:val="22"/>
          <w:shd w:val="clear" w:color="auto" w:fill="FFFFFF"/>
        </w:rPr>
        <w:t xml:space="preserve">(Bolivia, </w:t>
      </w:r>
      <w:proofErr w:type="spellStart"/>
      <w:r w:rsidRPr="00EE0850">
        <w:rPr>
          <w:szCs w:val="22"/>
          <w:shd w:val="clear" w:color="auto" w:fill="FFFFFF"/>
        </w:rPr>
        <w:t>Plurinational</w:t>
      </w:r>
      <w:proofErr w:type="spellEnd"/>
      <w:r w:rsidRPr="00EE0850">
        <w:rPr>
          <w:szCs w:val="22"/>
          <w:shd w:val="clear" w:color="auto" w:fill="FFFFFF"/>
        </w:rPr>
        <w:t xml:space="preserve"> State of) and Mr. </w:t>
      </w:r>
      <w:r w:rsidRPr="00EE0850">
        <w:rPr>
          <w:noProof/>
          <w:szCs w:val="22"/>
          <w:shd w:val="clear" w:color="auto" w:fill="FFFFFF"/>
        </w:rPr>
        <w:t>Nikolay Tzvetkov</w:t>
      </w:r>
      <w:r w:rsidRPr="00EE0850">
        <w:rPr>
          <w:szCs w:val="22"/>
          <w:shd w:val="clear" w:color="auto" w:fill="FFFFFF"/>
        </w:rPr>
        <w:t xml:space="preserve"> (Bulgaria), to continue discussion of the issues relating to the item.</w:t>
      </w:r>
    </w:p>
    <w:p w14:paraId="120A149B" w14:textId="77777777" w:rsidR="00793870" w:rsidRPr="00EE0850" w:rsidRDefault="00793870" w:rsidP="000C6220">
      <w:pPr>
        <w:pStyle w:val="Para1"/>
        <w:tabs>
          <w:tab w:val="clear" w:pos="360"/>
          <w:tab w:val="clear" w:pos="567"/>
          <w:tab w:val="clear" w:pos="2912"/>
        </w:tabs>
        <w:spacing w:line="240" w:lineRule="auto"/>
        <w:rPr>
          <w:szCs w:val="22"/>
        </w:rPr>
      </w:pPr>
      <w:r w:rsidRPr="00EE0850">
        <w:rPr>
          <w:szCs w:val="22"/>
        </w:rPr>
        <w:t xml:space="preserve">At its 13th </w:t>
      </w:r>
      <w:r w:rsidR="00427165" w:rsidRPr="00EE0850">
        <w:rPr>
          <w:szCs w:val="22"/>
        </w:rPr>
        <w:t>meeting</w:t>
      </w:r>
      <w:r w:rsidRPr="00EE0850">
        <w:rPr>
          <w:szCs w:val="22"/>
        </w:rPr>
        <w:t>, on 2</w:t>
      </w:r>
      <w:r w:rsidR="00427165" w:rsidRPr="00EE0850">
        <w:rPr>
          <w:szCs w:val="22"/>
        </w:rPr>
        <w:t>8</w:t>
      </w:r>
      <w:r w:rsidRPr="00EE0850">
        <w:rPr>
          <w:szCs w:val="22"/>
        </w:rPr>
        <w:t xml:space="preserve"> November 2018, the Chair of the Working Group introduced a draft decision.</w:t>
      </w:r>
    </w:p>
    <w:p w14:paraId="27C54784" w14:textId="433190D2" w:rsidR="00793870" w:rsidRPr="00EE0850" w:rsidRDefault="00793870" w:rsidP="000C6220">
      <w:pPr>
        <w:pStyle w:val="Para1"/>
        <w:tabs>
          <w:tab w:val="clear" w:pos="360"/>
          <w:tab w:val="clear" w:pos="567"/>
          <w:tab w:val="clear" w:pos="2912"/>
        </w:tabs>
        <w:spacing w:line="240" w:lineRule="auto"/>
        <w:rPr>
          <w:szCs w:val="22"/>
        </w:rPr>
      </w:pPr>
      <w:r w:rsidRPr="00EE0850">
        <w:rPr>
          <w:szCs w:val="22"/>
        </w:rPr>
        <w:t xml:space="preserve">Statements were made by the representatives of </w:t>
      </w:r>
      <w:r w:rsidR="0056201C" w:rsidRPr="00EE0850">
        <w:rPr>
          <w:szCs w:val="22"/>
        </w:rPr>
        <w:t xml:space="preserve">the </w:t>
      </w:r>
      <w:r w:rsidRPr="00EE0850">
        <w:rPr>
          <w:szCs w:val="22"/>
        </w:rPr>
        <w:t>European Union</w:t>
      </w:r>
      <w:r w:rsidR="00844475" w:rsidRPr="00EE0850">
        <w:rPr>
          <w:szCs w:val="22"/>
        </w:rPr>
        <w:t xml:space="preserve"> and its 28 member States</w:t>
      </w:r>
      <w:r w:rsidRPr="00EE0850">
        <w:rPr>
          <w:szCs w:val="22"/>
        </w:rPr>
        <w:t xml:space="preserve">, Japan, Malaysia Mexico, </w:t>
      </w:r>
      <w:r w:rsidR="006E37E6" w:rsidRPr="00EE0850">
        <w:rPr>
          <w:szCs w:val="22"/>
        </w:rPr>
        <w:t xml:space="preserve">the </w:t>
      </w:r>
      <w:r w:rsidRPr="00EE0850">
        <w:rPr>
          <w:szCs w:val="22"/>
        </w:rPr>
        <w:t>Republic of Korea and Switzerland.</w:t>
      </w:r>
    </w:p>
    <w:p w14:paraId="56555830" w14:textId="77777777" w:rsidR="00793870" w:rsidRPr="00EE0850" w:rsidRDefault="00793870" w:rsidP="000C6220">
      <w:pPr>
        <w:pStyle w:val="Para1"/>
        <w:tabs>
          <w:tab w:val="clear" w:pos="360"/>
          <w:tab w:val="clear" w:pos="567"/>
          <w:tab w:val="clear" w:pos="2912"/>
        </w:tabs>
        <w:spacing w:line="240" w:lineRule="auto"/>
        <w:rPr>
          <w:szCs w:val="22"/>
        </w:rPr>
      </w:pPr>
      <w:r w:rsidRPr="00EE0850">
        <w:rPr>
          <w:szCs w:val="22"/>
        </w:rPr>
        <w:t>The Chair said that the view expressed by the representative of Switzerland, supported by the representative of Japan, would be reflected in the report of the Working Group.</w:t>
      </w:r>
    </w:p>
    <w:p w14:paraId="2324FCFC" w14:textId="7F2FA494" w:rsidR="00793870" w:rsidRPr="00EE0850" w:rsidRDefault="00427165" w:rsidP="000C6220">
      <w:pPr>
        <w:pStyle w:val="Para1"/>
        <w:tabs>
          <w:tab w:val="clear" w:pos="360"/>
          <w:tab w:val="clear" w:pos="567"/>
          <w:tab w:val="clear" w:pos="2912"/>
        </w:tabs>
        <w:spacing w:line="240" w:lineRule="auto"/>
      </w:pPr>
      <w:r w:rsidRPr="00EE0850">
        <w:t>The representative of Switzerland said that while he supported the process for further clarification of the issue of digital sequence of information on genetic resources, he did not see the need for a separate decision on the matter under the Nagoya Protocol</w:t>
      </w:r>
      <w:r w:rsidR="00793870" w:rsidRPr="00EE0850">
        <w:t>.</w:t>
      </w:r>
    </w:p>
    <w:p w14:paraId="5D0A1754" w14:textId="77777777" w:rsidR="00844475" w:rsidRPr="00EE0850" w:rsidRDefault="00793870" w:rsidP="000C6220">
      <w:pPr>
        <w:pStyle w:val="Para1"/>
        <w:tabs>
          <w:tab w:val="clear" w:pos="360"/>
          <w:tab w:val="clear" w:pos="567"/>
          <w:tab w:val="clear" w:pos="2912"/>
        </w:tabs>
        <w:spacing w:line="240" w:lineRule="auto"/>
      </w:pPr>
      <w:r w:rsidRPr="00EE0850">
        <w:t>Following the exchange of views, the Working Group approved the draft decision, as orally amended, for transmission to the p</w:t>
      </w:r>
      <w:r w:rsidR="00066C74" w:rsidRPr="00EE0850">
        <w:t>lenary as draft decision CBD/NP/</w:t>
      </w:r>
      <w:r w:rsidRPr="00EE0850">
        <w:t>MOP/3/L.15.</w:t>
      </w:r>
    </w:p>
    <w:p w14:paraId="672DCBCD" w14:textId="61C9B454" w:rsidR="00C576FA" w:rsidRPr="00EE0850" w:rsidRDefault="00C576FA" w:rsidP="000C6220">
      <w:pPr>
        <w:pStyle w:val="Para1"/>
        <w:tabs>
          <w:tab w:val="clear" w:pos="360"/>
          <w:tab w:val="clear" w:pos="567"/>
          <w:tab w:val="clear" w:pos="2912"/>
        </w:tabs>
        <w:spacing w:line="240" w:lineRule="auto"/>
      </w:pPr>
      <w:r w:rsidRPr="00EE0850">
        <w:t xml:space="preserve">The Conference of the Parties serving as the meeting of the Parties </w:t>
      </w:r>
      <w:r w:rsidR="00CF20E2" w:rsidRPr="00EE0850">
        <w:t xml:space="preserve">to the Nagoya Protocol </w:t>
      </w:r>
      <w:r w:rsidRPr="00EE0850">
        <w:t xml:space="preserve">took up draft decision CBD/NP/MOP/3/L.15 at </w:t>
      </w:r>
      <w:r w:rsidR="00CF20E2" w:rsidRPr="00EE0850">
        <w:t>its</w:t>
      </w:r>
      <w:r w:rsidRPr="00EE0850">
        <w:t xml:space="preserve"> 8th plenary session, on 29 November 2018.</w:t>
      </w:r>
    </w:p>
    <w:p w14:paraId="62F072F4" w14:textId="1217F062" w:rsidR="00C576FA" w:rsidRPr="00EE0850" w:rsidRDefault="00C576FA" w:rsidP="000C6220">
      <w:pPr>
        <w:pStyle w:val="Para1"/>
        <w:tabs>
          <w:tab w:val="clear" w:pos="360"/>
          <w:tab w:val="clear" w:pos="567"/>
          <w:tab w:val="clear" w:pos="2912"/>
        </w:tabs>
        <w:spacing w:line="240" w:lineRule="auto"/>
      </w:pPr>
      <w:r w:rsidRPr="00EE0850">
        <w:t xml:space="preserve">Statements were made by representatives of Argentina, the European Union and its 28 member States, Japan, Malaysia (on behalf of the </w:t>
      </w:r>
      <w:r w:rsidR="00133FD7" w:rsidRPr="00EE0850">
        <w:t>G</w:t>
      </w:r>
      <w:r w:rsidRPr="00EE0850">
        <w:t xml:space="preserve">roup of Like-minded Megadiverse Countries), Mexico, </w:t>
      </w:r>
      <w:r w:rsidR="00133FD7" w:rsidRPr="00EE0850">
        <w:t xml:space="preserve">the </w:t>
      </w:r>
      <w:r w:rsidRPr="00EE0850">
        <w:t>Republic of Korea, Switzerland and Uganda (on behalf of the African Group).</w:t>
      </w:r>
    </w:p>
    <w:p w14:paraId="3D76E1AB" w14:textId="3B6D885D" w:rsidR="00C576FA" w:rsidRPr="00EE0850" w:rsidRDefault="00C576FA" w:rsidP="000C6220">
      <w:pPr>
        <w:pStyle w:val="Para1"/>
        <w:tabs>
          <w:tab w:val="clear" w:pos="360"/>
          <w:tab w:val="clear" w:pos="567"/>
          <w:tab w:val="clear" w:pos="2912"/>
        </w:tabs>
        <w:spacing w:line="240" w:lineRule="auto"/>
      </w:pPr>
      <w:r w:rsidRPr="00EE0850">
        <w:t>A representative of Mexico, requesting that her statement be reflected in the report, expressed appreciation for the spirit of compromise shown in agreeing consensual text for the draft decision, which Mexico supported as it would ensure further progress, for the time being, on a matter of importance to compliance with Article 17 of the Protocol.</w:t>
      </w:r>
    </w:p>
    <w:p w14:paraId="14BC2D99" w14:textId="0EB53948" w:rsidR="00475D73" w:rsidRPr="00EE0850" w:rsidRDefault="00C576FA" w:rsidP="000C6220">
      <w:pPr>
        <w:pStyle w:val="Para1"/>
        <w:tabs>
          <w:tab w:val="clear" w:pos="360"/>
          <w:tab w:val="clear" w:pos="567"/>
          <w:tab w:val="clear" w:pos="2912"/>
        </w:tabs>
        <w:spacing w:line="240" w:lineRule="auto"/>
      </w:pPr>
      <w:r w:rsidRPr="00EE0850">
        <w:t xml:space="preserve">Following the exchange of views, the Conference of the Parties serving as the meeting of the Parties </w:t>
      </w:r>
      <w:r w:rsidR="00CC0B25" w:rsidRPr="00EE0850">
        <w:t xml:space="preserve">to the Nagoya Protocol </w:t>
      </w:r>
      <w:r w:rsidRPr="00EE0850">
        <w:t>adopted draft decision CBD/NP/MOP/3/L.15, as orally amended, as decision NP-3/12 (for the text, see chap.</w:t>
      </w:r>
      <w:r w:rsidR="006E68A1" w:rsidRPr="00EE0850">
        <w:t> </w:t>
      </w:r>
      <w:r w:rsidRPr="00EE0850">
        <w:t>I).</w:t>
      </w:r>
    </w:p>
    <w:p w14:paraId="122DFD35" w14:textId="77777777" w:rsidR="00475D73" w:rsidRPr="00EE0850" w:rsidRDefault="00475D73" w:rsidP="000C6220">
      <w:pPr>
        <w:pStyle w:val="Heading1-item"/>
        <w:spacing w:before="120" w:line="240" w:lineRule="auto"/>
        <w:ind w:left="1843" w:right="1035" w:hanging="1276"/>
        <w:jc w:val="left"/>
      </w:pPr>
      <w:bookmarkStart w:id="50" w:name="_Toc256235"/>
      <w:r w:rsidRPr="00EE0850">
        <w:rPr>
          <w:rFonts w:ascii="Times New Roman" w:hAnsi="Times New Roman" w:cs="Times New Roman"/>
        </w:rPr>
        <w:t>ITEM 18.</w:t>
      </w:r>
      <w:r w:rsidRPr="00EE0850">
        <w:rPr>
          <w:rFonts w:ascii="Times New Roman" w:hAnsi="Times New Roman" w:cs="Times New Roman"/>
        </w:rPr>
        <w:tab/>
        <w:t>Specialized international access and benefit-sharing instruments in the context of Article 4, paragraph 4, of the Nagoya Protocol</w:t>
      </w:r>
      <w:bookmarkEnd w:id="50"/>
    </w:p>
    <w:p w14:paraId="09579DB1" w14:textId="4F6FA03C" w:rsidR="002437E5" w:rsidRPr="00EE0850" w:rsidRDefault="002437E5" w:rsidP="000C6220">
      <w:pPr>
        <w:pStyle w:val="Para1"/>
        <w:tabs>
          <w:tab w:val="clear" w:pos="360"/>
          <w:tab w:val="clear" w:pos="567"/>
          <w:tab w:val="clear" w:pos="2912"/>
        </w:tabs>
        <w:spacing w:line="240" w:lineRule="auto"/>
        <w:rPr>
          <w:szCs w:val="22"/>
        </w:rPr>
      </w:pPr>
      <w:r w:rsidRPr="00EE0850">
        <w:rPr>
          <w:bCs/>
          <w:szCs w:val="22"/>
        </w:rPr>
        <w:t xml:space="preserve">Working Group I took up agenda item 18 at its 2nd meeting, on 18 November 2018. In considering the item, </w:t>
      </w:r>
      <w:r w:rsidR="00FF2F00" w:rsidRPr="00EE0850">
        <w:rPr>
          <w:szCs w:val="22"/>
        </w:rPr>
        <w:t>it had before it a draft decision based on recommendation SBI-2/5, set out in the compilation of draft decisions (CBD/NP/MOP/3/1/Add.2). A</w:t>
      </w:r>
      <w:r w:rsidRPr="00EE0850">
        <w:rPr>
          <w:szCs w:val="22"/>
        </w:rPr>
        <w:t xml:space="preserve"> study into criteria to identify a specialized international access and </w:t>
      </w:r>
      <w:r w:rsidRPr="00EE0850">
        <w:rPr>
          <w:szCs w:val="22"/>
          <w:shd w:val="clear" w:color="auto" w:fill="FFFFFF"/>
        </w:rPr>
        <w:t>benefit</w:t>
      </w:r>
      <w:r w:rsidRPr="00EE0850">
        <w:rPr>
          <w:szCs w:val="22"/>
        </w:rPr>
        <w:t>-sharing instrument and a possible process for its recognition (CBD/SBI/2/INF/17)</w:t>
      </w:r>
      <w:r w:rsidR="00FF2F00" w:rsidRPr="00EE0850">
        <w:rPr>
          <w:szCs w:val="22"/>
        </w:rPr>
        <w:t xml:space="preserve"> considered by the Subsidiary Body on Implementation </w:t>
      </w:r>
      <w:r w:rsidR="00B23619" w:rsidRPr="00EE0850">
        <w:rPr>
          <w:szCs w:val="22"/>
        </w:rPr>
        <w:t xml:space="preserve">at its second meeting </w:t>
      </w:r>
      <w:r w:rsidR="00FF2F00" w:rsidRPr="00EE0850">
        <w:rPr>
          <w:szCs w:val="22"/>
        </w:rPr>
        <w:t>was also made available for the information of the meeting of the Parties</w:t>
      </w:r>
      <w:r w:rsidRPr="00EE0850">
        <w:rPr>
          <w:szCs w:val="22"/>
        </w:rPr>
        <w:t>.</w:t>
      </w:r>
    </w:p>
    <w:p w14:paraId="01495510" w14:textId="22D881FB"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Statements were made by representatives of Argentina, </w:t>
      </w:r>
      <w:r w:rsidR="0056201C" w:rsidRPr="00EE0850">
        <w:rPr>
          <w:szCs w:val="22"/>
        </w:rPr>
        <w:t xml:space="preserve">the </w:t>
      </w:r>
      <w:r w:rsidRPr="00EE0850">
        <w:rPr>
          <w:szCs w:val="22"/>
        </w:rPr>
        <w:t xml:space="preserve">European Union and its 28 member States, Gabon, India, Indonesia, Malawi, Mexico, Norway, </w:t>
      </w:r>
      <w:r w:rsidR="00EB1BD8" w:rsidRPr="00EE0850">
        <w:rPr>
          <w:szCs w:val="22"/>
        </w:rPr>
        <w:t xml:space="preserve">the </w:t>
      </w:r>
      <w:r w:rsidRPr="00EE0850">
        <w:rPr>
          <w:szCs w:val="22"/>
        </w:rPr>
        <w:t>Philippines, South Africa (on behalf of the African Group), Switzerland, Uganda and Venezuela (Bolivarian Republic of).</w:t>
      </w:r>
    </w:p>
    <w:p w14:paraId="7550FE68"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Statements were also made by representatives of FAO and WHO.</w:t>
      </w:r>
    </w:p>
    <w:p w14:paraId="3F3CD371" w14:textId="08630A12"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At the 5th meeting of the Working Group, on 20 November 2018, the Chair said that he would prepare a revised draft decision on the matter with the help of the </w:t>
      </w:r>
      <w:r w:rsidR="002508CE" w:rsidRPr="00EE0850">
        <w:rPr>
          <w:szCs w:val="22"/>
        </w:rPr>
        <w:t>S</w:t>
      </w:r>
      <w:r w:rsidRPr="00EE0850">
        <w:rPr>
          <w:szCs w:val="22"/>
        </w:rPr>
        <w:t>ecretariat.</w:t>
      </w:r>
    </w:p>
    <w:p w14:paraId="1B887E94"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At its 8th meeting, on 22 November 2018, the Working Group considered the revised draft decision submitted by the Chair.</w:t>
      </w:r>
    </w:p>
    <w:p w14:paraId="5E6CB627" w14:textId="6BB4BC89"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Statements were made by representatives of Gabon, Mexico, </w:t>
      </w:r>
      <w:r w:rsidR="00074A1C" w:rsidRPr="00EE0850">
        <w:rPr>
          <w:szCs w:val="22"/>
        </w:rPr>
        <w:t xml:space="preserve">the </w:t>
      </w:r>
      <w:r w:rsidRPr="00EE0850">
        <w:rPr>
          <w:szCs w:val="22"/>
        </w:rPr>
        <w:t>Philippines and Venezuela (Bolivarian Republic of).</w:t>
      </w:r>
    </w:p>
    <w:p w14:paraId="0B94CD77" w14:textId="5A861A12" w:rsidR="00475D73" w:rsidRPr="00EE0850" w:rsidRDefault="002437E5" w:rsidP="000C6220">
      <w:pPr>
        <w:pStyle w:val="Para1"/>
        <w:tabs>
          <w:tab w:val="clear" w:pos="360"/>
          <w:tab w:val="clear" w:pos="567"/>
          <w:tab w:val="clear" w:pos="2912"/>
        </w:tabs>
        <w:spacing w:line="240" w:lineRule="auto"/>
        <w:rPr>
          <w:szCs w:val="22"/>
        </w:rPr>
      </w:pPr>
      <w:r w:rsidRPr="00EE0850">
        <w:rPr>
          <w:szCs w:val="22"/>
        </w:rPr>
        <w:t>Following the exchange of views, the Working Group approved the revised draft decision for transmission to the plenary as draft decision CBD/NP/MOP/3/L.3.</w:t>
      </w:r>
    </w:p>
    <w:p w14:paraId="669AF2CB" w14:textId="3732048C" w:rsidR="008C2396" w:rsidRPr="00EE0850" w:rsidRDefault="008C2396" w:rsidP="000C6220">
      <w:pPr>
        <w:pStyle w:val="Para1"/>
        <w:tabs>
          <w:tab w:val="clear" w:pos="360"/>
          <w:tab w:val="clear" w:pos="567"/>
          <w:tab w:val="clear" w:pos="2912"/>
        </w:tabs>
        <w:spacing w:line="240" w:lineRule="auto"/>
        <w:rPr>
          <w:szCs w:val="22"/>
        </w:rPr>
      </w:pPr>
      <w:r w:rsidRPr="00EE0850">
        <w:rPr>
          <w:bCs/>
          <w:szCs w:val="22"/>
        </w:rPr>
        <w:t xml:space="preserve">At the 5th plenary session of the meeting, on 25 November 2018, the Conference of the Parties </w:t>
      </w:r>
      <w:r w:rsidR="00A10F60" w:rsidRPr="00EE0850">
        <w:rPr>
          <w:bCs/>
          <w:szCs w:val="22"/>
        </w:rPr>
        <w:t xml:space="preserve">serving as the meeting of the Parties </w:t>
      </w:r>
      <w:r w:rsidR="0013547D" w:rsidRPr="00EE0850">
        <w:rPr>
          <w:bCs/>
          <w:szCs w:val="22"/>
        </w:rPr>
        <w:t xml:space="preserve">to the Nagoya Protocol </w:t>
      </w:r>
      <w:r w:rsidR="00A10F60" w:rsidRPr="00EE0850">
        <w:rPr>
          <w:bCs/>
          <w:szCs w:val="22"/>
        </w:rPr>
        <w:t xml:space="preserve">adopted </w:t>
      </w:r>
      <w:r w:rsidRPr="00EE0850">
        <w:rPr>
          <w:bCs/>
          <w:szCs w:val="22"/>
        </w:rPr>
        <w:t>draft decision CBD/NP/MOP/3/L.3 as decision NP-</w:t>
      </w:r>
      <w:r w:rsidR="002C5EC6" w:rsidRPr="00EE0850">
        <w:rPr>
          <w:bCs/>
          <w:szCs w:val="22"/>
        </w:rPr>
        <w:t>3</w:t>
      </w:r>
      <w:r w:rsidRPr="00EE0850">
        <w:rPr>
          <w:bCs/>
          <w:szCs w:val="22"/>
        </w:rPr>
        <w:t>/</w:t>
      </w:r>
      <w:r w:rsidR="00426DF0" w:rsidRPr="00EE0850">
        <w:rPr>
          <w:bCs/>
          <w:szCs w:val="22"/>
        </w:rPr>
        <w:t>14</w:t>
      </w:r>
      <w:r w:rsidRPr="00EE0850">
        <w:rPr>
          <w:bCs/>
          <w:szCs w:val="22"/>
        </w:rPr>
        <w:t>.</w:t>
      </w:r>
      <w:r w:rsidR="005C0957" w:rsidRPr="00EE0850">
        <w:rPr>
          <w:bCs/>
          <w:szCs w:val="22"/>
        </w:rPr>
        <w:t xml:space="preserve"> </w:t>
      </w:r>
      <w:r w:rsidR="005C0957" w:rsidRPr="00EE0850">
        <w:rPr>
          <w:szCs w:val="22"/>
        </w:rPr>
        <w:t>for the text, see chap.</w:t>
      </w:r>
      <w:r w:rsidR="0013547D" w:rsidRPr="00EE0850">
        <w:rPr>
          <w:szCs w:val="22"/>
        </w:rPr>
        <w:t> </w:t>
      </w:r>
      <w:r w:rsidR="005C0957" w:rsidRPr="00EE0850">
        <w:rPr>
          <w:szCs w:val="22"/>
        </w:rPr>
        <w:t>I)</w:t>
      </w:r>
      <w:r w:rsidR="0013547D" w:rsidRPr="00EE0850">
        <w:rPr>
          <w:szCs w:val="22"/>
        </w:rPr>
        <w:t>.</w:t>
      </w:r>
    </w:p>
    <w:p w14:paraId="61614829" w14:textId="14E535E5" w:rsidR="00475D73" w:rsidRPr="00EE0850" w:rsidRDefault="00475D73" w:rsidP="000C6220">
      <w:pPr>
        <w:pStyle w:val="Heading1-item"/>
        <w:tabs>
          <w:tab w:val="left" w:pos="1134"/>
        </w:tabs>
        <w:spacing w:before="120" w:line="240" w:lineRule="auto"/>
        <w:ind w:right="0"/>
      </w:pPr>
      <w:bookmarkStart w:id="51" w:name="_Toc256236"/>
      <w:r w:rsidRPr="00EE0850">
        <w:rPr>
          <w:rFonts w:ascii="Times New Roman" w:hAnsi="Times New Roman" w:cs="Times New Roman"/>
        </w:rPr>
        <w:t>ITEM 19.</w:t>
      </w:r>
      <w:r w:rsidRPr="00EE0850">
        <w:rPr>
          <w:rFonts w:ascii="Times New Roman" w:hAnsi="Times New Roman" w:cs="Times New Roman"/>
        </w:rPr>
        <w:tab/>
        <w:t>Global multilateral benefit-sharing mechanism (Article</w:t>
      </w:r>
      <w:r w:rsidR="00784B64" w:rsidRPr="00EE0850">
        <w:rPr>
          <w:rFonts w:ascii="Times New Roman" w:hAnsi="Times New Roman" w:cs="Times New Roman"/>
        </w:rPr>
        <w:t> </w:t>
      </w:r>
      <w:r w:rsidRPr="00EE0850">
        <w:rPr>
          <w:rFonts w:ascii="Times New Roman" w:hAnsi="Times New Roman" w:cs="Times New Roman"/>
        </w:rPr>
        <w:t>10)</w:t>
      </w:r>
      <w:bookmarkEnd w:id="51"/>
    </w:p>
    <w:p w14:paraId="6C1A34BE"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Working Group I took up agenda item 19 at its 3rd meeting, on 19 November 2018. In considering the item, the Working Group had before it a draft decision based on recommendation SBI-2/4, set out in the compilation of draft decisions (CBD/NP/MOP/3/1/Add.2).</w:t>
      </w:r>
    </w:p>
    <w:p w14:paraId="446653C9" w14:textId="4D44824F"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Statements were made by representatives of Argentina, Ecuador, Egypt, </w:t>
      </w:r>
      <w:r w:rsidR="0056201C" w:rsidRPr="00EE0850">
        <w:rPr>
          <w:szCs w:val="22"/>
        </w:rPr>
        <w:t xml:space="preserve">the </w:t>
      </w:r>
      <w:r w:rsidRPr="00EE0850">
        <w:rPr>
          <w:szCs w:val="22"/>
        </w:rPr>
        <w:t xml:space="preserve">European Union and its 28 member States, Gabon, Guinea-Bissau, India, Japan, Jordan, Malaysia, Mexico, Niger, </w:t>
      </w:r>
      <w:r w:rsidR="00A024D6" w:rsidRPr="00EE0850">
        <w:rPr>
          <w:szCs w:val="22"/>
        </w:rPr>
        <w:t xml:space="preserve">the </w:t>
      </w:r>
      <w:r w:rsidRPr="00EE0850">
        <w:rPr>
          <w:szCs w:val="22"/>
        </w:rPr>
        <w:t xml:space="preserve">Philippines, </w:t>
      </w:r>
      <w:r w:rsidR="00A024D6" w:rsidRPr="00EE0850">
        <w:rPr>
          <w:szCs w:val="22"/>
        </w:rPr>
        <w:t xml:space="preserve">the </w:t>
      </w:r>
      <w:r w:rsidRPr="00EE0850">
        <w:rPr>
          <w:szCs w:val="22"/>
        </w:rPr>
        <w:t xml:space="preserve">Republic of Korea, South Africa (on behalf of the African Group), Sudan, Switzerland, Uganda, </w:t>
      </w:r>
      <w:r w:rsidR="00A024D6" w:rsidRPr="00EE0850">
        <w:rPr>
          <w:szCs w:val="22"/>
        </w:rPr>
        <w:t xml:space="preserve">the </w:t>
      </w:r>
      <w:r w:rsidRPr="00EE0850">
        <w:rPr>
          <w:szCs w:val="22"/>
        </w:rPr>
        <w:t>United Republic of Tanzania and Venezuela (Bolivarian Republic of).</w:t>
      </w:r>
    </w:p>
    <w:p w14:paraId="24A91C1D" w14:textId="38514D29"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A statement was also made by a representative of </w:t>
      </w:r>
      <w:r w:rsidR="00341A72" w:rsidRPr="00EE0850">
        <w:rPr>
          <w:szCs w:val="22"/>
        </w:rPr>
        <w:t xml:space="preserve">the </w:t>
      </w:r>
      <w:r w:rsidR="00341A72" w:rsidRPr="00EE0850">
        <w:rPr>
          <w:rStyle w:val="preferred"/>
        </w:rPr>
        <w:t>Division for Ocean Affairs and the Law of the Sea</w:t>
      </w:r>
      <w:r w:rsidR="00A024D6" w:rsidRPr="00EE0850">
        <w:rPr>
          <w:rStyle w:val="preferred"/>
        </w:rPr>
        <w:t xml:space="preserve"> of the United Nations Office of Legal Affairs</w:t>
      </w:r>
      <w:r w:rsidRPr="00EE0850">
        <w:rPr>
          <w:szCs w:val="22"/>
        </w:rPr>
        <w:t>.</w:t>
      </w:r>
    </w:p>
    <w:p w14:paraId="06A85310"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A representative of IIFB also made a statement.</w:t>
      </w:r>
    </w:p>
    <w:p w14:paraId="02874E14" w14:textId="77777777" w:rsidR="002437E5" w:rsidRPr="00EE0850" w:rsidRDefault="002437E5" w:rsidP="000C6220">
      <w:pPr>
        <w:pStyle w:val="Para1"/>
        <w:tabs>
          <w:tab w:val="clear" w:pos="360"/>
          <w:tab w:val="clear" w:pos="567"/>
          <w:tab w:val="clear" w:pos="2912"/>
        </w:tabs>
        <w:spacing w:line="240" w:lineRule="auto"/>
        <w:rPr>
          <w:szCs w:val="22"/>
        </w:rPr>
      </w:pPr>
      <w:r w:rsidRPr="00EE0850">
        <w:rPr>
          <w:szCs w:val="22"/>
        </w:rPr>
        <w:t xml:space="preserve">The Working Group agreed to establish a contact group to resolve the outstanding issues. The contact group would be facilitated by Thomas </w:t>
      </w:r>
      <w:proofErr w:type="spellStart"/>
      <w:r w:rsidRPr="00EE0850">
        <w:rPr>
          <w:szCs w:val="22"/>
        </w:rPr>
        <w:t>Greiber</w:t>
      </w:r>
      <w:proofErr w:type="spellEnd"/>
      <w:r w:rsidRPr="00EE0850">
        <w:rPr>
          <w:szCs w:val="22"/>
        </w:rPr>
        <w:t xml:space="preserve"> (Germany) and Christine </w:t>
      </w:r>
      <w:proofErr w:type="spellStart"/>
      <w:r w:rsidRPr="00EE0850">
        <w:rPr>
          <w:szCs w:val="22"/>
        </w:rPr>
        <w:t>Achello</w:t>
      </w:r>
      <w:proofErr w:type="spellEnd"/>
      <w:r w:rsidRPr="00EE0850">
        <w:rPr>
          <w:szCs w:val="22"/>
        </w:rPr>
        <w:t xml:space="preserve"> (Uganda).</w:t>
      </w:r>
    </w:p>
    <w:p w14:paraId="1BCB10C3" w14:textId="77777777" w:rsidR="00616E9D" w:rsidRPr="00EE0850" w:rsidRDefault="00616E9D" w:rsidP="000C6220">
      <w:pPr>
        <w:pStyle w:val="Para1"/>
        <w:tabs>
          <w:tab w:val="clear" w:pos="360"/>
          <w:tab w:val="clear" w:pos="567"/>
          <w:tab w:val="clear" w:pos="2912"/>
        </w:tabs>
        <w:spacing w:line="240" w:lineRule="auto"/>
        <w:rPr>
          <w:szCs w:val="22"/>
        </w:rPr>
      </w:pPr>
      <w:r w:rsidRPr="00EE0850">
        <w:rPr>
          <w:szCs w:val="22"/>
        </w:rPr>
        <w:t xml:space="preserve">At its 13th </w:t>
      </w:r>
      <w:r w:rsidR="00427165" w:rsidRPr="00EE0850">
        <w:rPr>
          <w:szCs w:val="22"/>
        </w:rPr>
        <w:t>meeting, on 28</w:t>
      </w:r>
      <w:r w:rsidRPr="00EE0850">
        <w:rPr>
          <w:szCs w:val="22"/>
        </w:rPr>
        <w:t xml:space="preserve"> November 2018, the Working Group considered a revised draft decision submitted by the Chair.</w:t>
      </w:r>
    </w:p>
    <w:p w14:paraId="584EC4DC" w14:textId="143A4C05" w:rsidR="00616E9D" w:rsidRPr="00EE0850" w:rsidRDefault="00616E9D" w:rsidP="000C6220">
      <w:pPr>
        <w:pStyle w:val="Para1"/>
        <w:tabs>
          <w:tab w:val="clear" w:pos="360"/>
          <w:tab w:val="clear" w:pos="567"/>
          <w:tab w:val="clear" w:pos="2912"/>
        </w:tabs>
        <w:spacing w:line="240" w:lineRule="auto"/>
        <w:rPr>
          <w:szCs w:val="22"/>
        </w:rPr>
      </w:pPr>
      <w:r w:rsidRPr="00EE0850">
        <w:rPr>
          <w:szCs w:val="22"/>
        </w:rPr>
        <w:t xml:space="preserve">Statements were made by the representatives of Colombia, </w:t>
      </w:r>
      <w:r w:rsidR="0056201C" w:rsidRPr="00EE0850">
        <w:rPr>
          <w:szCs w:val="22"/>
        </w:rPr>
        <w:t xml:space="preserve">the </w:t>
      </w:r>
      <w:r w:rsidRPr="00EE0850">
        <w:rPr>
          <w:szCs w:val="22"/>
        </w:rPr>
        <w:t xml:space="preserve">European Union and its 28 member States, India, Japan, Mexico, Malawi, </w:t>
      </w:r>
      <w:r w:rsidR="009F158D" w:rsidRPr="00EE0850">
        <w:rPr>
          <w:szCs w:val="22"/>
        </w:rPr>
        <w:t xml:space="preserve">the </w:t>
      </w:r>
      <w:r w:rsidRPr="00EE0850">
        <w:rPr>
          <w:szCs w:val="22"/>
        </w:rPr>
        <w:t xml:space="preserve">Philippines, </w:t>
      </w:r>
      <w:r w:rsidR="009F158D" w:rsidRPr="00EE0850">
        <w:rPr>
          <w:szCs w:val="22"/>
        </w:rPr>
        <w:t xml:space="preserve">the </w:t>
      </w:r>
      <w:r w:rsidRPr="00EE0850">
        <w:rPr>
          <w:szCs w:val="22"/>
        </w:rPr>
        <w:t>Republic of Korea and Switzerland.</w:t>
      </w:r>
    </w:p>
    <w:p w14:paraId="60E3095B" w14:textId="2209F5DD" w:rsidR="00616E9D" w:rsidRPr="00EE0850" w:rsidRDefault="00616E9D" w:rsidP="000C6220">
      <w:pPr>
        <w:pStyle w:val="Para1"/>
        <w:tabs>
          <w:tab w:val="clear" w:pos="360"/>
          <w:tab w:val="clear" w:pos="567"/>
          <w:tab w:val="clear" w:pos="2912"/>
        </w:tabs>
        <w:spacing w:line="240" w:lineRule="auto"/>
        <w:rPr>
          <w:szCs w:val="22"/>
        </w:rPr>
      </w:pPr>
      <w:r w:rsidRPr="00EE0850">
        <w:rPr>
          <w:szCs w:val="22"/>
        </w:rPr>
        <w:t>Following the exchange of views, the Working Group approved the revised draft decision, as orally amended, for transmission to the p</w:t>
      </w:r>
      <w:r w:rsidR="00066C74" w:rsidRPr="00EE0850">
        <w:rPr>
          <w:szCs w:val="22"/>
        </w:rPr>
        <w:t>lenary as draft decision CBD/NP/</w:t>
      </w:r>
      <w:r w:rsidRPr="00EE0850">
        <w:rPr>
          <w:szCs w:val="22"/>
        </w:rPr>
        <w:t>MOP/13/L.13.</w:t>
      </w:r>
    </w:p>
    <w:p w14:paraId="00EAD54F" w14:textId="3A397488" w:rsidR="00475D73" w:rsidRPr="00EE0850" w:rsidRDefault="00C576FA" w:rsidP="000C6220">
      <w:pPr>
        <w:pStyle w:val="Para1"/>
        <w:tabs>
          <w:tab w:val="clear" w:pos="360"/>
          <w:tab w:val="clear" w:pos="567"/>
          <w:tab w:val="clear" w:pos="2912"/>
        </w:tabs>
        <w:spacing w:line="240" w:lineRule="auto"/>
        <w:rPr>
          <w:szCs w:val="22"/>
        </w:rPr>
      </w:pPr>
      <w:r w:rsidRPr="00EE0850">
        <w:rPr>
          <w:szCs w:val="22"/>
        </w:rPr>
        <w:t xml:space="preserve">At </w:t>
      </w:r>
      <w:r w:rsidR="007B0821" w:rsidRPr="00EE0850">
        <w:rPr>
          <w:szCs w:val="22"/>
        </w:rPr>
        <w:t>its</w:t>
      </w:r>
      <w:r w:rsidRPr="00EE0850">
        <w:rPr>
          <w:szCs w:val="22"/>
        </w:rPr>
        <w:t xml:space="preserve"> 8th plenary session, on 29 November 2018, the Conference of the Parties serving as the meeting of the Parties </w:t>
      </w:r>
      <w:r w:rsidR="000208DB" w:rsidRPr="00EE0850">
        <w:rPr>
          <w:szCs w:val="22"/>
        </w:rPr>
        <w:t xml:space="preserve">to the Nagoya Protocol </w:t>
      </w:r>
      <w:r w:rsidRPr="00EE0850">
        <w:rPr>
          <w:szCs w:val="22"/>
        </w:rPr>
        <w:t>adopted draft decision CBD/NP/MOP/3/L.13 as decision NP 3/13 (for the text, see chap.</w:t>
      </w:r>
      <w:r w:rsidR="00A17996" w:rsidRPr="00EE0850">
        <w:rPr>
          <w:szCs w:val="22"/>
        </w:rPr>
        <w:t> </w:t>
      </w:r>
      <w:r w:rsidRPr="00EE0850">
        <w:rPr>
          <w:szCs w:val="22"/>
        </w:rPr>
        <w:t>I).</w:t>
      </w:r>
    </w:p>
    <w:p w14:paraId="4C05E4BB" w14:textId="77777777" w:rsidR="000B093B" w:rsidRPr="00EE0850" w:rsidRDefault="000B093B" w:rsidP="000C6220">
      <w:pPr>
        <w:pStyle w:val="Heading1-item"/>
        <w:tabs>
          <w:tab w:val="left" w:pos="1134"/>
        </w:tabs>
        <w:spacing w:before="120" w:line="240" w:lineRule="auto"/>
        <w:ind w:right="0"/>
      </w:pPr>
      <w:bookmarkStart w:id="52" w:name="_Toc476651584"/>
      <w:bookmarkStart w:id="53" w:name="_Toc256237"/>
      <w:r w:rsidRPr="00EE0850">
        <w:rPr>
          <w:rFonts w:ascii="Times New Roman" w:hAnsi="Times New Roman" w:cs="Times New Roman"/>
        </w:rPr>
        <w:t xml:space="preserve">ITEM </w:t>
      </w:r>
      <w:r w:rsidR="00793870" w:rsidRPr="00EE0850">
        <w:rPr>
          <w:rFonts w:ascii="Times New Roman" w:hAnsi="Times New Roman" w:cs="Times New Roman"/>
        </w:rPr>
        <w:t>20</w:t>
      </w:r>
      <w:r w:rsidRPr="00EE0850">
        <w:rPr>
          <w:rFonts w:ascii="Times New Roman" w:hAnsi="Times New Roman" w:cs="Times New Roman"/>
        </w:rPr>
        <w:t>.</w:t>
      </w:r>
      <w:r w:rsidRPr="00EE0850">
        <w:rPr>
          <w:rFonts w:ascii="Times New Roman" w:hAnsi="Times New Roman" w:cs="Times New Roman"/>
        </w:rPr>
        <w:tab/>
        <w:t>OTHER MATTERS</w:t>
      </w:r>
      <w:bookmarkEnd w:id="52"/>
      <w:bookmarkEnd w:id="53"/>
    </w:p>
    <w:p w14:paraId="1924BA25" w14:textId="77777777" w:rsidR="00C576FA" w:rsidRPr="00EE0850" w:rsidRDefault="00C576FA" w:rsidP="000C6220">
      <w:pPr>
        <w:pStyle w:val="Para1"/>
        <w:tabs>
          <w:tab w:val="clear" w:pos="360"/>
          <w:tab w:val="clear" w:pos="567"/>
          <w:tab w:val="clear" w:pos="2912"/>
        </w:tabs>
        <w:spacing w:line="240" w:lineRule="auto"/>
        <w:rPr>
          <w:szCs w:val="22"/>
        </w:rPr>
      </w:pPr>
      <w:r w:rsidRPr="00EE0850">
        <w:rPr>
          <w:szCs w:val="22"/>
        </w:rPr>
        <w:t>No other matters were considered.</w:t>
      </w:r>
    </w:p>
    <w:p w14:paraId="4A31D641" w14:textId="2096FB28" w:rsidR="000B093B" w:rsidRPr="00EE0850" w:rsidRDefault="000B093B" w:rsidP="000C6220">
      <w:pPr>
        <w:pStyle w:val="Heading1-item"/>
        <w:tabs>
          <w:tab w:val="left" w:pos="1134"/>
        </w:tabs>
        <w:spacing w:before="120" w:line="240" w:lineRule="auto"/>
        <w:ind w:right="0"/>
      </w:pPr>
      <w:bookmarkStart w:id="54" w:name="_Toc476651585"/>
      <w:bookmarkStart w:id="55" w:name="_Toc256238"/>
      <w:r w:rsidRPr="00EE0850">
        <w:rPr>
          <w:rFonts w:ascii="Times New Roman" w:hAnsi="Times New Roman" w:cs="Times New Roman"/>
        </w:rPr>
        <w:t xml:space="preserve">ITEM </w:t>
      </w:r>
      <w:r w:rsidR="00793870" w:rsidRPr="00EE0850">
        <w:rPr>
          <w:rFonts w:ascii="Times New Roman" w:hAnsi="Times New Roman" w:cs="Times New Roman"/>
        </w:rPr>
        <w:t>21</w:t>
      </w:r>
      <w:r w:rsidRPr="00EE0850">
        <w:rPr>
          <w:rFonts w:ascii="Times New Roman" w:hAnsi="Times New Roman" w:cs="Times New Roman"/>
        </w:rPr>
        <w:t>.</w:t>
      </w:r>
      <w:r w:rsidRPr="00EE0850">
        <w:rPr>
          <w:rFonts w:ascii="Times New Roman" w:hAnsi="Times New Roman" w:cs="Times New Roman"/>
        </w:rPr>
        <w:tab/>
        <w:t>ADOPTION OF THE REPORT</w:t>
      </w:r>
      <w:bookmarkEnd w:id="54"/>
      <w:bookmarkEnd w:id="55"/>
    </w:p>
    <w:p w14:paraId="74F558F9" w14:textId="6415EB2E" w:rsidR="000B093B" w:rsidRPr="00EE0850" w:rsidRDefault="000B093B" w:rsidP="000C6220">
      <w:pPr>
        <w:pStyle w:val="Para1"/>
        <w:tabs>
          <w:tab w:val="clear" w:pos="360"/>
          <w:tab w:val="clear" w:pos="567"/>
          <w:tab w:val="clear" w:pos="2912"/>
        </w:tabs>
        <w:spacing w:line="240" w:lineRule="auto"/>
        <w:rPr>
          <w:snapToGrid w:val="0"/>
          <w:szCs w:val="22"/>
        </w:rPr>
      </w:pPr>
      <w:r w:rsidRPr="00EE0850">
        <w:rPr>
          <w:snapToGrid w:val="0"/>
          <w:szCs w:val="22"/>
        </w:rPr>
        <w:t xml:space="preserve">The present report was adopted at the </w:t>
      </w:r>
      <w:r w:rsidR="00C576FA" w:rsidRPr="00EE0850">
        <w:rPr>
          <w:szCs w:val="22"/>
        </w:rPr>
        <w:t>8th</w:t>
      </w:r>
      <w:r w:rsidRPr="00EE0850">
        <w:rPr>
          <w:snapToGrid w:val="0"/>
          <w:szCs w:val="22"/>
        </w:rPr>
        <w:t xml:space="preserve"> plenary session, on </w:t>
      </w:r>
      <w:r w:rsidR="00C576FA" w:rsidRPr="00EE0850">
        <w:rPr>
          <w:szCs w:val="22"/>
        </w:rPr>
        <w:t>29 November 2018</w:t>
      </w:r>
      <w:r w:rsidRPr="00EE0850">
        <w:rPr>
          <w:snapToGrid w:val="0"/>
          <w:szCs w:val="22"/>
        </w:rPr>
        <w:t xml:space="preserve">, on the basis of the draft report presented by the Rapporteur (CBD/NP/MOP/3/L.1), </w:t>
      </w:r>
      <w:r w:rsidRPr="00EE0850">
        <w:rPr>
          <w:szCs w:val="22"/>
        </w:rPr>
        <w:t xml:space="preserve">on the understanding that the </w:t>
      </w:r>
      <w:r w:rsidR="008A201E" w:rsidRPr="00EE0850">
        <w:rPr>
          <w:szCs w:val="22"/>
        </w:rPr>
        <w:t>r</w:t>
      </w:r>
      <w:r w:rsidRPr="00EE0850">
        <w:rPr>
          <w:szCs w:val="22"/>
        </w:rPr>
        <w:t>apporteur would be entrusted with its finalization</w:t>
      </w:r>
      <w:r w:rsidRPr="00EE0850">
        <w:rPr>
          <w:snapToGrid w:val="0"/>
          <w:szCs w:val="22"/>
        </w:rPr>
        <w:t>.</w:t>
      </w:r>
    </w:p>
    <w:p w14:paraId="03632EBD" w14:textId="77777777" w:rsidR="000B093B" w:rsidRPr="00EE0850" w:rsidRDefault="000B093B" w:rsidP="000C6220">
      <w:pPr>
        <w:pStyle w:val="Heading1-item"/>
        <w:tabs>
          <w:tab w:val="left" w:pos="1134"/>
        </w:tabs>
        <w:spacing w:before="120" w:line="240" w:lineRule="auto"/>
        <w:ind w:right="0"/>
      </w:pPr>
      <w:bookmarkStart w:id="56" w:name="_Toc476651586"/>
      <w:bookmarkStart w:id="57" w:name="_Toc256239"/>
      <w:r w:rsidRPr="00EE0850">
        <w:rPr>
          <w:rFonts w:ascii="Times New Roman" w:hAnsi="Times New Roman" w:cs="Times New Roman"/>
        </w:rPr>
        <w:t xml:space="preserve">ITEM </w:t>
      </w:r>
      <w:r w:rsidR="00793870" w:rsidRPr="00EE0850">
        <w:rPr>
          <w:rFonts w:ascii="Times New Roman" w:hAnsi="Times New Roman" w:cs="Times New Roman"/>
        </w:rPr>
        <w:t>22</w:t>
      </w:r>
      <w:r w:rsidRPr="00EE0850">
        <w:rPr>
          <w:rFonts w:ascii="Times New Roman" w:hAnsi="Times New Roman" w:cs="Times New Roman"/>
        </w:rPr>
        <w:t>.</w:t>
      </w:r>
      <w:r w:rsidRPr="00EE0850">
        <w:rPr>
          <w:rFonts w:ascii="Times New Roman" w:hAnsi="Times New Roman" w:cs="Times New Roman"/>
        </w:rPr>
        <w:tab/>
        <w:t>CLOSURE OF THE MEETING</w:t>
      </w:r>
      <w:bookmarkEnd w:id="56"/>
      <w:bookmarkEnd w:id="57"/>
    </w:p>
    <w:p w14:paraId="0F04B9E4" w14:textId="6F4FD7A2" w:rsidR="000B093B" w:rsidRPr="00EE0850" w:rsidRDefault="000B093B" w:rsidP="000C6220">
      <w:pPr>
        <w:pStyle w:val="Para1"/>
        <w:tabs>
          <w:tab w:val="clear" w:pos="567"/>
          <w:tab w:val="clear" w:pos="2912"/>
        </w:tabs>
        <w:spacing w:line="240" w:lineRule="auto"/>
      </w:pPr>
      <w:r w:rsidRPr="00EE0850">
        <w:t xml:space="preserve">The President declared the third meeting of the Conference of the Parties serving as the meeting of the Parties to the Nagoya Protocol closed at </w:t>
      </w:r>
      <w:r w:rsidR="00C576FA" w:rsidRPr="00EE0850">
        <w:t>9 p.m.</w:t>
      </w:r>
      <w:r w:rsidRPr="00EE0850">
        <w:t xml:space="preserve"> on </w:t>
      </w:r>
      <w:r w:rsidR="00C576FA" w:rsidRPr="00EE0850">
        <w:t>29</w:t>
      </w:r>
      <w:r w:rsidRPr="00EE0850">
        <w:t xml:space="preserve"> November 2018.</w:t>
      </w:r>
    </w:p>
    <w:p w14:paraId="435C2044" w14:textId="77777777" w:rsidR="00EF311C" w:rsidRPr="00341A72" w:rsidRDefault="00C04B67" w:rsidP="000C6220">
      <w:pPr>
        <w:suppressLineNumbers/>
        <w:suppressAutoHyphens/>
        <w:kinsoku w:val="0"/>
        <w:overflowPunct w:val="0"/>
        <w:autoSpaceDE w:val="0"/>
        <w:autoSpaceDN w:val="0"/>
        <w:spacing w:before="120" w:line="240" w:lineRule="auto"/>
        <w:jc w:val="center"/>
        <w:rPr>
          <w:snapToGrid w:val="0"/>
          <w:kern w:val="22"/>
          <w:szCs w:val="22"/>
        </w:rPr>
      </w:pPr>
      <w:r w:rsidRPr="00EE0850">
        <w:rPr>
          <w:snapToGrid w:val="0"/>
          <w:kern w:val="22"/>
          <w:szCs w:val="22"/>
        </w:rPr>
        <w:t>__________</w:t>
      </w:r>
    </w:p>
    <w:sectPr w:rsidR="00EF311C" w:rsidRPr="00341A72" w:rsidSect="000C6220">
      <w:type w:val="continuous"/>
      <w:pgSz w:w="12242" w:h="15842" w:code="1"/>
      <w:pgMar w:top="1138" w:right="1138" w:bottom="1022" w:left="1138"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8AC0A" w14:textId="77777777" w:rsidR="006628D7" w:rsidRDefault="006628D7">
      <w:r>
        <w:separator/>
      </w:r>
    </w:p>
  </w:endnote>
  <w:endnote w:type="continuationSeparator" w:id="0">
    <w:p w14:paraId="51ED4931" w14:textId="77777777" w:rsidR="006628D7" w:rsidRDefault="0066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1334" w14:textId="77777777" w:rsidR="006628D7" w:rsidRDefault="006628D7" w:rsidP="000C6220">
    <w:pPr>
      <w:pStyle w:val="Footer"/>
      <w:spacing w:after="0" w:line="240" w:lineRule="auto"/>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4C16" w14:textId="77777777" w:rsidR="006628D7" w:rsidRDefault="006628D7" w:rsidP="000C6220">
    <w:pPr>
      <w:pStyle w:val="Footer"/>
      <w:spacing w:after="0" w:line="240"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69ED7" w14:textId="77777777" w:rsidR="006628D7" w:rsidRDefault="006628D7">
      <w:r>
        <w:separator/>
      </w:r>
    </w:p>
  </w:footnote>
  <w:footnote w:type="continuationSeparator" w:id="0">
    <w:p w14:paraId="11733D02" w14:textId="77777777" w:rsidR="006628D7" w:rsidRDefault="006628D7">
      <w:r>
        <w:continuationSeparator/>
      </w:r>
    </w:p>
  </w:footnote>
  <w:footnote w:id="1">
    <w:p w14:paraId="54E913FB" w14:textId="77777777" w:rsidR="006628D7" w:rsidRPr="00A162E7"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A162E7">
        <w:rPr>
          <w:kern w:val="18"/>
          <w:szCs w:val="18"/>
        </w:rPr>
        <w:t xml:space="preserve"> These may include community biocultural protocols.</w:t>
      </w:r>
    </w:p>
  </w:footnote>
  <w:footnote w:id="2">
    <w:p w14:paraId="0CB06020" w14:textId="77777777" w:rsidR="006628D7" w:rsidRPr="00A162E7"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A162E7">
        <w:rPr>
          <w:kern w:val="18"/>
          <w:szCs w:val="18"/>
        </w:rPr>
        <w:t xml:space="preserve"> CBD/NP/MOP/3/3.</w:t>
      </w:r>
    </w:p>
  </w:footnote>
  <w:footnote w:id="3">
    <w:p w14:paraId="65645A3A" w14:textId="77777777" w:rsidR="006628D7" w:rsidRPr="00A162E7" w:rsidRDefault="006628D7" w:rsidP="000C6220">
      <w:pPr>
        <w:pStyle w:val="FootnoteText"/>
        <w:suppressLineNumbers/>
        <w:suppressAutoHyphens/>
        <w:kinsoku w:val="0"/>
        <w:overflowPunct w:val="0"/>
        <w:autoSpaceDE w:val="0"/>
        <w:autoSpaceDN w:val="0"/>
        <w:adjustRightInd w:val="0"/>
        <w:snapToGrid w:val="0"/>
        <w:spacing w:line="240" w:lineRule="auto"/>
        <w:ind w:firstLine="0"/>
        <w:jc w:val="left"/>
        <w:rPr>
          <w:snapToGrid w:val="0"/>
          <w:kern w:val="18"/>
          <w:szCs w:val="18"/>
        </w:rPr>
      </w:pPr>
      <w:r w:rsidRPr="00A162E7">
        <w:rPr>
          <w:snapToGrid w:val="0"/>
          <w:kern w:val="18"/>
          <w:szCs w:val="18"/>
          <w:vertAlign w:val="superscript"/>
        </w:rPr>
        <w:footnoteRef/>
      </w:r>
      <w:r w:rsidRPr="00A162E7">
        <w:rPr>
          <w:snapToGrid w:val="0"/>
          <w:kern w:val="18"/>
          <w:szCs w:val="18"/>
        </w:rPr>
        <w:t xml:space="preserve"> For example, “African Union Practical Guidelines for the Coordinated Implementation of the Nagoya Protocol in Africa” (African Union, 2015).</w:t>
      </w:r>
    </w:p>
  </w:footnote>
  <w:footnote w:id="4">
    <w:p w14:paraId="55E66286" w14:textId="77777777" w:rsidR="006628D7" w:rsidRPr="00A162E7" w:rsidRDefault="006628D7" w:rsidP="000C6220">
      <w:pPr>
        <w:pStyle w:val="FootnoteText"/>
        <w:suppressLineNumbers/>
        <w:suppressAutoHyphens/>
        <w:kinsoku w:val="0"/>
        <w:overflowPunct w:val="0"/>
        <w:autoSpaceDE w:val="0"/>
        <w:autoSpaceDN w:val="0"/>
        <w:adjustRightInd w:val="0"/>
        <w:snapToGrid w:val="0"/>
        <w:spacing w:line="240" w:lineRule="auto"/>
        <w:ind w:firstLine="0"/>
        <w:jc w:val="left"/>
        <w:rPr>
          <w:snapToGrid w:val="0"/>
          <w:kern w:val="18"/>
          <w:szCs w:val="18"/>
        </w:rPr>
      </w:pPr>
      <w:r w:rsidRPr="000C6220">
        <w:rPr>
          <w:rStyle w:val="FootnoteReference"/>
          <w:kern w:val="18"/>
          <w:szCs w:val="18"/>
          <w:u w:val="none"/>
          <w:vertAlign w:val="superscript"/>
        </w:rPr>
        <w:footnoteRef/>
      </w:r>
      <w:r w:rsidRPr="00A162E7">
        <w:rPr>
          <w:snapToGrid w:val="0"/>
          <w:kern w:val="18"/>
          <w:szCs w:val="18"/>
        </w:rPr>
        <w:t xml:space="preserve"> For example “Compilation of views re</w:t>
      </w:r>
      <w:r w:rsidRPr="00341A72">
        <w:rPr>
          <w:snapToGrid w:val="0"/>
          <w:kern w:val="18"/>
          <w:szCs w:val="18"/>
        </w:rPr>
        <w:t>ceived on use of the term ‘indigenous peoples and local communities’” (</w:t>
      </w:r>
      <w:hyperlink r:id="rId1" w:history="1">
        <w:r w:rsidRPr="00341A72">
          <w:rPr>
            <w:rStyle w:val="Hyperlink"/>
            <w:snapToGrid w:val="0"/>
            <w:color w:val="0070C0"/>
            <w:kern w:val="18"/>
            <w:szCs w:val="18"/>
          </w:rPr>
          <w:t>UNEP/CBD/WG8J/8/INF/10/Add.1</w:t>
        </w:r>
      </w:hyperlink>
      <w:r w:rsidRPr="00A162E7">
        <w:rPr>
          <w:snapToGrid w:val="0"/>
          <w:kern w:val="18"/>
          <w:szCs w:val="18"/>
        </w:rPr>
        <w:t>).</w:t>
      </w:r>
    </w:p>
  </w:footnote>
  <w:footnote w:id="5">
    <w:p w14:paraId="025E8766" w14:textId="77777777" w:rsidR="006628D7" w:rsidRPr="00341A72" w:rsidRDefault="006628D7" w:rsidP="000C6220">
      <w:pPr>
        <w:pStyle w:val="FootnoteText"/>
        <w:suppressLineNumbers/>
        <w:suppressAutoHyphens/>
        <w:kinsoku w:val="0"/>
        <w:overflowPunct w:val="0"/>
        <w:autoSpaceDE w:val="0"/>
        <w:autoSpaceDN w:val="0"/>
        <w:adjustRightInd w:val="0"/>
        <w:snapToGrid w:val="0"/>
        <w:spacing w:line="240" w:lineRule="auto"/>
        <w:ind w:firstLine="0"/>
        <w:jc w:val="left"/>
        <w:rPr>
          <w:snapToGrid w:val="0"/>
          <w:kern w:val="18"/>
          <w:szCs w:val="18"/>
        </w:rPr>
      </w:pPr>
      <w:r w:rsidRPr="000C6220">
        <w:rPr>
          <w:rStyle w:val="FootnoteReference"/>
          <w:kern w:val="18"/>
          <w:szCs w:val="18"/>
          <w:u w:val="none"/>
          <w:vertAlign w:val="superscript"/>
        </w:rPr>
        <w:footnoteRef/>
      </w:r>
      <w:r w:rsidRPr="00A162E7">
        <w:rPr>
          <w:snapToGrid w:val="0"/>
          <w:kern w:val="18"/>
          <w:szCs w:val="18"/>
        </w:rPr>
        <w:t xml:space="preserve"> For example, “ABS Elements: Elements to Facilitate Domesti</w:t>
      </w:r>
      <w:r w:rsidRPr="00341A72">
        <w:rPr>
          <w:snapToGrid w:val="0"/>
          <w:kern w:val="18"/>
          <w:szCs w:val="18"/>
        </w:rPr>
        <w:t>c Implementation of Access and Benefit-sharing for Different Subsectors of Genetic Resources for Food and Agriculture” (Food and Agriculture Organization of the United Nations, 2016).</w:t>
      </w:r>
    </w:p>
  </w:footnote>
  <w:footnote w:id="6">
    <w:p w14:paraId="7F7D09ED" w14:textId="77777777" w:rsidR="006628D7" w:rsidRPr="00D006F2" w:rsidRDefault="006628D7" w:rsidP="000C6220">
      <w:pPr>
        <w:pStyle w:val="FootnoteText"/>
        <w:suppressLineNumbers/>
        <w:suppressAutoHyphens/>
        <w:kinsoku w:val="0"/>
        <w:overflowPunct w:val="0"/>
        <w:autoSpaceDE w:val="0"/>
        <w:autoSpaceDN w:val="0"/>
        <w:adjustRightInd w:val="0"/>
        <w:snapToGrid w:val="0"/>
        <w:spacing w:line="240" w:lineRule="auto"/>
        <w:ind w:firstLine="0"/>
        <w:jc w:val="left"/>
        <w:rPr>
          <w:snapToGrid w:val="0"/>
          <w:kern w:val="18"/>
          <w:szCs w:val="18"/>
        </w:rPr>
      </w:pPr>
      <w:r w:rsidRPr="000C6220">
        <w:rPr>
          <w:rStyle w:val="FootnoteReference"/>
          <w:rFonts w:eastAsia="DengXian Light"/>
          <w:snapToGrid w:val="0"/>
          <w:kern w:val="18"/>
          <w:szCs w:val="18"/>
          <w:u w:val="none"/>
          <w:vertAlign w:val="superscript"/>
        </w:rPr>
        <w:footnoteRef/>
      </w:r>
      <w:r w:rsidRPr="00A162E7">
        <w:rPr>
          <w:snapToGrid w:val="0"/>
          <w:kern w:val="18"/>
          <w:szCs w:val="18"/>
        </w:rPr>
        <w:t xml:space="preserve"> Mo’otz Kuxtal voluntary guidelines for the development of mechanisms, </w:t>
      </w:r>
      <w:r w:rsidRPr="00341A72">
        <w:rPr>
          <w:snapToGrid w:val="0"/>
          <w:kern w:val="18"/>
          <w:szCs w:val="18"/>
        </w:rPr>
        <w:t xml:space="preserve">legislation or other appropriate initiatives to ensure the “prior and informed consent”, “free, prior and informed consent” or “approval and involvement”, depending on national circumstances, of indigenous peoples and local communities for accessing their </w:t>
      </w:r>
      <w:r w:rsidRPr="004C4689">
        <w:rPr>
          <w:snapToGrid w:val="0"/>
          <w:kern w:val="18"/>
          <w:szCs w:val="18"/>
        </w:rPr>
        <w:t xml:space="preserve">knowledge, innovations and practices, for fair and equitable sharing of benefits arising from the use of their knowledge, innovations and practices relevant for the conservation and sustainable use of biological diversity, and for reporting and preventing </w:t>
      </w:r>
      <w:r w:rsidRPr="00D006F2">
        <w:rPr>
          <w:snapToGrid w:val="0"/>
          <w:kern w:val="18"/>
          <w:szCs w:val="18"/>
        </w:rPr>
        <w:t>unlawful appropriation of traditional knowledge.</w:t>
      </w:r>
    </w:p>
  </w:footnote>
  <w:footnote w:id="7">
    <w:p w14:paraId="0E5A080E" w14:textId="77777777" w:rsidR="006628D7" w:rsidRPr="00A162E7" w:rsidRDefault="006628D7" w:rsidP="000C6220">
      <w:pPr>
        <w:pStyle w:val="FootnoteText"/>
        <w:suppressLineNumbers/>
        <w:suppressAutoHyphens/>
        <w:spacing w:line="240" w:lineRule="auto"/>
        <w:ind w:firstLine="0"/>
        <w:jc w:val="left"/>
        <w:rPr>
          <w:kern w:val="18"/>
          <w:szCs w:val="18"/>
        </w:rPr>
      </w:pPr>
      <w:r w:rsidRPr="000C6220">
        <w:rPr>
          <w:rStyle w:val="FootnoteReference"/>
          <w:rFonts w:eastAsiaTheme="majorEastAsia"/>
          <w:kern w:val="18"/>
          <w:szCs w:val="18"/>
          <w:u w:val="none"/>
          <w:vertAlign w:val="superscript"/>
        </w:rPr>
        <w:footnoteRef/>
      </w:r>
      <w:r w:rsidRPr="00337084">
        <w:rPr>
          <w:kern w:val="18"/>
          <w:szCs w:val="18"/>
        </w:rPr>
        <w:t xml:space="preserve"> </w:t>
      </w:r>
      <w:r w:rsidRPr="00A162E7">
        <w:rPr>
          <w:kern w:val="18"/>
          <w:szCs w:val="18"/>
        </w:rPr>
        <w:t>CBD/NP/MOP/3/2.</w:t>
      </w:r>
    </w:p>
  </w:footnote>
  <w:footnote w:id="8">
    <w:p w14:paraId="425D212C" w14:textId="77777777" w:rsidR="006628D7" w:rsidRPr="00A162E7" w:rsidRDefault="006628D7" w:rsidP="000C6220">
      <w:pPr>
        <w:pStyle w:val="FootnoteText"/>
        <w:suppressLineNumbers/>
        <w:suppressAutoHyphens/>
        <w:spacing w:line="240" w:lineRule="auto"/>
        <w:ind w:firstLine="0"/>
        <w:jc w:val="left"/>
        <w:rPr>
          <w:kern w:val="18"/>
          <w:szCs w:val="18"/>
        </w:rPr>
      </w:pPr>
      <w:r w:rsidRPr="000C6220">
        <w:rPr>
          <w:rStyle w:val="FootnoteReference"/>
          <w:rFonts w:eastAsiaTheme="majorEastAsia"/>
          <w:kern w:val="18"/>
          <w:szCs w:val="18"/>
          <w:u w:val="none"/>
          <w:vertAlign w:val="superscript"/>
        </w:rPr>
        <w:footnoteRef/>
      </w:r>
      <w:r w:rsidRPr="00337084">
        <w:rPr>
          <w:kern w:val="18"/>
          <w:szCs w:val="18"/>
        </w:rPr>
        <w:t xml:space="preserve"> </w:t>
      </w:r>
      <w:r w:rsidRPr="00A162E7">
        <w:rPr>
          <w:kern w:val="18"/>
          <w:szCs w:val="18"/>
        </w:rPr>
        <w:t>See CBD/NP/MOP/3/8.</w:t>
      </w:r>
    </w:p>
  </w:footnote>
  <w:footnote w:id="9">
    <w:p w14:paraId="03EEEB56" w14:textId="77777777" w:rsidR="006628D7" w:rsidRPr="00337084" w:rsidRDefault="006628D7" w:rsidP="000C6220">
      <w:pPr>
        <w:pStyle w:val="FootnoteText"/>
        <w:suppressLineNumbers/>
        <w:suppressAutoHyphens/>
        <w:kinsoku w:val="0"/>
        <w:overflowPunct w:val="0"/>
        <w:autoSpaceDE w:val="0"/>
        <w:autoSpaceDN w:val="0"/>
        <w:spacing w:line="240" w:lineRule="auto"/>
        <w:ind w:firstLine="0"/>
        <w:jc w:val="left"/>
        <w:rPr>
          <w:kern w:val="18"/>
          <w:szCs w:val="18"/>
        </w:rPr>
      </w:pPr>
      <w:r w:rsidRPr="00337084">
        <w:rPr>
          <w:rStyle w:val="FootnoteReference"/>
          <w:rFonts w:eastAsiaTheme="majorEastAsia"/>
          <w:kern w:val="18"/>
          <w:szCs w:val="18"/>
          <w:u w:val="none"/>
          <w:vertAlign w:val="superscript"/>
        </w:rPr>
        <w:footnoteRef/>
      </w:r>
      <w:r w:rsidRPr="00337084">
        <w:rPr>
          <w:kern w:val="18"/>
          <w:szCs w:val="18"/>
        </w:rPr>
        <w:t xml:space="preserve"> See General Assembly resolution </w:t>
      </w:r>
      <w:hyperlink r:id="rId2" w:history="1">
        <w:r w:rsidRPr="00337084">
          <w:rPr>
            <w:rStyle w:val="Hyperlink"/>
            <w:kern w:val="18"/>
            <w:szCs w:val="18"/>
          </w:rPr>
          <w:t>70/1</w:t>
        </w:r>
      </w:hyperlink>
      <w:r w:rsidRPr="00337084">
        <w:rPr>
          <w:kern w:val="18"/>
          <w:szCs w:val="18"/>
        </w:rPr>
        <w:t xml:space="preserve"> of 25 September 2015.</w:t>
      </w:r>
    </w:p>
  </w:footnote>
  <w:footnote w:id="10">
    <w:p w14:paraId="24DDEBC2" w14:textId="77777777" w:rsidR="006628D7" w:rsidRPr="00337084"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w:t>
      </w:r>
      <w:hyperlink r:id="rId3" w:history="1">
        <w:r w:rsidRPr="00337084">
          <w:rPr>
            <w:rStyle w:val="Hyperlink"/>
            <w:kern w:val="18"/>
            <w:szCs w:val="18"/>
          </w:rPr>
          <w:t>CBD/NP/MOP/3/4</w:t>
        </w:r>
      </w:hyperlink>
      <w:r w:rsidRPr="00337084">
        <w:rPr>
          <w:kern w:val="18"/>
          <w:szCs w:val="18"/>
        </w:rPr>
        <w:t>.</w:t>
      </w:r>
    </w:p>
  </w:footnote>
  <w:footnote w:id="11">
    <w:p w14:paraId="70AA3F1A" w14:textId="77777777" w:rsidR="006628D7" w:rsidRPr="00337084"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w:t>
      </w:r>
      <w:hyperlink r:id="rId4" w:history="1">
        <w:r w:rsidRPr="00337084">
          <w:rPr>
            <w:rStyle w:val="Hyperlink"/>
            <w:kern w:val="18"/>
            <w:szCs w:val="18"/>
          </w:rPr>
          <w:t>CBD/ABS/CB-IAC/2018/1/4</w:t>
        </w:r>
      </w:hyperlink>
      <w:r w:rsidRPr="00337084">
        <w:rPr>
          <w:kern w:val="18"/>
          <w:szCs w:val="18"/>
        </w:rPr>
        <w:t>.</w:t>
      </w:r>
    </w:p>
  </w:footnote>
  <w:footnote w:id="12">
    <w:p w14:paraId="4E43A92D" w14:textId="77777777" w:rsidR="006628D7" w:rsidRPr="00337084"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Decision </w:t>
      </w:r>
      <w:hyperlink r:id="rId5" w:history="1">
        <w:r w:rsidRPr="00337084">
          <w:rPr>
            <w:rStyle w:val="Hyperlink"/>
            <w:kern w:val="18"/>
            <w:szCs w:val="18"/>
          </w:rPr>
          <w:t>NP-1/8</w:t>
        </w:r>
      </w:hyperlink>
      <w:r w:rsidRPr="00337084">
        <w:rPr>
          <w:kern w:val="18"/>
          <w:szCs w:val="18"/>
        </w:rPr>
        <w:t>, annex I.</w:t>
      </w:r>
    </w:p>
  </w:footnote>
  <w:footnote w:id="13">
    <w:p w14:paraId="14BE105F" w14:textId="77777777" w:rsidR="006628D7" w:rsidRPr="00337084" w:rsidRDefault="006628D7" w:rsidP="000C6220">
      <w:pPr>
        <w:pStyle w:val="FootnoteText"/>
        <w:suppressLineNumbers/>
        <w:suppressAutoHyphens/>
        <w:kinsoku w:val="0"/>
        <w:overflowPunct w:val="0"/>
        <w:autoSpaceDE w:val="0"/>
        <w:autoSpaceDN w:val="0"/>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vertAlign w:val="superscript"/>
        </w:rPr>
        <w:t xml:space="preserve"> </w:t>
      </w:r>
      <w:hyperlink r:id="rId6" w:history="1">
        <w:r w:rsidRPr="00337084">
          <w:rPr>
            <w:rStyle w:val="Hyperlink"/>
            <w:kern w:val="18"/>
            <w:szCs w:val="18"/>
          </w:rPr>
          <w:t>CBD/COP/14/INF/10</w:t>
        </w:r>
      </w:hyperlink>
      <w:r w:rsidRPr="00337084">
        <w:rPr>
          <w:kern w:val="18"/>
          <w:szCs w:val="18"/>
        </w:rPr>
        <w:t>.</w:t>
      </w:r>
    </w:p>
  </w:footnote>
  <w:footnote w:id="14">
    <w:p w14:paraId="5A86CB00" w14:textId="77777777" w:rsidR="006628D7" w:rsidRPr="00337084"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See decision </w:t>
      </w:r>
      <w:hyperlink r:id="rId7" w:history="1">
        <w:r w:rsidRPr="00337084">
          <w:rPr>
            <w:rStyle w:val="Hyperlink"/>
            <w:kern w:val="18"/>
            <w:szCs w:val="18"/>
          </w:rPr>
          <w:t>NP-1/8</w:t>
        </w:r>
      </w:hyperlink>
      <w:r w:rsidRPr="00337084">
        <w:rPr>
          <w:kern w:val="18"/>
          <w:szCs w:val="18"/>
        </w:rPr>
        <w:t>, annex I, para. 21.</w:t>
      </w:r>
    </w:p>
  </w:footnote>
  <w:footnote w:id="15">
    <w:p w14:paraId="0026AB93" w14:textId="77777777" w:rsidR="006628D7" w:rsidRPr="00337084" w:rsidRDefault="006628D7" w:rsidP="000C6220">
      <w:pPr>
        <w:pStyle w:val="FootnoteText"/>
        <w:suppressLineNumbers/>
        <w:suppressAutoHyphens/>
        <w:kinsoku w:val="0"/>
        <w:overflowPunct w:val="0"/>
        <w:autoSpaceDE w:val="0"/>
        <w:autoSpaceDN w:val="0"/>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See decision NP-1/8, annex I, paras. 19 and 20.</w:t>
      </w:r>
    </w:p>
  </w:footnote>
  <w:footnote w:id="16">
    <w:p w14:paraId="6690E172" w14:textId="77777777" w:rsidR="006628D7" w:rsidRPr="00337084" w:rsidRDefault="006628D7" w:rsidP="000C6220">
      <w:pPr>
        <w:pStyle w:val="FootnoteText"/>
        <w:suppressLineNumbers/>
        <w:suppressAutoHyphens/>
        <w:kinsoku w:val="0"/>
        <w:overflowPunct w:val="0"/>
        <w:autoSpaceDE w:val="0"/>
        <w:autoSpaceDN w:val="0"/>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See decision NP-1/8, annex I, appendix II.</w:t>
      </w:r>
    </w:p>
  </w:footnote>
  <w:footnote w:id="17">
    <w:p w14:paraId="5FA7FE41" w14:textId="77777777" w:rsidR="006628D7" w:rsidRPr="00BE57CE"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CBD/NP/MOP/3/6.</w:t>
      </w:r>
    </w:p>
  </w:footnote>
  <w:footnote w:id="18">
    <w:p w14:paraId="4AD1F368" w14:textId="77777777" w:rsidR="006628D7" w:rsidRPr="00337084"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As set out in decision NP-1/9.</w:t>
      </w:r>
    </w:p>
  </w:footnote>
  <w:footnote w:id="19">
    <w:p w14:paraId="6F2AB41B" w14:textId="77777777" w:rsidR="006628D7" w:rsidRPr="000C6220"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w:t>
      </w:r>
      <w:hyperlink r:id="rId8" w:history="1">
        <w:r w:rsidRPr="000C6220">
          <w:rPr>
            <w:rStyle w:val="Hyperlink"/>
            <w:kern w:val="18"/>
            <w:szCs w:val="18"/>
          </w:rPr>
          <w:t>CBD/NP/MOP/3/9</w:t>
        </w:r>
      </w:hyperlink>
      <w:r w:rsidRPr="000C6220">
        <w:rPr>
          <w:kern w:val="18"/>
          <w:szCs w:val="18"/>
        </w:rPr>
        <w:t>.</w:t>
      </w:r>
    </w:p>
  </w:footnote>
  <w:footnote w:id="20">
    <w:p w14:paraId="357DA428" w14:textId="77777777" w:rsidR="006628D7" w:rsidRPr="000C6220"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See </w:t>
      </w:r>
      <w:hyperlink r:id="rId9" w:history="1">
        <w:r w:rsidRPr="00337084">
          <w:rPr>
            <w:rStyle w:val="Hyperlink"/>
            <w:kern w:val="18"/>
            <w:szCs w:val="18"/>
          </w:rPr>
          <w:t>CBD/NP/MOP/3/5</w:t>
        </w:r>
      </w:hyperlink>
      <w:r w:rsidRPr="00337084">
        <w:rPr>
          <w:kern w:val="18"/>
          <w:szCs w:val="18"/>
        </w:rPr>
        <w:t>.</w:t>
      </w:r>
    </w:p>
  </w:footnote>
  <w:footnote w:id="21">
    <w:p w14:paraId="300F5631" w14:textId="77777777" w:rsidR="006628D7" w:rsidRPr="00337084"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w:t>
      </w:r>
      <w:hyperlink r:id="rId10" w:history="1">
        <w:r w:rsidRPr="00337084">
          <w:rPr>
            <w:rStyle w:val="Hyperlink"/>
            <w:kern w:val="18"/>
            <w:szCs w:val="18"/>
          </w:rPr>
          <w:t>GEF/A.6/05/Rev.01</w:t>
        </w:r>
      </w:hyperlink>
      <w:r w:rsidRPr="00337084">
        <w:rPr>
          <w:kern w:val="18"/>
          <w:szCs w:val="18"/>
        </w:rPr>
        <w:t>.</w:t>
      </w:r>
    </w:p>
  </w:footnote>
  <w:footnote w:id="22">
    <w:p w14:paraId="5C3CAB4F" w14:textId="75E009AB" w:rsidR="006628D7" w:rsidRPr="007C0AA2"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See </w:t>
      </w:r>
      <w:hyperlink r:id="rId11" w:history="1">
        <w:r w:rsidRPr="00337084">
          <w:rPr>
            <w:rStyle w:val="Hyperlink"/>
            <w:kern w:val="18"/>
            <w:szCs w:val="18"/>
          </w:rPr>
          <w:t>CBD/SBI/2/22</w:t>
        </w:r>
      </w:hyperlink>
      <w:r w:rsidRPr="00337084">
        <w:rPr>
          <w:kern w:val="18"/>
          <w:szCs w:val="18"/>
        </w:rPr>
        <w:t xml:space="preserve">, sect. I, recommendation 2/14, </w:t>
      </w:r>
      <w:r w:rsidRPr="004612C8">
        <w:rPr>
          <w:kern w:val="18"/>
          <w:szCs w:val="18"/>
        </w:rPr>
        <w:t>section B.</w:t>
      </w:r>
    </w:p>
  </w:footnote>
  <w:footnote w:id="23">
    <w:p w14:paraId="2A6D7A9A" w14:textId="77777777" w:rsidR="006628D7" w:rsidRPr="00337084"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337084">
        <w:rPr>
          <w:kern w:val="18"/>
          <w:szCs w:val="18"/>
        </w:rPr>
        <w:t xml:space="preserve"> </w:t>
      </w:r>
      <w:hyperlink r:id="rId12" w:history="1">
        <w:r w:rsidRPr="00337084">
          <w:rPr>
            <w:rStyle w:val="Hyperlink"/>
            <w:kern w:val="18"/>
            <w:szCs w:val="18"/>
          </w:rPr>
          <w:t>CBD/SBI/2/16</w:t>
        </w:r>
      </w:hyperlink>
      <w:r w:rsidRPr="00337084">
        <w:rPr>
          <w:kern w:val="18"/>
          <w:szCs w:val="18"/>
        </w:rPr>
        <w:t xml:space="preserve"> and </w:t>
      </w:r>
      <w:hyperlink r:id="rId13" w:history="1">
        <w:r w:rsidRPr="00337084">
          <w:rPr>
            <w:rStyle w:val="Hyperlink"/>
            <w:kern w:val="18"/>
            <w:szCs w:val="18"/>
          </w:rPr>
          <w:t>Ad</w:t>
        </w:r>
        <w:r w:rsidRPr="00BE57CE">
          <w:rPr>
            <w:rStyle w:val="Hyperlink"/>
            <w:kern w:val="18"/>
            <w:szCs w:val="18"/>
          </w:rPr>
          <w:t>d.1</w:t>
        </w:r>
      </w:hyperlink>
      <w:r w:rsidRPr="00337084">
        <w:rPr>
          <w:kern w:val="18"/>
          <w:szCs w:val="18"/>
        </w:rPr>
        <w:t>.</w:t>
      </w:r>
    </w:p>
  </w:footnote>
  <w:footnote w:id="24">
    <w:p w14:paraId="5C127AF0" w14:textId="77777777" w:rsidR="006628D7" w:rsidRPr="00BE57CE"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BE57CE">
        <w:rPr>
          <w:kern w:val="18"/>
          <w:szCs w:val="18"/>
        </w:rPr>
        <w:t xml:space="preserve"> </w:t>
      </w:r>
      <w:hyperlink r:id="rId14" w:history="1">
        <w:r w:rsidRPr="00BE57CE">
          <w:rPr>
            <w:rStyle w:val="Hyperlink"/>
            <w:kern w:val="18"/>
            <w:szCs w:val="18"/>
          </w:rPr>
          <w:t>CBD/SBI/2/5</w:t>
        </w:r>
      </w:hyperlink>
      <w:r w:rsidRPr="00BE57CE">
        <w:rPr>
          <w:kern w:val="18"/>
          <w:szCs w:val="18"/>
        </w:rPr>
        <w:t>, section III.</w:t>
      </w:r>
    </w:p>
  </w:footnote>
  <w:footnote w:id="25">
    <w:p w14:paraId="27126756" w14:textId="77777777" w:rsidR="006628D7" w:rsidRPr="000C6220" w:rsidRDefault="006628D7" w:rsidP="000C6220">
      <w:pPr>
        <w:pStyle w:val="FootnoteText"/>
        <w:suppressLineNumbers/>
        <w:suppressAutoHyphens/>
        <w:kinsoku w:val="0"/>
        <w:overflowPunct w:val="0"/>
        <w:autoSpaceDE w:val="0"/>
        <w:autoSpaceDN w:val="0"/>
        <w:spacing w:line="240" w:lineRule="auto"/>
        <w:ind w:firstLine="0"/>
        <w:jc w:val="left"/>
        <w:rPr>
          <w:kern w:val="18"/>
          <w:szCs w:val="18"/>
        </w:rPr>
      </w:pPr>
      <w:r w:rsidRPr="000C6220">
        <w:rPr>
          <w:rStyle w:val="FootnoteReference"/>
          <w:rFonts w:eastAsiaTheme="majorEastAsia"/>
          <w:kern w:val="18"/>
          <w:szCs w:val="18"/>
          <w:u w:val="none"/>
          <w:vertAlign w:val="superscript"/>
        </w:rPr>
        <w:footnoteRef/>
      </w:r>
      <w:r w:rsidRPr="000C6220">
        <w:rPr>
          <w:kern w:val="18"/>
          <w:szCs w:val="18"/>
        </w:rPr>
        <w:t xml:space="preserve"> “Study into criteria to identify a specialized international access and benefit-sharing instrument, and a possible process for its recognition” (CBD/SBI/2/INF/17).</w:t>
      </w:r>
    </w:p>
  </w:footnote>
  <w:footnote w:id="26">
    <w:p w14:paraId="4F94D153" w14:textId="77777777" w:rsidR="006628D7" w:rsidRPr="00104ACD" w:rsidRDefault="006628D7" w:rsidP="000C6220">
      <w:pPr>
        <w:pStyle w:val="FootnoteText"/>
        <w:suppressLineNumbers/>
        <w:suppressAutoHyphens/>
        <w:spacing w:line="240" w:lineRule="auto"/>
        <w:ind w:firstLine="0"/>
        <w:jc w:val="left"/>
        <w:rPr>
          <w:kern w:val="18"/>
          <w:szCs w:val="18"/>
        </w:rPr>
      </w:pPr>
      <w:r w:rsidRPr="000C6220">
        <w:rPr>
          <w:rStyle w:val="FootnoteReference"/>
          <w:rFonts w:eastAsiaTheme="majorEastAsia"/>
          <w:kern w:val="18"/>
          <w:szCs w:val="18"/>
          <w:u w:val="none"/>
          <w:vertAlign w:val="superscript"/>
        </w:rPr>
        <w:footnoteRef/>
      </w:r>
      <w:r w:rsidRPr="00BE57CE">
        <w:rPr>
          <w:kern w:val="18"/>
          <w:szCs w:val="18"/>
        </w:rPr>
        <w:t xml:space="preserve"> Finding</w:t>
      </w:r>
      <w:r w:rsidRPr="007C0AA2">
        <w:rPr>
          <w:kern w:val="18"/>
          <w:szCs w:val="18"/>
        </w:rPr>
        <w:t xml:space="preserve">s and recommendations of the Compliance Committee on general issues of compliance as a contribution to the assessment and review of the Nagoya Protocol are contained in annex I to the report of the Compliance </w:t>
      </w:r>
      <w:r w:rsidRPr="00DD6E33">
        <w:rPr>
          <w:kern w:val="18"/>
          <w:szCs w:val="18"/>
        </w:rPr>
        <w:t>Committee under the Nagoya Protocol on the work of its second meeting (CBD/NP/MOP/3/2).</w:t>
      </w:r>
    </w:p>
  </w:footnote>
  <w:footnote w:id="27">
    <w:p w14:paraId="333716C9" w14:textId="77777777" w:rsidR="006628D7" w:rsidRPr="000C6220" w:rsidRDefault="006628D7" w:rsidP="000C6220">
      <w:pPr>
        <w:pStyle w:val="FootnoteText"/>
        <w:suppressLineNumbers/>
        <w:suppressAutoHyphens/>
        <w:spacing w:line="240" w:lineRule="auto"/>
        <w:ind w:firstLine="0"/>
        <w:jc w:val="left"/>
        <w:rPr>
          <w:kern w:val="18"/>
          <w:szCs w:val="18"/>
        </w:rPr>
      </w:pPr>
      <w:r w:rsidRPr="000C6220">
        <w:rPr>
          <w:rStyle w:val="FootnoteReference"/>
          <w:kern w:val="18"/>
          <w:szCs w:val="18"/>
          <w:u w:val="none"/>
          <w:vertAlign w:val="superscript"/>
        </w:rPr>
        <w:footnoteRef/>
      </w:r>
      <w:r w:rsidRPr="00BE57CE">
        <w:rPr>
          <w:kern w:val="18"/>
          <w:szCs w:val="18"/>
        </w:rPr>
        <w:t xml:space="preserve"> Refer to footnote in table </w:t>
      </w:r>
      <w:r w:rsidRPr="00DD6E33">
        <w:rPr>
          <w:kern w:val="18"/>
          <w:szCs w:val="18"/>
        </w:rPr>
        <w:t>2. As per United Nations General Assembly resolution 70/245.</w:t>
      </w:r>
    </w:p>
  </w:footnote>
  <w:footnote w:id="28">
    <w:p w14:paraId="6371E2A1" w14:textId="77777777" w:rsidR="006628D7" w:rsidRPr="000C6220" w:rsidRDefault="006628D7" w:rsidP="000C6220">
      <w:pPr>
        <w:keepLines/>
        <w:suppressLineNumbers/>
        <w:suppressAutoHyphens/>
        <w:spacing w:after="60" w:line="240" w:lineRule="auto"/>
        <w:jc w:val="left"/>
        <w:rPr>
          <w:kern w:val="18"/>
          <w:sz w:val="18"/>
          <w:szCs w:val="18"/>
        </w:rPr>
      </w:pPr>
      <w:r w:rsidRPr="000C6220">
        <w:rPr>
          <w:rStyle w:val="FootnoteReference"/>
          <w:kern w:val="18"/>
          <w:szCs w:val="18"/>
          <w:u w:val="none"/>
          <w:vertAlign w:val="superscript"/>
          <w:lang w:eastAsia="x-none"/>
        </w:rPr>
        <w:footnoteRef/>
      </w:r>
      <w:r w:rsidRPr="00BE57CE">
        <w:rPr>
          <w:kern w:val="18"/>
          <w:sz w:val="18"/>
          <w:szCs w:val="18"/>
        </w:rPr>
        <w:t xml:space="preserve"> As per United Nations General Assembly resolution 70/245. A revised scale of</w:t>
      </w:r>
      <w:r w:rsidRPr="00DD6E33">
        <w:rPr>
          <w:kern w:val="18"/>
          <w:sz w:val="18"/>
          <w:szCs w:val="18"/>
        </w:rPr>
        <w:t xml:space="preserve"> assessments for the triennium will be applied, when released, </w:t>
      </w:r>
      <w:r w:rsidRPr="00D20DD3">
        <w:rPr>
          <w:kern w:val="18"/>
          <w:sz w:val="18"/>
          <w:szCs w:val="18"/>
        </w:rPr>
        <w:t xml:space="preserve">to calculate assessed contributions for the biennium 2019-2020 (see </w:t>
      </w:r>
      <w:hyperlink r:id="rId15" w:history="1">
        <w:r w:rsidRPr="00337084">
          <w:rPr>
            <w:rStyle w:val="Hyperlink"/>
            <w:kern w:val="18"/>
            <w:szCs w:val="18"/>
          </w:rPr>
          <w:t>https://www.cbd.int/doc/notifications/2019/ntf-2019-017-budget-np-en.pdf</w:t>
        </w:r>
      </w:hyperlink>
      <w:r w:rsidRPr="00BE57CE">
        <w:rPr>
          <w:kern w:val="18"/>
          <w:sz w:val="18"/>
          <w:szCs w:val="18"/>
        </w:rPr>
        <w:t>)</w:t>
      </w:r>
      <w:r w:rsidRPr="00DD6E33">
        <w:rPr>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2826" w14:textId="77777777" w:rsidR="006628D7" w:rsidRPr="000C6220" w:rsidRDefault="003A38BC" w:rsidP="000C6220">
    <w:pPr>
      <w:suppressLineNumbers/>
      <w:suppressAutoHyphens/>
      <w:kinsoku w:val="0"/>
      <w:overflowPunct w:val="0"/>
      <w:autoSpaceDE w:val="0"/>
      <w:autoSpaceDN w:val="0"/>
      <w:spacing w:after="0" w:line="240" w:lineRule="auto"/>
      <w:jc w:val="left"/>
      <w:rPr>
        <w:noProof/>
        <w:kern w:val="22"/>
        <w:szCs w:val="22"/>
      </w:rPr>
    </w:pPr>
    <w:sdt>
      <w:sdtPr>
        <w:rPr>
          <w:bCs/>
          <w:noProof/>
          <w:kern w:val="22"/>
          <w:szCs w:val="22"/>
        </w:rPr>
        <w:alias w:val="Subject"/>
        <w:tag w:val=""/>
        <w:id w:val="-335617538"/>
        <w:placeholder>
          <w:docPart w:val="FACD5019A315438BBAB24F663071927D"/>
        </w:placeholder>
        <w:dataBinding w:prefixMappings="xmlns:ns0='http://purl.org/dc/elements/1.1/' xmlns:ns1='http://schemas.openxmlformats.org/package/2006/metadata/core-properties' " w:xpath="/ns1:coreProperties[1]/ns0:subject[1]" w:storeItemID="{6C3C8BC8-F283-45AE-878A-BAB7291924A1}"/>
        <w:text/>
      </w:sdtPr>
      <w:sdtEndPr/>
      <w:sdtContent>
        <w:r w:rsidR="006628D7" w:rsidRPr="000C6220">
          <w:rPr>
            <w:bCs/>
            <w:noProof/>
            <w:kern w:val="22"/>
            <w:szCs w:val="22"/>
          </w:rPr>
          <w:t>CBD/NP/MOP/3/10</w:t>
        </w:r>
      </w:sdtContent>
    </w:sdt>
  </w:p>
  <w:p w14:paraId="66E63B19" w14:textId="33FFDBF9" w:rsidR="006628D7" w:rsidRPr="000C6220" w:rsidRDefault="006628D7" w:rsidP="000C6220">
    <w:pPr>
      <w:pStyle w:val="Header"/>
      <w:tabs>
        <w:tab w:val="clear" w:pos="4320"/>
        <w:tab w:val="clear" w:pos="8640"/>
        <w:tab w:val="left" w:pos="5415"/>
      </w:tabs>
      <w:spacing w:after="0" w:line="240" w:lineRule="auto"/>
      <w:rPr>
        <w:noProof/>
        <w:kern w:val="22"/>
      </w:rPr>
    </w:pPr>
    <w:r w:rsidRPr="000C6220">
      <w:rPr>
        <w:noProof/>
        <w:kern w:val="22"/>
      </w:rPr>
      <w:t xml:space="preserve">Page </w:t>
    </w:r>
    <w:r w:rsidRPr="000C6220">
      <w:rPr>
        <w:noProof/>
        <w:kern w:val="22"/>
      </w:rPr>
      <w:fldChar w:fldCharType="begin"/>
    </w:r>
    <w:r w:rsidRPr="000C6220">
      <w:rPr>
        <w:noProof/>
        <w:kern w:val="22"/>
      </w:rPr>
      <w:instrText xml:space="preserve"> PAGE   \* MERGEFORMAT </w:instrText>
    </w:r>
    <w:r w:rsidRPr="000C6220">
      <w:rPr>
        <w:noProof/>
        <w:kern w:val="22"/>
      </w:rPr>
      <w:fldChar w:fldCharType="separate"/>
    </w:r>
    <w:r w:rsidRPr="000C6220">
      <w:rPr>
        <w:noProof/>
        <w:kern w:val="22"/>
      </w:rPr>
      <w:t>1</w:t>
    </w:r>
    <w:r w:rsidRPr="000C6220">
      <w:rPr>
        <w:noProof/>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DCD8" w14:textId="77777777" w:rsidR="006628D7" w:rsidRPr="00B91AF1" w:rsidRDefault="003A38BC" w:rsidP="000C6220">
    <w:pPr>
      <w:suppressLineNumbers/>
      <w:suppressAutoHyphens/>
      <w:kinsoku w:val="0"/>
      <w:overflowPunct w:val="0"/>
      <w:autoSpaceDE w:val="0"/>
      <w:autoSpaceDN w:val="0"/>
      <w:spacing w:after="0" w:line="240" w:lineRule="auto"/>
      <w:jc w:val="right"/>
      <w:rPr>
        <w:noProof/>
        <w:szCs w:val="22"/>
      </w:rPr>
    </w:pPr>
    <w:sdt>
      <w:sdtPr>
        <w:rPr>
          <w:bCs/>
          <w:noProof/>
          <w:szCs w:val="22"/>
        </w:rPr>
        <w:alias w:val="Subject"/>
        <w:tag w:val=""/>
        <w:id w:val="924611997"/>
        <w:placeholder>
          <w:docPart w:val="28B5361FFE95474E9916877774AE28E2"/>
        </w:placeholder>
        <w:dataBinding w:prefixMappings="xmlns:ns0='http://purl.org/dc/elements/1.1/' xmlns:ns1='http://schemas.openxmlformats.org/package/2006/metadata/core-properties' " w:xpath="/ns1:coreProperties[1]/ns0:subject[1]" w:storeItemID="{6C3C8BC8-F283-45AE-878A-BAB7291924A1}"/>
        <w:text/>
      </w:sdtPr>
      <w:sdtEndPr/>
      <w:sdtContent>
        <w:r w:rsidR="006628D7">
          <w:rPr>
            <w:bCs/>
            <w:noProof/>
            <w:szCs w:val="22"/>
          </w:rPr>
          <w:t>CBD/NP/MOP/3/10</w:t>
        </w:r>
      </w:sdtContent>
    </w:sdt>
  </w:p>
  <w:p w14:paraId="17EF17B9" w14:textId="77777777" w:rsidR="006628D7" w:rsidRDefault="006628D7" w:rsidP="000C6220">
    <w:pPr>
      <w:pStyle w:val="Header"/>
      <w:widowControl/>
      <w:suppressLineNumbers/>
      <w:tabs>
        <w:tab w:val="clear" w:pos="4320"/>
        <w:tab w:val="clear" w:pos="8640"/>
        <w:tab w:val="left" w:pos="5415"/>
      </w:tabs>
      <w:suppressAutoHyphens/>
      <w:spacing w:after="0" w:line="240" w:lineRule="auto"/>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15108387" w14:textId="77777777" w:rsidR="006628D7" w:rsidRPr="00D006F2" w:rsidRDefault="006628D7" w:rsidP="000C6220">
    <w:pPr>
      <w:pStyle w:val="Header"/>
      <w:widowControl/>
      <w:suppressLineNumbers/>
      <w:suppressAutoHyphens/>
      <w:spacing w:after="0" w:line="240" w:lineRule="auto"/>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1337" w14:textId="77777777" w:rsidR="006628D7" w:rsidRDefault="00662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516755934"/>
      <w:placeholder>
        <w:docPart w:val="BC4C1ADF0E7940329B5D898FE3224885"/>
      </w:placeholder>
      <w:dataBinding w:prefixMappings="xmlns:ns0='http://purl.org/dc/elements/1.1/' xmlns:ns1='http://schemas.openxmlformats.org/package/2006/metadata/core-properties' " w:xpath="/ns1:coreProperties[1]/ns0:subject[1]" w:storeItemID="{6C3C8BC8-F283-45AE-878A-BAB7291924A1}"/>
      <w:text/>
    </w:sdtPr>
    <w:sdtEndPr/>
    <w:sdtContent>
      <w:p w14:paraId="53559FB8" w14:textId="77777777" w:rsidR="006628D7" w:rsidRPr="0069295C" w:rsidRDefault="006628D7" w:rsidP="000C6220">
        <w:pPr>
          <w:pStyle w:val="Header"/>
          <w:tabs>
            <w:tab w:val="clear" w:pos="4320"/>
            <w:tab w:val="clear" w:pos="8640"/>
          </w:tabs>
          <w:spacing w:after="0"/>
          <w:rPr>
            <w:noProof/>
            <w:kern w:val="22"/>
          </w:rPr>
        </w:pPr>
        <w:r>
          <w:rPr>
            <w:noProof/>
            <w:kern w:val="22"/>
          </w:rPr>
          <w:t>CBD/NP/MOP/3/10</w:t>
        </w:r>
      </w:p>
    </w:sdtContent>
  </w:sdt>
  <w:p w14:paraId="16DD280B" w14:textId="77777777" w:rsidR="006628D7" w:rsidRPr="0069295C" w:rsidRDefault="006628D7" w:rsidP="000C6220">
    <w:pPr>
      <w:pStyle w:val="Header"/>
      <w:tabs>
        <w:tab w:val="clear" w:pos="4320"/>
        <w:tab w:val="clear" w:pos="8640"/>
      </w:tabs>
      <w:spacing w:after="0"/>
      <w:rPr>
        <w:noProof/>
        <w:kern w:val="22"/>
      </w:rPr>
    </w:pPr>
    <w:r w:rsidRPr="0069295C">
      <w:rPr>
        <w:noProof/>
        <w:kern w:val="22"/>
      </w:rPr>
      <w:t xml:space="preserve">Page </w:t>
    </w:r>
    <w:r w:rsidRPr="0069295C">
      <w:rPr>
        <w:noProof/>
        <w:kern w:val="22"/>
      </w:rPr>
      <w:fldChar w:fldCharType="begin"/>
    </w:r>
    <w:r w:rsidRPr="0069295C">
      <w:rPr>
        <w:noProof/>
        <w:kern w:val="22"/>
      </w:rPr>
      <w:instrText xml:space="preserve"> PAGE   \* MERGEFORMAT </w:instrText>
    </w:r>
    <w:r w:rsidRPr="0069295C">
      <w:rPr>
        <w:noProof/>
        <w:kern w:val="22"/>
      </w:rPr>
      <w:fldChar w:fldCharType="separate"/>
    </w:r>
    <w:r w:rsidRPr="0069295C">
      <w:rPr>
        <w:noProof/>
        <w:kern w:val="22"/>
      </w:rPr>
      <w:t>4</w:t>
    </w:r>
    <w:r w:rsidRPr="0069295C">
      <w:rPr>
        <w:noProof/>
        <w:kern w:val="22"/>
      </w:rPr>
      <w:fldChar w:fldCharType="end"/>
    </w:r>
  </w:p>
  <w:p w14:paraId="3D55EB70" w14:textId="77777777" w:rsidR="006628D7" w:rsidRPr="0069295C" w:rsidRDefault="006628D7" w:rsidP="000C6220">
    <w:pPr>
      <w:pStyle w:val="Header"/>
      <w:tabs>
        <w:tab w:val="clear" w:pos="4320"/>
        <w:tab w:val="clear" w:pos="8640"/>
      </w:tabs>
      <w:spacing w:after="0"/>
      <w:rPr>
        <w:noProof/>
        <w:kern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C027" w14:textId="77777777" w:rsidR="006628D7" w:rsidRPr="009B7611" w:rsidRDefault="003A38BC" w:rsidP="0040389B">
    <w:pPr>
      <w:suppressLineNumbers/>
      <w:suppressAutoHyphens/>
      <w:kinsoku w:val="0"/>
      <w:overflowPunct w:val="0"/>
      <w:autoSpaceDE w:val="0"/>
      <w:autoSpaceDN w:val="0"/>
      <w:spacing w:after="0" w:line="240" w:lineRule="auto"/>
      <w:jc w:val="left"/>
      <w:rPr>
        <w:noProof/>
        <w:kern w:val="22"/>
        <w:szCs w:val="22"/>
      </w:rPr>
    </w:pPr>
    <w:sdt>
      <w:sdtPr>
        <w:rPr>
          <w:bCs/>
          <w:noProof/>
          <w:kern w:val="22"/>
          <w:szCs w:val="22"/>
        </w:rPr>
        <w:alias w:val="Subject"/>
        <w:tag w:val=""/>
        <w:id w:val="1517808887"/>
        <w:placeholder>
          <w:docPart w:val="DD28AF7857EB4B129389B936E42A95D2"/>
        </w:placeholder>
        <w:dataBinding w:prefixMappings="xmlns:ns0='http://purl.org/dc/elements/1.1/' xmlns:ns1='http://schemas.openxmlformats.org/package/2006/metadata/core-properties' " w:xpath="/ns1:coreProperties[1]/ns0:subject[1]" w:storeItemID="{6C3C8BC8-F283-45AE-878A-BAB7291924A1}"/>
        <w:text/>
      </w:sdtPr>
      <w:sdtEndPr/>
      <w:sdtContent>
        <w:r w:rsidR="006628D7" w:rsidRPr="009B7611">
          <w:rPr>
            <w:bCs/>
            <w:noProof/>
            <w:kern w:val="22"/>
            <w:szCs w:val="22"/>
          </w:rPr>
          <w:t>CBD/NP/MOP/3/10</w:t>
        </w:r>
      </w:sdtContent>
    </w:sdt>
  </w:p>
  <w:p w14:paraId="4FEA55FC" w14:textId="77777777" w:rsidR="006628D7" w:rsidRPr="009B7611" w:rsidRDefault="006628D7" w:rsidP="0040389B">
    <w:pPr>
      <w:pStyle w:val="Header"/>
      <w:tabs>
        <w:tab w:val="clear" w:pos="4320"/>
        <w:tab w:val="clear" w:pos="8640"/>
        <w:tab w:val="left" w:pos="5415"/>
      </w:tabs>
      <w:spacing w:after="0" w:line="240" w:lineRule="auto"/>
      <w:rPr>
        <w:noProof/>
        <w:kern w:val="22"/>
      </w:rPr>
    </w:pPr>
    <w:r w:rsidRPr="009B7611">
      <w:rPr>
        <w:noProof/>
        <w:kern w:val="22"/>
      </w:rPr>
      <w:t xml:space="preserve">Page </w:t>
    </w:r>
    <w:r w:rsidRPr="009B7611">
      <w:rPr>
        <w:noProof/>
        <w:kern w:val="22"/>
      </w:rPr>
      <w:fldChar w:fldCharType="begin"/>
    </w:r>
    <w:r w:rsidRPr="009B7611">
      <w:rPr>
        <w:noProof/>
        <w:kern w:val="22"/>
      </w:rPr>
      <w:instrText xml:space="preserve"> PAGE   \* MERGEFORMAT </w:instrText>
    </w:r>
    <w:r w:rsidRPr="009B7611">
      <w:rPr>
        <w:noProof/>
        <w:kern w:val="22"/>
      </w:rPr>
      <w:fldChar w:fldCharType="separate"/>
    </w:r>
    <w:r>
      <w:rPr>
        <w:noProof/>
        <w:kern w:val="22"/>
      </w:rPr>
      <w:t>44</w:t>
    </w:r>
    <w:r w:rsidRPr="009B7611">
      <w:rPr>
        <w:noProof/>
        <w:kern w:val="22"/>
      </w:rPr>
      <w:fldChar w:fldCharType="end"/>
    </w:r>
  </w:p>
  <w:p w14:paraId="0D9C278F" w14:textId="77777777" w:rsidR="006628D7" w:rsidRDefault="00662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1E3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FEA0D3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37FE0"/>
    <w:multiLevelType w:val="multilevel"/>
    <w:tmpl w:val="5E64AFF8"/>
    <w:lvl w:ilvl="0">
      <w:start w:val="1"/>
      <w:numFmt w:val="decimal"/>
      <w:lvlText w:val="%1."/>
      <w:lvlJc w:val="left"/>
      <w:pPr>
        <w:tabs>
          <w:tab w:val="num" w:pos="900"/>
        </w:tabs>
        <w:ind w:left="540" w:firstLine="0"/>
      </w:pPr>
      <w:rPr>
        <w:i w:val="0"/>
      </w:r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441C7B"/>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B13C0B"/>
    <w:multiLevelType w:val="hybridMultilevel"/>
    <w:tmpl w:val="4680277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92ED1"/>
    <w:multiLevelType w:val="hybridMultilevel"/>
    <w:tmpl w:val="AC060F9A"/>
    <w:lvl w:ilvl="0" w:tplc="ED325EA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5105B"/>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4E55AE1"/>
    <w:multiLevelType w:val="hybridMultilevel"/>
    <w:tmpl w:val="943E736C"/>
    <w:lvl w:ilvl="0" w:tplc="40EC0D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5C729C4"/>
    <w:multiLevelType w:val="hybridMultilevel"/>
    <w:tmpl w:val="37481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6164C1A"/>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EDB318A"/>
    <w:multiLevelType w:val="hybridMultilevel"/>
    <w:tmpl w:val="632E4938"/>
    <w:lvl w:ilvl="0" w:tplc="611A9E6C">
      <w:start w:val="1"/>
      <w:numFmt w:val="lowerLetter"/>
      <w:pStyle w:val="Heading4"/>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30810D36"/>
    <w:multiLevelType w:val="hybridMultilevel"/>
    <w:tmpl w:val="970E7018"/>
    <w:lvl w:ilvl="0" w:tplc="64EC4342">
      <w:start w:val="1"/>
      <w:numFmt w:val="decimal"/>
      <w:lvlText w:val="%1."/>
      <w:lvlJc w:val="left"/>
      <w:pPr>
        <w:ind w:left="374" w:hanging="360"/>
      </w:pPr>
      <w:rPr>
        <w:rFonts w:hint="default"/>
      </w:rPr>
    </w:lvl>
    <w:lvl w:ilvl="1" w:tplc="10090019" w:tentative="1">
      <w:start w:val="1"/>
      <w:numFmt w:val="lowerLetter"/>
      <w:lvlText w:val="%2."/>
      <w:lvlJc w:val="left"/>
      <w:pPr>
        <w:ind w:left="1094" w:hanging="360"/>
      </w:pPr>
    </w:lvl>
    <w:lvl w:ilvl="2" w:tplc="1009001B" w:tentative="1">
      <w:start w:val="1"/>
      <w:numFmt w:val="lowerRoman"/>
      <w:lvlText w:val="%3."/>
      <w:lvlJc w:val="right"/>
      <w:pPr>
        <w:ind w:left="1814" w:hanging="180"/>
      </w:pPr>
    </w:lvl>
    <w:lvl w:ilvl="3" w:tplc="1009000F" w:tentative="1">
      <w:start w:val="1"/>
      <w:numFmt w:val="decimal"/>
      <w:lvlText w:val="%4."/>
      <w:lvlJc w:val="left"/>
      <w:pPr>
        <w:ind w:left="2534" w:hanging="360"/>
      </w:pPr>
    </w:lvl>
    <w:lvl w:ilvl="4" w:tplc="10090019" w:tentative="1">
      <w:start w:val="1"/>
      <w:numFmt w:val="lowerLetter"/>
      <w:lvlText w:val="%5."/>
      <w:lvlJc w:val="left"/>
      <w:pPr>
        <w:ind w:left="3254" w:hanging="360"/>
      </w:pPr>
    </w:lvl>
    <w:lvl w:ilvl="5" w:tplc="1009001B" w:tentative="1">
      <w:start w:val="1"/>
      <w:numFmt w:val="lowerRoman"/>
      <w:lvlText w:val="%6."/>
      <w:lvlJc w:val="right"/>
      <w:pPr>
        <w:ind w:left="3974" w:hanging="180"/>
      </w:pPr>
    </w:lvl>
    <w:lvl w:ilvl="6" w:tplc="1009000F" w:tentative="1">
      <w:start w:val="1"/>
      <w:numFmt w:val="decimal"/>
      <w:lvlText w:val="%7."/>
      <w:lvlJc w:val="left"/>
      <w:pPr>
        <w:ind w:left="4694" w:hanging="360"/>
      </w:pPr>
    </w:lvl>
    <w:lvl w:ilvl="7" w:tplc="10090019" w:tentative="1">
      <w:start w:val="1"/>
      <w:numFmt w:val="lowerLetter"/>
      <w:lvlText w:val="%8."/>
      <w:lvlJc w:val="left"/>
      <w:pPr>
        <w:ind w:left="5414" w:hanging="360"/>
      </w:pPr>
    </w:lvl>
    <w:lvl w:ilvl="8" w:tplc="1009001B" w:tentative="1">
      <w:start w:val="1"/>
      <w:numFmt w:val="lowerRoman"/>
      <w:lvlText w:val="%9."/>
      <w:lvlJc w:val="right"/>
      <w:pPr>
        <w:ind w:left="6134" w:hanging="180"/>
      </w:pPr>
    </w:lvl>
  </w:abstractNum>
  <w:abstractNum w:abstractNumId="16" w15:restartNumberingAfterBreak="0">
    <w:nsid w:val="34276F15"/>
    <w:multiLevelType w:val="hybridMultilevel"/>
    <w:tmpl w:val="C6F2B8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53165AC"/>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55717A8"/>
    <w:multiLevelType w:val="multilevel"/>
    <w:tmpl w:val="2B36FFE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B65183"/>
    <w:multiLevelType w:val="hybridMultilevel"/>
    <w:tmpl w:val="D000257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0"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3CD46432"/>
    <w:multiLevelType w:val="hybridMultilevel"/>
    <w:tmpl w:val="A6C2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23" w15:restartNumberingAfterBreak="0">
    <w:nsid w:val="41C853E3"/>
    <w:multiLevelType w:val="hybridMultilevel"/>
    <w:tmpl w:val="008C405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CC7FBB"/>
    <w:multiLevelType w:val="hybridMultilevel"/>
    <w:tmpl w:val="B934B6F0"/>
    <w:lvl w:ilvl="0" w:tplc="89D8BABC">
      <w:start w:val="1"/>
      <w:numFmt w:val="lowerLetter"/>
      <w:lvlRestart w:val="0"/>
      <w:pStyle w:val="Para20"/>
      <w:lvlText w:val="(%1)"/>
      <w:lvlJc w:val="left"/>
      <w:pPr>
        <w:tabs>
          <w:tab w:val="num" w:pos="1077"/>
        </w:tabs>
        <w:ind w:left="1077" w:hanging="357"/>
      </w:pPr>
      <w:rPr>
        <w:rFonts w:ascii="CG Times" w:hAnsi="CG Times" w:cs="Times New Roman" w:hint="default"/>
        <w:b w:val="0"/>
        <w:i w:val="0"/>
        <w:sz w:val="24"/>
        <w:szCs w:val="24"/>
        <w:u w:val="none"/>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48E4287B"/>
    <w:multiLevelType w:val="multilevel"/>
    <w:tmpl w:val="5DEA693C"/>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498C51B3"/>
    <w:multiLevelType w:val="hybridMultilevel"/>
    <w:tmpl w:val="65DAE8B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77FBF"/>
    <w:multiLevelType w:val="hybridMultilevel"/>
    <w:tmpl w:val="2B828B7C"/>
    <w:lvl w:ilvl="0" w:tplc="F89AE9D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E7812FA"/>
    <w:multiLevelType w:val="hybridMultilevel"/>
    <w:tmpl w:val="1B363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D721A0"/>
    <w:multiLevelType w:val="hybridMultilevel"/>
    <w:tmpl w:val="419E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0A2CFC"/>
    <w:multiLevelType w:val="hybridMultilevel"/>
    <w:tmpl w:val="1CDED0C0"/>
    <w:lvl w:ilvl="0" w:tplc="ED1012E8">
      <w:start w:val="1"/>
      <w:numFmt w:val="upperRoman"/>
      <w:pStyle w:val="Heading1report"/>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9A276B2"/>
    <w:multiLevelType w:val="hybridMultilevel"/>
    <w:tmpl w:val="B072AC98"/>
    <w:lvl w:ilvl="0" w:tplc="EA2AD17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3A3AE8"/>
    <w:multiLevelType w:val="hybridMultilevel"/>
    <w:tmpl w:val="463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B21BA"/>
    <w:multiLevelType w:val="hybridMultilevel"/>
    <w:tmpl w:val="2A18638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7" w15:restartNumberingAfterBreak="0">
    <w:nsid w:val="5C81126B"/>
    <w:multiLevelType w:val="multilevel"/>
    <w:tmpl w:val="6F0E069C"/>
    <w:lvl w:ilvl="0">
      <w:start w:val="1"/>
      <w:numFmt w:val="decimal"/>
      <w:lvlText w:val="%1."/>
      <w:lvlJc w:val="left"/>
      <w:pPr>
        <w:tabs>
          <w:tab w:val="num" w:pos="630"/>
        </w:tabs>
        <w:ind w:left="270" w:firstLine="0"/>
      </w:pPr>
      <w:rPr>
        <w:rFonts w:ascii="Times New Roman" w:hAnsi="Times New Roman" w:cs="Times New Roman" w:hint="default"/>
        <w:b w:val="0"/>
        <w:i w:val="0"/>
        <w:color w:val="auto"/>
        <w:sz w:val="22"/>
      </w:rPr>
    </w:lvl>
    <w:lvl w:ilvl="1">
      <w:start w:val="1"/>
      <w:numFmt w:val="lowerLetter"/>
      <w:lvlText w:val="(%2)"/>
      <w:lvlJc w:val="left"/>
      <w:pPr>
        <w:tabs>
          <w:tab w:val="num" w:pos="1751"/>
        </w:tabs>
        <w:ind w:left="311" w:firstLine="720"/>
      </w:pPr>
      <w:rPr>
        <w:rFonts w:cs="Times New Roman" w:hint="default"/>
        <w:b w:val="0"/>
        <w:i w:val="0"/>
      </w:rPr>
    </w:lvl>
    <w:lvl w:ilvl="2">
      <w:start w:val="1"/>
      <w:numFmt w:val="lowerRoman"/>
      <w:lvlText w:val="(%3)"/>
      <w:lvlJc w:val="right"/>
      <w:pPr>
        <w:tabs>
          <w:tab w:val="num" w:pos="1620"/>
        </w:tabs>
        <w:ind w:left="1620" w:hanging="360"/>
      </w:pPr>
      <w:rPr>
        <w:rFonts w:cs="Times New Roman" w:hint="default"/>
      </w:rPr>
    </w:lvl>
    <w:lvl w:ilvl="3">
      <w:start w:val="1"/>
      <w:numFmt w:val="bullet"/>
      <w:lvlText w:val=""/>
      <w:lvlJc w:val="left"/>
      <w:pPr>
        <w:tabs>
          <w:tab w:val="num" w:pos="2340"/>
        </w:tabs>
        <w:ind w:left="2340" w:hanging="720"/>
      </w:pPr>
      <w:rPr>
        <w:rFonts w:ascii="Symbol" w:hAnsi="Symbol" w:hint="default"/>
        <w:color w:val="auto"/>
        <w:sz w:val="28"/>
      </w:rPr>
    </w:lvl>
    <w:lvl w:ilvl="4">
      <w:start w:val="1"/>
      <w:numFmt w:val="lowerLetter"/>
      <w:lvlText w:val="(%5)"/>
      <w:lvlJc w:val="left"/>
      <w:pPr>
        <w:tabs>
          <w:tab w:val="num" w:pos="1980"/>
        </w:tabs>
        <w:ind w:left="1980" w:hanging="360"/>
      </w:pPr>
      <w:rPr>
        <w:rFonts w:cs="Times New Roman" w:hint="default"/>
      </w:rPr>
    </w:lvl>
    <w:lvl w:ilvl="5">
      <w:start w:val="1"/>
      <w:numFmt w:val="lowerRoman"/>
      <w:lvlText w:val="(%6)"/>
      <w:lvlJc w:val="left"/>
      <w:pPr>
        <w:tabs>
          <w:tab w:val="num" w:pos="2340"/>
        </w:tabs>
        <w:ind w:left="2340" w:hanging="360"/>
      </w:pPr>
      <w:rPr>
        <w:rFonts w:cs="Times New Roman" w:hint="default"/>
      </w:rPr>
    </w:lvl>
    <w:lvl w:ilvl="6">
      <w:start w:val="1"/>
      <w:numFmt w:val="decimal"/>
      <w:lvlText w:val="%7."/>
      <w:lvlJc w:val="left"/>
      <w:pPr>
        <w:tabs>
          <w:tab w:val="num" w:pos="2700"/>
        </w:tabs>
        <w:ind w:left="2700" w:hanging="360"/>
      </w:pPr>
      <w:rPr>
        <w:rFonts w:cs="Times New Roman" w:hint="default"/>
      </w:rPr>
    </w:lvl>
    <w:lvl w:ilvl="7">
      <w:start w:val="1"/>
      <w:numFmt w:val="lowerLetter"/>
      <w:lvlText w:val="%8."/>
      <w:lvlJc w:val="left"/>
      <w:pPr>
        <w:tabs>
          <w:tab w:val="num" w:pos="3060"/>
        </w:tabs>
        <w:ind w:left="3060" w:hanging="360"/>
      </w:pPr>
      <w:rPr>
        <w:rFonts w:cs="Times New Roman" w:hint="default"/>
      </w:rPr>
    </w:lvl>
    <w:lvl w:ilvl="8">
      <w:start w:val="1"/>
      <w:numFmt w:val="lowerRoman"/>
      <w:lvlText w:val="%9."/>
      <w:lvlJc w:val="left"/>
      <w:pPr>
        <w:tabs>
          <w:tab w:val="num" w:pos="3420"/>
        </w:tabs>
        <w:ind w:left="3420" w:hanging="360"/>
      </w:pPr>
      <w:rPr>
        <w:rFonts w:cs="Times New Roman" w:hint="default"/>
      </w:rPr>
    </w:lvl>
  </w:abstractNum>
  <w:abstractNum w:abstractNumId="3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000AC"/>
    <w:multiLevelType w:val="multilevel"/>
    <w:tmpl w:val="DE200BE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350"/>
        </w:tabs>
        <w:ind w:left="-90" w:firstLine="720"/>
      </w:pPr>
      <w:rPr>
        <w:rFonts w:hint="default"/>
        <w:b w:val="0"/>
        <w:i w:val="0"/>
      </w:rPr>
    </w:lvl>
    <w:lvl w:ilvl="2">
      <w:start w:val="1"/>
      <w:numFmt w:val="lowerRoman"/>
      <w:lvlText w:val="(%3)"/>
      <w:lvlJc w:val="right"/>
      <w:pPr>
        <w:tabs>
          <w:tab w:val="num" w:pos="360"/>
        </w:tabs>
        <w:ind w:left="36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20D6AEB"/>
    <w:multiLevelType w:val="multilevel"/>
    <w:tmpl w:val="5268E5B4"/>
    <w:lvl w:ilvl="0">
      <w:start w:val="1"/>
      <w:numFmt w:val="decimal"/>
      <w:pStyle w:val="Para1"/>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648E71EE"/>
    <w:multiLevelType w:val="hybridMultilevel"/>
    <w:tmpl w:val="FED6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EE46A3"/>
    <w:multiLevelType w:val="hybridMultilevel"/>
    <w:tmpl w:val="2D2E8D78"/>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44" w15:restartNumberingAfterBreak="0">
    <w:nsid w:val="6CD57C6E"/>
    <w:multiLevelType w:val="multilevel"/>
    <w:tmpl w:val="747AF6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E23244"/>
    <w:multiLevelType w:val="multilevel"/>
    <w:tmpl w:val="B3C03A2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2947080"/>
    <w:multiLevelType w:val="hybridMultilevel"/>
    <w:tmpl w:val="BD52A488"/>
    <w:lvl w:ilvl="0" w:tplc="8722BBB2">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50" w15:restartNumberingAfterBreak="0">
    <w:nsid w:val="784D753F"/>
    <w:multiLevelType w:val="hybridMultilevel"/>
    <w:tmpl w:val="7D42E2E6"/>
    <w:lvl w:ilvl="0" w:tplc="022CD2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0656BF"/>
    <w:multiLevelType w:val="hybridMultilevel"/>
    <w:tmpl w:val="A3EE5404"/>
    <w:lvl w:ilvl="0" w:tplc="40EC0D6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3"/>
  </w:num>
  <w:num w:numId="2">
    <w:abstractNumId w:val="22"/>
  </w:num>
  <w:num w:numId="3">
    <w:abstractNumId w:val="20"/>
  </w:num>
  <w:num w:numId="4">
    <w:abstractNumId w:val="14"/>
  </w:num>
  <w:num w:numId="5">
    <w:abstractNumId w:val="49"/>
  </w:num>
  <w:num w:numId="6">
    <w:abstractNumId w:val="25"/>
  </w:num>
  <w:num w:numId="7">
    <w:abstractNumId w:val="40"/>
  </w:num>
  <w:num w:numId="8">
    <w:abstractNumId w:val="24"/>
  </w:num>
  <w:num w:numId="9">
    <w:abstractNumId w:val="43"/>
  </w:num>
  <w:num w:numId="10">
    <w:abstractNumId w:val="28"/>
  </w:num>
  <w:num w:numId="11">
    <w:abstractNumId w:val="1"/>
  </w:num>
  <w:num w:numId="12">
    <w:abstractNumId w:val="40"/>
  </w:num>
  <w:num w:numId="13">
    <w:abstractNumId w:val="40"/>
  </w:num>
  <w:num w:numId="14">
    <w:abstractNumId w:val="4"/>
  </w:num>
  <w:num w:numId="15">
    <w:abstractNumId w:val="26"/>
  </w:num>
  <w:num w:numId="16">
    <w:abstractNumId w:val="0"/>
  </w:num>
  <w:num w:numId="17">
    <w:abstractNumId w:val="46"/>
  </w:num>
  <w:num w:numId="18">
    <w:abstractNumId w:val="44"/>
  </w:num>
  <w:num w:numId="19">
    <w:abstractNumId w:val="39"/>
  </w:num>
  <w:num w:numId="20">
    <w:abstractNumId w:val="29"/>
  </w:num>
  <w:num w:numId="21">
    <w:abstractNumId w:val="1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6"/>
  </w:num>
  <w:num w:numId="25">
    <w:abstractNumId w:val="40"/>
  </w:num>
  <w:num w:numId="26">
    <w:abstractNumId w:val="40"/>
  </w:num>
  <w:num w:numId="27">
    <w:abstractNumId w:val="40"/>
  </w:num>
  <w:num w:numId="28">
    <w:abstractNumId w:val="31"/>
  </w:num>
  <w:num w:numId="29">
    <w:abstractNumId w:val="35"/>
  </w:num>
  <w:num w:numId="30">
    <w:abstractNumId w:val="41"/>
  </w:num>
  <w:num w:numId="31">
    <w:abstractNumId w:val="40"/>
  </w:num>
  <w:num w:numId="32">
    <w:abstractNumId w:val="1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40"/>
  </w:num>
  <w:num w:numId="37">
    <w:abstractNumId w:val="40"/>
  </w:num>
  <w:num w:numId="38">
    <w:abstractNumId w:val="40"/>
  </w:num>
  <w:num w:numId="39">
    <w:abstractNumId w:val="40"/>
  </w:num>
  <w:num w:numId="40">
    <w:abstractNumId w:val="40"/>
  </w:num>
  <w:num w:numId="41">
    <w:abstractNumId w:val="40"/>
  </w:num>
  <w:num w:numId="42">
    <w:abstractNumId w:val="40"/>
  </w:num>
  <w:num w:numId="43">
    <w:abstractNumId w:val="4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2"/>
  </w:num>
  <w:num w:numId="46">
    <w:abstractNumId w:val="12"/>
  </w:num>
  <w:num w:numId="47">
    <w:abstractNumId w:val="7"/>
  </w:num>
  <w:num w:numId="48">
    <w:abstractNumId w:val="23"/>
  </w:num>
  <w:num w:numId="49">
    <w:abstractNumId w:val="37"/>
  </w:num>
  <w:num w:numId="50">
    <w:abstractNumId w:val="40"/>
  </w:num>
  <w:num w:numId="51">
    <w:abstractNumId w:val="40"/>
  </w:num>
  <w:num w:numId="52">
    <w:abstractNumId w:val="40"/>
  </w:num>
  <w:num w:numId="53">
    <w:abstractNumId w:val="33"/>
  </w:num>
  <w:num w:numId="54">
    <w:abstractNumId w:val="40"/>
  </w:num>
  <w:num w:numId="55">
    <w:abstractNumId w:val="30"/>
  </w:num>
  <w:num w:numId="56">
    <w:abstractNumId w:val="21"/>
  </w:num>
  <w:num w:numId="57">
    <w:abstractNumId w:val="34"/>
  </w:num>
  <w:num w:numId="58">
    <w:abstractNumId w:val="10"/>
  </w:num>
  <w:num w:numId="59">
    <w:abstractNumId w:val="47"/>
  </w:num>
  <w:num w:numId="60">
    <w:abstractNumId w:val="27"/>
  </w:num>
  <w:num w:numId="61">
    <w:abstractNumId w:val="16"/>
  </w:num>
  <w:num w:numId="62">
    <w:abstractNumId w:val="15"/>
  </w:num>
  <w:num w:numId="63">
    <w:abstractNumId w:val="3"/>
  </w:num>
  <w:num w:numId="64">
    <w:abstractNumId w:val="2"/>
  </w:num>
  <w:num w:numId="65">
    <w:abstractNumId w:val="11"/>
  </w:num>
  <w:num w:numId="66">
    <w:abstractNumId w:val="9"/>
  </w:num>
  <w:num w:numId="67">
    <w:abstractNumId w:val="52"/>
  </w:num>
  <w:num w:numId="68">
    <w:abstractNumId w:val="5"/>
  </w:num>
  <w:num w:numId="69">
    <w:abstractNumId w:val="24"/>
    <w:lvlOverride w:ilvl="0">
      <w:startOverride w:val="1"/>
    </w:lvlOverride>
  </w:num>
  <w:num w:numId="70">
    <w:abstractNumId w:val="45"/>
  </w:num>
  <w:num w:numId="71">
    <w:abstractNumId w:val="24"/>
    <w:lvlOverride w:ilvl="0">
      <w:startOverride w:val="1"/>
    </w:lvlOverride>
  </w:num>
  <w:num w:numId="72">
    <w:abstractNumId w:val="24"/>
    <w:lvlOverride w:ilvl="0">
      <w:startOverride w:val="1"/>
    </w:lvlOverride>
  </w:num>
  <w:num w:numId="73">
    <w:abstractNumId w:val="24"/>
    <w:lvlOverride w:ilvl="0">
      <w:startOverride w:val="1"/>
    </w:lvlOverride>
  </w:num>
  <w:num w:numId="74">
    <w:abstractNumId w:val="24"/>
    <w:lvlOverride w:ilvl="0">
      <w:startOverride w:val="1"/>
    </w:lvlOverride>
  </w:num>
  <w:num w:numId="75">
    <w:abstractNumId w:val="38"/>
  </w:num>
  <w:num w:numId="76">
    <w:abstractNumId w:val="32"/>
  </w:num>
  <w:num w:numId="77">
    <w:abstractNumId w:val="6"/>
  </w:num>
  <w:num w:numId="78">
    <w:abstractNumId w:val="48"/>
  </w:num>
  <w:num w:numId="79">
    <w:abstractNumId w:val="51"/>
  </w:num>
  <w:num w:numId="80">
    <w:abstractNumId w:val="50"/>
  </w:num>
  <w:num w:numId="81">
    <w:abstractNumId w:val="1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evenAndOddHeaders/>
  <w:drawingGridHorizontalSpacing w:val="110"/>
  <w:drawingGridVerticalSpacing w:val="120"/>
  <w:displayHorizontalDrawingGridEvery w:val="2"/>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41"/>
    <w:rsid w:val="0000142D"/>
    <w:rsid w:val="00001D79"/>
    <w:rsid w:val="00003867"/>
    <w:rsid w:val="0000541C"/>
    <w:rsid w:val="00005C61"/>
    <w:rsid w:val="000125F6"/>
    <w:rsid w:val="00013350"/>
    <w:rsid w:val="000133FF"/>
    <w:rsid w:val="000135ED"/>
    <w:rsid w:val="0001485A"/>
    <w:rsid w:val="00016F81"/>
    <w:rsid w:val="00017044"/>
    <w:rsid w:val="000208DB"/>
    <w:rsid w:val="00020A0D"/>
    <w:rsid w:val="00023F14"/>
    <w:rsid w:val="000247E5"/>
    <w:rsid w:val="00024997"/>
    <w:rsid w:val="00024F88"/>
    <w:rsid w:val="00026FA7"/>
    <w:rsid w:val="00027615"/>
    <w:rsid w:val="00027927"/>
    <w:rsid w:val="00027BBF"/>
    <w:rsid w:val="00031DEA"/>
    <w:rsid w:val="0003215E"/>
    <w:rsid w:val="0003231A"/>
    <w:rsid w:val="0003284F"/>
    <w:rsid w:val="00032DB4"/>
    <w:rsid w:val="00033416"/>
    <w:rsid w:val="000340DF"/>
    <w:rsid w:val="00035821"/>
    <w:rsid w:val="0003762E"/>
    <w:rsid w:val="00037812"/>
    <w:rsid w:val="00037996"/>
    <w:rsid w:val="00042694"/>
    <w:rsid w:val="0004503C"/>
    <w:rsid w:val="00045453"/>
    <w:rsid w:val="00046571"/>
    <w:rsid w:val="00046D1C"/>
    <w:rsid w:val="000470F9"/>
    <w:rsid w:val="00050D31"/>
    <w:rsid w:val="00052DAC"/>
    <w:rsid w:val="000539B9"/>
    <w:rsid w:val="00053ACB"/>
    <w:rsid w:val="0005584A"/>
    <w:rsid w:val="0005647D"/>
    <w:rsid w:val="00056D86"/>
    <w:rsid w:val="000570C1"/>
    <w:rsid w:val="00057247"/>
    <w:rsid w:val="0005774C"/>
    <w:rsid w:val="00060E65"/>
    <w:rsid w:val="000617F6"/>
    <w:rsid w:val="00061A21"/>
    <w:rsid w:val="00064A5B"/>
    <w:rsid w:val="000652C5"/>
    <w:rsid w:val="000659D0"/>
    <w:rsid w:val="0006631C"/>
    <w:rsid w:val="00066C74"/>
    <w:rsid w:val="0006789E"/>
    <w:rsid w:val="00067CE1"/>
    <w:rsid w:val="000703F4"/>
    <w:rsid w:val="0007148E"/>
    <w:rsid w:val="00072268"/>
    <w:rsid w:val="0007306C"/>
    <w:rsid w:val="0007387C"/>
    <w:rsid w:val="00074A1C"/>
    <w:rsid w:val="000758BF"/>
    <w:rsid w:val="00075B78"/>
    <w:rsid w:val="000805E4"/>
    <w:rsid w:val="00081A79"/>
    <w:rsid w:val="0008248C"/>
    <w:rsid w:val="000860CE"/>
    <w:rsid w:val="00086653"/>
    <w:rsid w:val="00090360"/>
    <w:rsid w:val="00090488"/>
    <w:rsid w:val="00090613"/>
    <w:rsid w:val="000906C2"/>
    <w:rsid w:val="00091211"/>
    <w:rsid w:val="000918BF"/>
    <w:rsid w:val="00093FD1"/>
    <w:rsid w:val="00094E39"/>
    <w:rsid w:val="00094EB4"/>
    <w:rsid w:val="0009776D"/>
    <w:rsid w:val="000A0E6E"/>
    <w:rsid w:val="000A0EC9"/>
    <w:rsid w:val="000A15DF"/>
    <w:rsid w:val="000A25E3"/>
    <w:rsid w:val="000A315D"/>
    <w:rsid w:val="000A36CC"/>
    <w:rsid w:val="000A5462"/>
    <w:rsid w:val="000A5AC6"/>
    <w:rsid w:val="000A6D54"/>
    <w:rsid w:val="000B078F"/>
    <w:rsid w:val="000B093B"/>
    <w:rsid w:val="000B2E4C"/>
    <w:rsid w:val="000B35F0"/>
    <w:rsid w:val="000B36E0"/>
    <w:rsid w:val="000B513F"/>
    <w:rsid w:val="000B62E9"/>
    <w:rsid w:val="000B70A8"/>
    <w:rsid w:val="000B7907"/>
    <w:rsid w:val="000C106E"/>
    <w:rsid w:val="000C1CF7"/>
    <w:rsid w:val="000C232C"/>
    <w:rsid w:val="000C3237"/>
    <w:rsid w:val="000C5C90"/>
    <w:rsid w:val="000C6220"/>
    <w:rsid w:val="000C6855"/>
    <w:rsid w:val="000D0E5A"/>
    <w:rsid w:val="000D1E1D"/>
    <w:rsid w:val="000D4C2B"/>
    <w:rsid w:val="000D590C"/>
    <w:rsid w:val="000D6FDD"/>
    <w:rsid w:val="000D7652"/>
    <w:rsid w:val="000E27DB"/>
    <w:rsid w:val="000E3BB4"/>
    <w:rsid w:val="000E4498"/>
    <w:rsid w:val="000E6E86"/>
    <w:rsid w:val="000F0783"/>
    <w:rsid w:val="000F15D2"/>
    <w:rsid w:val="000F3D8A"/>
    <w:rsid w:val="000F432F"/>
    <w:rsid w:val="000F6A49"/>
    <w:rsid w:val="000F6C07"/>
    <w:rsid w:val="000F7ED6"/>
    <w:rsid w:val="00100E37"/>
    <w:rsid w:val="00101DA6"/>
    <w:rsid w:val="001024C7"/>
    <w:rsid w:val="00104ACD"/>
    <w:rsid w:val="00105F13"/>
    <w:rsid w:val="00106356"/>
    <w:rsid w:val="001100E9"/>
    <w:rsid w:val="001105DF"/>
    <w:rsid w:val="00110AE5"/>
    <w:rsid w:val="001116C0"/>
    <w:rsid w:val="00113A87"/>
    <w:rsid w:val="0011481C"/>
    <w:rsid w:val="00114A98"/>
    <w:rsid w:val="00115639"/>
    <w:rsid w:val="001157B3"/>
    <w:rsid w:val="00115E8D"/>
    <w:rsid w:val="0011779B"/>
    <w:rsid w:val="00117CDF"/>
    <w:rsid w:val="0012047A"/>
    <w:rsid w:val="0012228F"/>
    <w:rsid w:val="001242A4"/>
    <w:rsid w:val="00124414"/>
    <w:rsid w:val="001252CC"/>
    <w:rsid w:val="00125355"/>
    <w:rsid w:val="0012567A"/>
    <w:rsid w:val="00127617"/>
    <w:rsid w:val="00127E0D"/>
    <w:rsid w:val="00130524"/>
    <w:rsid w:val="00131256"/>
    <w:rsid w:val="001326B7"/>
    <w:rsid w:val="00132CBE"/>
    <w:rsid w:val="0013367A"/>
    <w:rsid w:val="00133FD7"/>
    <w:rsid w:val="00134D56"/>
    <w:rsid w:val="0013547D"/>
    <w:rsid w:val="00137047"/>
    <w:rsid w:val="00137C6E"/>
    <w:rsid w:val="001400BF"/>
    <w:rsid w:val="00140CF4"/>
    <w:rsid w:val="00141A04"/>
    <w:rsid w:val="0014227C"/>
    <w:rsid w:val="00144BDE"/>
    <w:rsid w:val="00144D54"/>
    <w:rsid w:val="00146404"/>
    <w:rsid w:val="0014777B"/>
    <w:rsid w:val="00151E92"/>
    <w:rsid w:val="00154715"/>
    <w:rsid w:val="00154B4A"/>
    <w:rsid w:val="00155BB8"/>
    <w:rsid w:val="00155D67"/>
    <w:rsid w:val="00156858"/>
    <w:rsid w:val="00156B0D"/>
    <w:rsid w:val="00156CBE"/>
    <w:rsid w:val="001574E4"/>
    <w:rsid w:val="00157BF9"/>
    <w:rsid w:val="00160B1F"/>
    <w:rsid w:val="0016213F"/>
    <w:rsid w:val="00163DE9"/>
    <w:rsid w:val="00163E82"/>
    <w:rsid w:val="001654B9"/>
    <w:rsid w:val="00166295"/>
    <w:rsid w:val="001669BF"/>
    <w:rsid w:val="001676D5"/>
    <w:rsid w:val="00171D4F"/>
    <w:rsid w:val="00172FDD"/>
    <w:rsid w:val="0017379D"/>
    <w:rsid w:val="00175115"/>
    <w:rsid w:val="00177166"/>
    <w:rsid w:val="00177D3E"/>
    <w:rsid w:val="00177D7A"/>
    <w:rsid w:val="00182C46"/>
    <w:rsid w:val="0018350F"/>
    <w:rsid w:val="0018411F"/>
    <w:rsid w:val="00186844"/>
    <w:rsid w:val="001869DD"/>
    <w:rsid w:val="00186BE7"/>
    <w:rsid w:val="00187CB6"/>
    <w:rsid w:val="00190216"/>
    <w:rsid w:val="00192323"/>
    <w:rsid w:val="001923DF"/>
    <w:rsid w:val="00193167"/>
    <w:rsid w:val="00194122"/>
    <w:rsid w:val="0019484C"/>
    <w:rsid w:val="001A1112"/>
    <w:rsid w:val="001A220B"/>
    <w:rsid w:val="001A3E95"/>
    <w:rsid w:val="001A4046"/>
    <w:rsid w:val="001A4F8F"/>
    <w:rsid w:val="001A56F0"/>
    <w:rsid w:val="001B07C0"/>
    <w:rsid w:val="001B0CA1"/>
    <w:rsid w:val="001B0E98"/>
    <w:rsid w:val="001B1983"/>
    <w:rsid w:val="001B21BB"/>
    <w:rsid w:val="001B2EC7"/>
    <w:rsid w:val="001B4104"/>
    <w:rsid w:val="001B58AE"/>
    <w:rsid w:val="001B5A72"/>
    <w:rsid w:val="001B6AB0"/>
    <w:rsid w:val="001B7961"/>
    <w:rsid w:val="001B79B0"/>
    <w:rsid w:val="001B7E50"/>
    <w:rsid w:val="001C093E"/>
    <w:rsid w:val="001C0A74"/>
    <w:rsid w:val="001C10F6"/>
    <w:rsid w:val="001C2442"/>
    <w:rsid w:val="001C2B13"/>
    <w:rsid w:val="001C3F84"/>
    <w:rsid w:val="001C5128"/>
    <w:rsid w:val="001C53F5"/>
    <w:rsid w:val="001D077D"/>
    <w:rsid w:val="001D0F62"/>
    <w:rsid w:val="001D136C"/>
    <w:rsid w:val="001D162D"/>
    <w:rsid w:val="001D2816"/>
    <w:rsid w:val="001D3E29"/>
    <w:rsid w:val="001D4A8D"/>
    <w:rsid w:val="001D669D"/>
    <w:rsid w:val="001E0ACD"/>
    <w:rsid w:val="001E16B7"/>
    <w:rsid w:val="001E1756"/>
    <w:rsid w:val="001E2681"/>
    <w:rsid w:val="001E362E"/>
    <w:rsid w:val="001E4E65"/>
    <w:rsid w:val="001E6687"/>
    <w:rsid w:val="001E6A3A"/>
    <w:rsid w:val="001E75CF"/>
    <w:rsid w:val="001E7C7B"/>
    <w:rsid w:val="001F07F6"/>
    <w:rsid w:val="001F243F"/>
    <w:rsid w:val="001F2629"/>
    <w:rsid w:val="001F262E"/>
    <w:rsid w:val="001F2E12"/>
    <w:rsid w:val="001F2E1C"/>
    <w:rsid w:val="001F37AE"/>
    <w:rsid w:val="001F4E2F"/>
    <w:rsid w:val="002003BB"/>
    <w:rsid w:val="00201C91"/>
    <w:rsid w:val="00202EA0"/>
    <w:rsid w:val="002116EE"/>
    <w:rsid w:val="00212E0B"/>
    <w:rsid w:val="002140FC"/>
    <w:rsid w:val="00216249"/>
    <w:rsid w:val="00217009"/>
    <w:rsid w:val="0021741E"/>
    <w:rsid w:val="0022023F"/>
    <w:rsid w:val="0022074B"/>
    <w:rsid w:val="00221210"/>
    <w:rsid w:val="00222EE1"/>
    <w:rsid w:val="00224B8B"/>
    <w:rsid w:val="002266FB"/>
    <w:rsid w:val="00227973"/>
    <w:rsid w:val="00227A31"/>
    <w:rsid w:val="00227A70"/>
    <w:rsid w:val="0023182F"/>
    <w:rsid w:val="00231BC4"/>
    <w:rsid w:val="002329BF"/>
    <w:rsid w:val="00232EDA"/>
    <w:rsid w:val="00234E12"/>
    <w:rsid w:val="00234F8A"/>
    <w:rsid w:val="00236B07"/>
    <w:rsid w:val="00240D7E"/>
    <w:rsid w:val="00241BEF"/>
    <w:rsid w:val="00242031"/>
    <w:rsid w:val="002424D5"/>
    <w:rsid w:val="002437E5"/>
    <w:rsid w:val="002452B4"/>
    <w:rsid w:val="00245379"/>
    <w:rsid w:val="00245861"/>
    <w:rsid w:val="0024675D"/>
    <w:rsid w:val="0024723B"/>
    <w:rsid w:val="00247857"/>
    <w:rsid w:val="00250648"/>
    <w:rsid w:val="002508CE"/>
    <w:rsid w:val="00250E06"/>
    <w:rsid w:val="00252FA3"/>
    <w:rsid w:val="00253495"/>
    <w:rsid w:val="00256046"/>
    <w:rsid w:val="00257AB9"/>
    <w:rsid w:val="00263286"/>
    <w:rsid w:val="002632EB"/>
    <w:rsid w:val="0026470B"/>
    <w:rsid w:val="00265D86"/>
    <w:rsid w:val="0026730E"/>
    <w:rsid w:val="002673E8"/>
    <w:rsid w:val="00270EEA"/>
    <w:rsid w:val="002712D1"/>
    <w:rsid w:val="00272CFE"/>
    <w:rsid w:val="00272D8C"/>
    <w:rsid w:val="002737EF"/>
    <w:rsid w:val="00273D5B"/>
    <w:rsid w:val="00274E0B"/>
    <w:rsid w:val="00275E53"/>
    <w:rsid w:val="002763EE"/>
    <w:rsid w:val="00276D79"/>
    <w:rsid w:val="00276DFC"/>
    <w:rsid w:val="00277591"/>
    <w:rsid w:val="002803B1"/>
    <w:rsid w:val="00281C04"/>
    <w:rsid w:val="00282BC3"/>
    <w:rsid w:val="00284BC9"/>
    <w:rsid w:val="002863A3"/>
    <w:rsid w:val="00290916"/>
    <w:rsid w:val="002909AB"/>
    <w:rsid w:val="00291E2A"/>
    <w:rsid w:val="00291FC8"/>
    <w:rsid w:val="00292E93"/>
    <w:rsid w:val="002933B4"/>
    <w:rsid w:val="00293741"/>
    <w:rsid w:val="0029458B"/>
    <w:rsid w:val="00294EE7"/>
    <w:rsid w:val="00295011"/>
    <w:rsid w:val="00295D51"/>
    <w:rsid w:val="00297AB6"/>
    <w:rsid w:val="00297D75"/>
    <w:rsid w:val="002A2D9A"/>
    <w:rsid w:val="002A2E8B"/>
    <w:rsid w:val="002A3387"/>
    <w:rsid w:val="002A37A7"/>
    <w:rsid w:val="002A4637"/>
    <w:rsid w:val="002A4E5E"/>
    <w:rsid w:val="002A51D9"/>
    <w:rsid w:val="002A5B02"/>
    <w:rsid w:val="002A69DE"/>
    <w:rsid w:val="002A6E78"/>
    <w:rsid w:val="002A7FCA"/>
    <w:rsid w:val="002B200C"/>
    <w:rsid w:val="002B3718"/>
    <w:rsid w:val="002B37B7"/>
    <w:rsid w:val="002B5A8C"/>
    <w:rsid w:val="002B5AC4"/>
    <w:rsid w:val="002B63AC"/>
    <w:rsid w:val="002B67FD"/>
    <w:rsid w:val="002B7BB5"/>
    <w:rsid w:val="002B7F24"/>
    <w:rsid w:val="002C0423"/>
    <w:rsid w:val="002C1296"/>
    <w:rsid w:val="002C1506"/>
    <w:rsid w:val="002C24A0"/>
    <w:rsid w:val="002C3199"/>
    <w:rsid w:val="002C3A2D"/>
    <w:rsid w:val="002C483F"/>
    <w:rsid w:val="002C5EC6"/>
    <w:rsid w:val="002C6CDC"/>
    <w:rsid w:val="002D0B37"/>
    <w:rsid w:val="002D18AF"/>
    <w:rsid w:val="002D1A3A"/>
    <w:rsid w:val="002D3CEA"/>
    <w:rsid w:val="002D520C"/>
    <w:rsid w:val="002D5E45"/>
    <w:rsid w:val="002D7E3F"/>
    <w:rsid w:val="002D7E6D"/>
    <w:rsid w:val="002E0B54"/>
    <w:rsid w:val="002E2F0C"/>
    <w:rsid w:val="002E3E97"/>
    <w:rsid w:val="002E3F0D"/>
    <w:rsid w:val="002E425B"/>
    <w:rsid w:val="002E4C08"/>
    <w:rsid w:val="002E5B40"/>
    <w:rsid w:val="002E60B6"/>
    <w:rsid w:val="002E6719"/>
    <w:rsid w:val="002E6E67"/>
    <w:rsid w:val="002E6F1B"/>
    <w:rsid w:val="002F0C59"/>
    <w:rsid w:val="002F1063"/>
    <w:rsid w:val="002F17BB"/>
    <w:rsid w:val="002F2164"/>
    <w:rsid w:val="002F21A7"/>
    <w:rsid w:val="00300261"/>
    <w:rsid w:val="0030033D"/>
    <w:rsid w:val="00300DB1"/>
    <w:rsid w:val="00303DE9"/>
    <w:rsid w:val="003045A9"/>
    <w:rsid w:val="00305197"/>
    <w:rsid w:val="0030547F"/>
    <w:rsid w:val="00305984"/>
    <w:rsid w:val="00305D1F"/>
    <w:rsid w:val="003069BF"/>
    <w:rsid w:val="003075A8"/>
    <w:rsid w:val="00307683"/>
    <w:rsid w:val="00307DAF"/>
    <w:rsid w:val="00311A89"/>
    <w:rsid w:val="0031278A"/>
    <w:rsid w:val="00313783"/>
    <w:rsid w:val="00316477"/>
    <w:rsid w:val="0031678C"/>
    <w:rsid w:val="003170BD"/>
    <w:rsid w:val="00317213"/>
    <w:rsid w:val="003172E3"/>
    <w:rsid w:val="003172F0"/>
    <w:rsid w:val="00321A65"/>
    <w:rsid w:val="00322E6E"/>
    <w:rsid w:val="003231E5"/>
    <w:rsid w:val="003260D2"/>
    <w:rsid w:val="0032610E"/>
    <w:rsid w:val="00330F65"/>
    <w:rsid w:val="00331059"/>
    <w:rsid w:val="00331907"/>
    <w:rsid w:val="00332D5E"/>
    <w:rsid w:val="003333F2"/>
    <w:rsid w:val="00333F92"/>
    <w:rsid w:val="00336B70"/>
    <w:rsid w:val="00337084"/>
    <w:rsid w:val="0033741A"/>
    <w:rsid w:val="003379C8"/>
    <w:rsid w:val="00337E32"/>
    <w:rsid w:val="0034019B"/>
    <w:rsid w:val="003401BF"/>
    <w:rsid w:val="00341A72"/>
    <w:rsid w:val="00341EFA"/>
    <w:rsid w:val="00342651"/>
    <w:rsid w:val="00342B4C"/>
    <w:rsid w:val="00343307"/>
    <w:rsid w:val="003438E6"/>
    <w:rsid w:val="00345297"/>
    <w:rsid w:val="00345B00"/>
    <w:rsid w:val="0035167D"/>
    <w:rsid w:val="00354A6F"/>
    <w:rsid w:val="00354D5D"/>
    <w:rsid w:val="00354D7F"/>
    <w:rsid w:val="00354DFE"/>
    <w:rsid w:val="00357803"/>
    <w:rsid w:val="0036008F"/>
    <w:rsid w:val="003633D5"/>
    <w:rsid w:val="0036374B"/>
    <w:rsid w:val="00365A49"/>
    <w:rsid w:val="00365FDD"/>
    <w:rsid w:val="00367459"/>
    <w:rsid w:val="00367EA7"/>
    <w:rsid w:val="00370031"/>
    <w:rsid w:val="0037012F"/>
    <w:rsid w:val="0037081E"/>
    <w:rsid w:val="00373505"/>
    <w:rsid w:val="003743E1"/>
    <w:rsid w:val="00380362"/>
    <w:rsid w:val="003806A4"/>
    <w:rsid w:val="00380CE7"/>
    <w:rsid w:val="00380CED"/>
    <w:rsid w:val="00381CF8"/>
    <w:rsid w:val="0038488D"/>
    <w:rsid w:val="003858EA"/>
    <w:rsid w:val="00385F32"/>
    <w:rsid w:val="00387581"/>
    <w:rsid w:val="003905B1"/>
    <w:rsid w:val="00390D54"/>
    <w:rsid w:val="00390E7B"/>
    <w:rsid w:val="00392648"/>
    <w:rsid w:val="003949B4"/>
    <w:rsid w:val="00394F08"/>
    <w:rsid w:val="003952D2"/>
    <w:rsid w:val="003A041D"/>
    <w:rsid w:val="003A15C6"/>
    <w:rsid w:val="003A3505"/>
    <w:rsid w:val="003A38BC"/>
    <w:rsid w:val="003A6C9E"/>
    <w:rsid w:val="003A7A88"/>
    <w:rsid w:val="003B0C02"/>
    <w:rsid w:val="003B0CF8"/>
    <w:rsid w:val="003B2173"/>
    <w:rsid w:val="003B40CF"/>
    <w:rsid w:val="003B50B1"/>
    <w:rsid w:val="003B548A"/>
    <w:rsid w:val="003B66A2"/>
    <w:rsid w:val="003B6799"/>
    <w:rsid w:val="003C06D7"/>
    <w:rsid w:val="003C1FBD"/>
    <w:rsid w:val="003C2A2C"/>
    <w:rsid w:val="003C341B"/>
    <w:rsid w:val="003C3FD9"/>
    <w:rsid w:val="003C59D6"/>
    <w:rsid w:val="003C716B"/>
    <w:rsid w:val="003D029A"/>
    <w:rsid w:val="003D06C9"/>
    <w:rsid w:val="003D283B"/>
    <w:rsid w:val="003D3AF7"/>
    <w:rsid w:val="003D6263"/>
    <w:rsid w:val="003D62DE"/>
    <w:rsid w:val="003D7904"/>
    <w:rsid w:val="003E0381"/>
    <w:rsid w:val="003E088B"/>
    <w:rsid w:val="003E0E4A"/>
    <w:rsid w:val="003E1040"/>
    <w:rsid w:val="003E10D0"/>
    <w:rsid w:val="003E11F3"/>
    <w:rsid w:val="003E2BF0"/>
    <w:rsid w:val="003E464F"/>
    <w:rsid w:val="003E63F0"/>
    <w:rsid w:val="003E7DE6"/>
    <w:rsid w:val="003F026A"/>
    <w:rsid w:val="003F0500"/>
    <w:rsid w:val="003F060A"/>
    <w:rsid w:val="003F2275"/>
    <w:rsid w:val="003F2DBF"/>
    <w:rsid w:val="003F3394"/>
    <w:rsid w:val="003F43E3"/>
    <w:rsid w:val="003F7DD5"/>
    <w:rsid w:val="0040045D"/>
    <w:rsid w:val="004014A0"/>
    <w:rsid w:val="00402899"/>
    <w:rsid w:val="00403321"/>
    <w:rsid w:val="0040389B"/>
    <w:rsid w:val="00403D40"/>
    <w:rsid w:val="00404BA2"/>
    <w:rsid w:val="00405B7B"/>
    <w:rsid w:val="0040620A"/>
    <w:rsid w:val="00406A66"/>
    <w:rsid w:val="00412EB4"/>
    <w:rsid w:val="00414788"/>
    <w:rsid w:val="00415275"/>
    <w:rsid w:val="00415463"/>
    <w:rsid w:val="00417645"/>
    <w:rsid w:val="00421875"/>
    <w:rsid w:val="00422B1D"/>
    <w:rsid w:val="00422C43"/>
    <w:rsid w:val="00422DB3"/>
    <w:rsid w:val="004251E3"/>
    <w:rsid w:val="00425230"/>
    <w:rsid w:val="00425FB0"/>
    <w:rsid w:val="00426DF0"/>
    <w:rsid w:val="00426EBC"/>
    <w:rsid w:val="00427165"/>
    <w:rsid w:val="00427BAB"/>
    <w:rsid w:val="00427FF1"/>
    <w:rsid w:val="00430466"/>
    <w:rsid w:val="00430C26"/>
    <w:rsid w:val="004311D7"/>
    <w:rsid w:val="004319C0"/>
    <w:rsid w:val="004327AF"/>
    <w:rsid w:val="00435A7B"/>
    <w:rsid w:val="004360FA"/>
    <w:rsid w:val="00440CC5"/>
    <w:rsid w:val="00441192"/>
    <w:rsid w:val="004460B7"/>
    <w:rsid w:val="004462D4"/>
    <w:rsid w:val="00446CF3"/>
    <w:rsid w:val="00447253"/>
    <w:rsid w:val="0044783F"/>
    <w:rsid w:val="00447952"/>
    <w:rsid w:val="00451F62"/>
    <w:rsid w:val="00452F3E"/>
    <w:rsid w:val="00453D02"/>
    <w:rsid w:val="004548D9"/>
    <w:rsid w:val="004559CF"/>
    <w:rsid w:val="004573C8"/>
    <w:rsid w:val="00457EE8"/>
    <w:rsid w:val="0046025F"/>
    <w:rsid w:val="004612C8"/>
    <w:rsid w:val="00461823"/>
    <w:rsid w:val="004635DF"/>
    <w:rsid w:val="00464889"/>
    <w:rsid w:val="004658C2"/>
    <w:rsid w:val="00466B45"/>
    <w:rsid w:val="00466C0B"/>
    <w:rsid w:val="00466FE7"/>
    <w:rsid w:val="0046707B"/>
    <w:rsid w:val="00467961"/>
    <w:rsid w:val="00471113"/>
    <w:rsid w:val="00471756"/>
    <w:rsid w:val="0047190A"/>
    <w:rsid w:val="00472142"/>
    <w:rsid w:val="00472385"/>
    <w:rsid w:val="004742DD"/>
    <w:rsid w:val="004751DA"/>
    <w:rsid w:val="00475D73"/>
    <w:rsid w:val="00476966"/>
    <w:rsid w:val="00476E6D"/>
    <w:rsid w:val="0047784D"/>
    <w:rsid w:val="00477F2F"/>
    <w:rsid w:val="004808B8"/>
    <w:rsid w:val="004820EB"/>
    <w:rsid w:val="00482196"/>
    <w:rsid w:val="004827B5"/>
    <w:rsid w:val="00483458"/>
    <w:rsid w:val="0048391C"/>
    <w:rsid w:val="004846D7"/>
    <w:rsid w:val="00485148"/>
    <w:rsid w:val="004855A7"/>
    <w:rsid w:val="00485D32"/>
    <w:rsid w:val="00485DD9"/>
    <w:rsid w:val="004860CA"/>
    <w:rsid w:val="00486D78"/>
    <w:rsid w:val="004875F2"/>
    <w:rsid w:val="004902AC"/>
    <w:rsid w:val="004926A7"/>
    <w:rsid w:val="00493013"/>
    <w:rsid w:val="00495736"/>
    <w:rsid w:val="00497E01"/>
    <w:rsid w:val="004A0D40"/>
    <w:rsid w:val="004A1110"/>
    <w:rsid w:val="004A1FA0"/>
    <w:rsid w:val="004A38EA"/>
    <w:rsid w:val="004A511E"/>
    <w:rsid w:val="004A5484"/>
    <w:rsid w:val="004A5FFB"/>
    <w:rsid w:val="004A6AB0"/>
    <w:rsid w:val="004A6CFF"/>
    <w:rsid w:val="004A6ECD"/>
    <w:rsid w:val="004A7FD2"/>
    <w:rsid w:val="004B20C7"/>
    <w:rsid w:val="004B2E90"/>
    <w:rsid w:val="004B3431"/>
    <w:rsid w:val="004B36D7"/>
    <w:rsid w:val="004B3DF1"/>
    <w:rsid w:val="004B3F4A"/>
    <w:rsid w:val="004B4A82"/>
    <w:rsid w:val="004B566A"/>
    <w:rsid w:val="004B5DF4"/>
    <w:rsid w:val="004B7118"/>
    <w:rsid w:val="004B77C4"/>
    <w:rsid w:val="004B7F1E"/>
    <w:rsid w:val="004B7FD6"/>
    <w:rsid w:val="004C090E"/>
    <w:rsid w:val="004C26FF"/>
    <w:rsid w:val="004C30BD"/>
    <w:rsid w:val="004C33DE"/>
    <w:rsid w:val="004C3894"/>
    <w:rsid w:val="004C4689"/>
    <w:rsid w:val="004C4953"/>
    <w:rsid w:val="004C4D9A"/>
    <w:rsid w:val="004C5138"/>
    <w:rsid w:val="004C532A"/>
    <w:rsid w:val="004C5C0F"/>
    <w:rsid w:val="004C648F"/>
    <w:rsid w:val="004C75A7"/>
    <w:rsid w:val="004C7998"/>
    <w:rsid w:val="004D00AB"/>
    <w:rsid w:val="004D0178"/>
    <w:rsid w:val="004D2FE3"/>
    <w:rsid w:val="004D5747"/>
    <w:rsid w:val="004D6DC4"/>
    <w:rsid w:val="004D7682"/>
    <w:rsid w:val="004D7CEF"/>
    <w:rsid w:val="004D7DFC"/>
    <w:rsid w:val="004E1863"/>
    <w:rsid w:val="004E2187"/>
    <w:rsid w:val="004E363D"/>
    <w:rsid w:val="004E4E9B"/>
    <w:rsid w:val="004E4FDC"/>
    <w:rsid w:val="004E66DE"/>
    <w:rsid w:val="004E690F"/>
    <w:rsid w:val="004E73FD"/>
    <w:rsid w:val="004E79EF"/>
    <w:rsid w:val="004F102D"/>
    <w:rsid w:val="004F2AF3"/>
    <w:rsid w:val="004F304C"/>
    <w:rsid w:val="004F35E8"/>
    <w:rsid w:val="004F3DAB"/>
    <w:rsid w:val="005008D6"/>
    <w:rsid w:val="00501756"/>
    <w:rsid w:val="0050349A"/>
    <w:rsid w:val="00503979"/>
    <w:rsid w:val="00503CEC"/>
    <w:rsid w:val="0050424A"/>
    <w:rsid w:val="00504700"/>
    <w:rsid w:val="00505A52"/>
    <w:rsid w:val="005111BD"/>
    <w:rsid w:val="005114C0"/>
    <w:rsid w:val="00512093"/>
    <w:rsid w:val="0051243F"/>
    <w:rsid w:val="005125A6"/>
    <w:rsid w:val="0051312D"/>
    <w:rsid w:val="00515862"/>
    <w:rsid w:val="0051589F"/>
    <w:rsid w:val="00515914"/>
    <w:rsid w:val="00516D1A"/>
    <w:rsid w:val="005171D6"/>
    <w:rsid w:val="00517218"/>
    <w:rsid w:val="00523822"/>
    <w:rsid w:val="00523ACA"/>
    <w:rsid w:val="0052522D"/>
    <w:rsid w:val="00525BE9"/>
    <w:rsid w:val="00526D6B"/>
    <w:rsid w:val="0053013A"/>
    <w:rsid w:val="00530564"/>
    <w:rsid w:val="005331CF"/>
    <w:rsid w:val="00534461"/>
    <w:rsid w:val="00535218"/>
    <w:rsid w:val="005360C3"/>
    <w:rsid w:val="00537844"/>
    <w:rsid w:val="00542618"/>
    <w:rsid w:val="00542F98"/>
    <w:rsid w:val="0054360E"/>
    <w:rsid w:val="005440DA"/>
    <w:rsid w:val="00544559"/>
    <w:rsid w:val="00544732"/>
    <w:rsid w:val="00544871"/>
    <w:rsid w:val="00544AB3"/>
    <w:rsid w:val="005461E2"/>
    <w:rsid w:val="0054652F"/>
    <w:rsid w:val="00547CB8"/>
    <w:rsid w:val="00550EDA"/>
    <w:rsid w:val="00554A45"/>
    <w:rsid w:val="00554EE7"/>
    <w:rsid w:val="00555F4D"/>
    <w:rsid w:val="00556DF2"/>
    <w:rsid w:val="00557368"/>
    <w:rsid w:val="00557EDD"/>
    <w:rsid w:val="0056201C"/>
    <w:rsid w:val="005634EF"/>
    <w:rsid w:val="00564015"/>
    <w:rsid w:val="005709DA"/>
    <w:rsid w:val="00571807"/>
    <w:rsid w:val="00572DF2"/>
    <w:rsid w:val="005756EB"/>
    <w:rsid w:val="0057583C"/>
    <w:rsid w:val="0057625F"/>
    <w:rsid w:val="005769E4"/>
    <w:rsid w:val="00580788"/>
    <w:rsid w:val="005819F5"/>
    <w:rsid w:val="00583564"/>
    <w:rsid w:val="005851DE"/>
    <w:rsid w:val="005866C2"/>
    <w:rsid w:val="00586748"/>
    <w:rsid w:val="005872E0"/>
    <w:rsid w:val="00587CCE"/>
    <w:rsid w:val="00590E3C"/>
    <w:rsid w:val="00591499"/>
    <w:rsid w:val="005940E7"/>
    <w:rsid w:val="005948BA"/>
    <w:rsid w:val="00595F1B"/>
    <w:rsid w:val="005A083B"/>
    <w:rsid w:val="005A0AD5"/>
    <w:rsid w:val="005A13F6"/>
    <w:rsid w:val="005A2E20"/>
    <w:rsid w:val="005A319F"/>
    <w:rsid w:val="005A42BC"/>
    <w:rsid w:val="005A445A"/>
    <w:rsid w:val="005A59F9"/>
    <w:rsid w:val="005A608E"/>
    <w:rsid w:val="005A675B"/>
    <w:rsid w:val="005A67E9"/>
    <w:rsid w:val="005A7D54"/>
    <w:rsid w:val="005B0399"/>
    <w:rsid w:val="005B22CF"/>
    <w:rsid w:val="005B62AC"/>
    <w:rsid w:val="005B76D9"/>
    <w:rsid w:val="005C0957"/>
    <w:rsid w:val="005C111C"/>
    <w:rsid w:val="005C1421"/>
    <w:rsid w:val="005C4169"/>
    <w:rsid w:val="005C4B69"/>
    <w:rsid w:val="005C5259"/>
    <w:rsid w:val="005C6C1A"/>
    <w:rsid w:val="005C78D8"/>
    <w:rsid w:val="005D2E30"/>
    <w:rsid w:val="005D6687"/>
    <w:rsid w:val="005E0810"/>
    <w:rsid w:val="005E135C"/>
    <w:rsid w:val="005E14E9"/>
    <w:rsid w:val="005E1863"/>
    <w:rsid w:val="005E1F31"/>
    <w:rsid w:val="005E368F"/>
    <w:rsid w:val="005E36BA"/>
    <w:rsid w:val="005F0228"/>
    <w:rsid w:val="005F220A"/>
    <w:rsid w:val="005F34C7"/>
    <w:rsid w:val="005F58E9"/>
    <w:rsid w:val="005F5A8B"/>
    <w:rsid w:val="005F62DD"/>
    <w:rsid w:val="005F6868"/>
    <w:rsid w:val="005F7639"/>
    <w:rsid w:val="00601316"/>
    <w:rsid w:val="0060207D"/>
    <w:rsid w:val="006025A9"/>
    <w:rsid w:val="00603394"/>
    <w:rsid w:val="0060634E"/>
    <w:rsid w:val="00606DC6"/>
    <w:rsid w:val="0060723C"/>
    <w:rsid w:val="0061248C"/>
    <w:rsid w:val="00612D3A"/>
    <w:rsid w:val="00612F3B"/>
    <w:rsid w:val="00613A6F"/>
    <w:rsid w:val="00613B59"/>
    <w:rsid w:val="006151B2"/>
    <w:rsid w:val="0061539B"/>
    <w:rsid w:val="006154E8"/>
    <w:rsid w:val="00616D09"/>
    <w:rsid w:val="00616D84"/>
    <w:rsid w:val="00616E9D"/>
    <w:rsid w:val="00617484"/>
    <w:rsid w:val="00617BDC"/>
    <w:rsid w:val="00617D53"/>
    <w:rsid w:val="00621238"/>
    <w:rsid w:val="006219CE"/>
    <w:rsid w:val="00621FB0"/>
    <w:rsid w:val="006220DF"/>
    <w:rsid w:val="00624613"/>
    <w:rsid w:val="00625B78"/>
    <w:rsid w:val="00625C88"/>
    <w:rsid w:val="00631725"/>
    <w:rsid w:val="00631A0F"/>
    <w:rsid w:val="00631D22"/>
    <w:rsid w:val="00632DB4"/>
    <w:rsid w:val="00633114"/>
    <w:rsid w:val="00635510"/>
    <w:rsid w:val="00636153"/>
    <w:rsid w:val="00637DF8"/>
    <w:rsid w:val="00640040"/>
    <w:rsid w:val="00643A25"/>
    <w:rsid w:val="006440BA"/>
    <w:rsid w:val="00645103"/>
    <w:rsid w:val="00645466"/>
    <w:rsid w:val="006458BE"/>
    <w:rsid w:val="006459E2"/>
    <w:rsid w:val="00645B40"/>
    <w:rsid w:val="00647D30"/>
    <w:rsid w:val="00650FD2"/>
    <w:rsid w:val="00652334"/>
    <w:rsid w:val="006540E9"/>
    <w:rsid w:val="00654252"/>
    <w:rsid w:val="00654492"/>
    <w:rsid w:val="00655185"/>
    <w:rsid w:val="006574CC"/>
    <w:rsid w:val="006609D1"/>
    <w:rsid w:val="006628D7"/>
    <w:rsid w:val="00663042"/>
    <w:rsid w:val="00663DC6"/>
    <w:rsid w:val="006708BD"/>
    <w:rsid w:val="00670D40"/>
    <w:rsid w:val="00672E0B"/>
    <w:rsid w:val="006742FC"/>
    <w:rsid w:val="00675A50"/>
    <w:rsid w:val="00675D5B"/>
    <w:rsid w:val="00675E54"/>
    <w:rsid w:val="00675FE5"/>
    <w:rsid w:val="0067673D"/>
    <w:rsid w:val="00676D50"/>
    <w:rsid w:val="00677BC0"/>
    <w:rsid w:val="006827A7"/>
    <w:rsid w:val="00682B7B"/>
    <w:rsid w:val="006834BC"/>
    <w:rsid w:val="006837F0"/>
    <w:rsid w:val="0068667B"/>
    <w:rsid w:val="006878DA"/>
    <w:rsid w:val="00691253"/>
    <w:rsid w:val="00691EE0"/>
    <w:rsid w:val="00691F80"/>
    <w:rsid w:val="00692E85"/>
    <w:rsid w:val="006930A2"/>
    <w:rsid w:val="00693483"/>
    <w:rsid w:val="006949FF"/>
    <w:rsid w:val="00695134"/>
    <w:rsid w:val="00695350"/>
    <w:rsid w:val="0069612A"/>
    <w:rsid w:val="00696448"/>
    <w:rsid w:val="006A0569"/>
    <w:rsid w:val="006A0F1F"/>
    <w:rsid w:val="006A119F"/>
    <w:rsid w:val="006A1ABB"/>
    <w:rsid w:val="006A1DBC"/>
    <w:rsid w:val="006A1E3F"/>
    <w:rsid w:val="006A2A26"/>
    <w:rsid w:val="006A37A5"/>
    <w:rsid w:val="006A4BA7"/>
    <w:rsid w:val="006A530A"/>
    <w:rsid w:val="006A5462"/>
    <w:rsid w:val="006A771F"/>
    <w:rsid w:val="006B0463"/>
    <w:rsid w:val="006B04B3"/>
    <w:rsid w:val="006B0898"/>
    <w:rsid w:val="006B200D"/>
    <w:rsid w:val="006B65E3"/>
    <w:rsid w:val="006B7FB5"/>
    <w:rsid w:val="006C185A"/>
    <w:rsid w:val="006C1B38"/>
    <w:rsid w:val="006C3446"/>
    <w:rsid w:val="006C3474"/>
    <w:rsid w:val="006C3F3D"/>
    <w:rsid w:val="006C5ED7"/>
    <w:rsid w:val="006C605E"/>
    <w:rsid w:val="006C60AF"/>
    <w:rsid w:val="006C62E5"/>
    <w:rsid w:val="006D1D7F"/>
    <w:rsid w:val="006D2041"/>
    <w:rsid w:val="006D6420"/>
    <w:rsid w:val="006D76F6"/>
    <w:rsid w:val="006E02B5"/>
    <w:rsid w:val="006E02C4"/>
    <w:rsid w:val="006E03A2"/>
    <w:rsid w:val="006E3790"/>
    <w:rsid w:val="006E37E6"/>
    <w:rsid w:val="006E4761"/>
    <w:rsid w:val="006E5665"/>
    <w:rsid w:val="006E641B"/>
    <w:rsid w:val="006E68A1"/>
    <w:rsid w:val="006E6FA2"/>
    <w:rsid w:val="006E75F7"/>
    <w:rsid w:val="006F08CC"/>
    <w:rsid w:val="006F12F2"/>
    <w:rsid w:val="006F2420"/>
    <w:rsid w:val="006F579E"/>
    <w:rsid w:val="006F6800"/>
    <w:rsid w:val="006F69F2"/>
    <w:rsid w:val="006F70F9"/>
    <w:rsid w:val="0070057D"/>
    <w:rsid w:val="00700F68"/>
    <w:rsid w:val="00701188"/>
    <w:rsid w:val="007019C0"/>
    <w:rsid w:val="00701B3A"/>
    <w:rsid w:val="00701DBF"/>
    <w:rsid w:val="00702647"/>
    <w:rsid w:val="00702F5B"/>
    <w:rsid w:val="00705575"/>
    <w:rsid w:val="00705B09"/>
    <w:rsid w:val="00706DC6"/>
    <w:rsid w:val="0071032B"/>
    <w:rsid w:val="007105B3"/>
    <w:rsid w:val="00710CA4"/>
    <w:rsid w:val="0071367E"/>
    <w:rsid w:val="00713BF6"/>
    <w:rsid w:val="00713D7F"/>
    <w:rsid w:val="00714F69"/>
    <w:rsid w:val="00715E85"/>
    <w:rsid w:val="00715F6D"/>
    <w:rsid w:val="00717CDC"/>
    <w:rsid w:val="00720359"/>
    <w:rsid w:val="007205E0"/>
    <w:rsid w:val="00721D61"/>
    <w:rsid w:val="0072366B"/>
    <w:rsid w:val="007236A0"/>
    <w:rsid w:val="0072371C"/>
    <w:rsid w:val="0072646B"/>
    <w:rsid w:val="00726C08"/>
    <w:rsid w:val="00727A57"/>
    <w:rsid w:val="00730054"/>
    <w:rsid w:val="00730914"/>
    <w:rsid w:val="00731259"/>
    <w:rsid w:val="007312B6"/>
    <w:rsid w:val="0073234C"/>
    <w:rsid w:val="00732ECF"/>
    <w:rsid w:val="007357FD"/>
    <w:rsid w:val="00735A71"/>
    <w:rsid w:val="00736790"/>
    <w:rsid w:val="00736A8E"/>
    <w:rsid w:val="00736AC1"/>
    <w:rsid w:val="00736AC9"/>
    <w:rsid w:val="0073733B"/>
    <w:rsid w:val="0073774A"/>
    <w:rsid w:val="007379D9"/>
    <w:rsid w:val="00741F0E"/>
    <w:rsid w:val="00743229"/>
    <w:rsid w:val="00743776"/>
    <w:rsid w:val="007444B4"/>
    <w:rsid w:val="00746DD7"/>
    <w:rsid w:val="00747C78"/>
    <w:rsid w:val="007505E4"/>
    <w:rsid w:val="00750A2A"/>
    <w:rsid w:val="00751297"/>
    <w:rsid w:val="0075141B"/>
    <w:rsid w:val="0075274C"/>
    <w:rsid w:val="007559D1"/>
    <w:rsid w:val="00756D76"/>
    <w:rsid w:val="00756EB8"/>
    <w:rsid w:val="00756EC9"/>
    <w:rsid w:val="00757017"/>
    <w:rsid w:val="00760626"/>
    <w:rsid w:val="00760ED1"/>
    <w:rsid w:val="00762114"/>
    <w:rsid w:val="00763EE4"/>
    <w:rsid w:val="00764336"/>
    <w:rsid w:val="007647D3"/>
    <w:rsid w:val="0076758A"/>
    <w:rsid w:val="00771AF4"/>
    <w:rsid w:val="007723BC"/>
    <w:rsid w:val="00773106"/>
    <w:rsid w:val="00773DDA"/>
    <w:rsid w:val="00775587"/>
    <w:rsid w:val="0077643B"/>
    <w:rsid w:val="0077680B"/>
    <w:rsid w:val="00776EE4"/>
    <w:rsid w:val="00780908"/>
    <w:rsid w:val="007833A0"/>
    <w:rsid w:val="00783D17"/>
    <w:rsid w:val="00784680"/>
    <w:rsid w:val="00784B64"/>
    <w:rsid w:val="00784CC6"/>
    <w:rsid w:val="00786507"/>
    <w:rsid w:val="00787FDB"/>
    <w:rsid w:val="0079143E"/>
    <w:rsid w:val="007917F2"/>
    <w:rsid w:val="00791AE4"/>
    <w:rsid w:val="00791E68"/>
    <w:rsid w:val="00792DF3"/>
    <w:rsid w:val="00793870"/>
    <w:rsid w:val="0079662C"/>
    <w:rsid w:val="00797221"/>
    <w:rsid w:val="0079777F"/>
    <w:rsid w:val="007A0689"/>
    <w:rsid w:val="007A0D55"/>
    <w:rsid w:val="007A1AF6"/>
    <w:rsid w:val="007A2EC0"/>
    <w:rsid w:val="007A3543"/>
    <w:rsid w:val="007B0821"/>
    <w:rsid w:val="007B1FCA"/>
    <w:rsid w:val="007B20A5"/>
    <w:rsid w:val="007B2304"/>
    <w:rsid w:val="007B2AEA"/>
    <w:rsid w:val="007B2C23"/>
    <w:rsid w:val="007B322B"/>
    <w:rsid w:val="007B4D99"/>
    <w:rsid w:val="007B59B4"/>
    <w:rsid w:val="007B5CBB"/>
    <w:rsid w:val="007B6743"/>
    <w:rsid w:val="007B6846"/>
    <w:rsid w:val="007B6AC2"/>
    <w:rsid w:val="007C06DA"/>
    <w:rsid w:val="007C0AA2"/>
    <w:rsid w:val="007C27D2"/>
    <w:rsid w:val="007C3467"/>
    <w:rsid w:val="007C4C0D"/>
    <w:rsid w:val="007C6498"/>
    <w:rsid w:val="007C693E"/>
    <w:rsid w:val="007D05E3"/>
    <w:rsid w:val="007D3937"/>
    <w:rsid w:val="007D39FE"/>
    <w:rsid w:val="007D409F"/>
    <w:rsid w:val="007D40F0"/>
    <w:rsid w:val="007D4235"/>
    <w:rsid w:val="007D51DC"/>
    <w:rsid w:val="007D6473"/>
    <w:rsid w:val="007D7221"/>
    <w:rsid w:val="007D7B23"/>
    <w:rsid w:val="007E030C"/>
    <w:rsid w:val="007E062E"/>
    <w:rsid w:val="007E2E73"/>
    <w:rsid w:val="007E39AA"/>
    <w:rsid w:val="007E3BE5"/>
    <w:rsid w:val="007E4040"/>
    <w:rsid w:val="007E5847"/>
    <w:rsid w:val="007E68BE"/>
    <w:rsid w:val="007F1EFA"/>
    <w:rsid w:val="007F2167"/>
    <w:rsid w:val="007F22CE"/>
    <w:rsid w:val="007F2627"/>
    <w:rsid w:val="007F3669"/>
    <w:rsid w:val="007F6D74"/>
    <w:rsid w:val="0080044B"/>
    <w:rsid w:val="00800CB3"/>
    <w:rsid w:val="0080224A"/>
    <w:rsid w:val="0080558F"/>
    <w:rsid w:val="00805C24"/>
    <w:rsid w:val="008067C2"/>
    <w:rsid w:val="008121BB"/>
    <w:rsid w:val="00812598"/>
    <w:rsid w:val="0081387A"/>
    <w:rsid w:val="00813C32"/>
    <w:rsid w:val="00814C5B"/>
    <w:rsid w:val="008150C2"/>
    <w:rsid w:val="0081736E"/>
    <w:rsid w:val="008178DA"/>
    <w:rsid w:val="00821C6C"/>
    <w:rsid w:val="008254B1"/>
    <w:rsid w:val="00825921"/>
    <w:rsid w:val="0082605B"/>
    <w:rsid w:val="00826250"/>
    <w:rsid w:val="00827576"/>
    <w:rsid w:val="0082796C"/>
    <w:rsid w:val="00827F17"/>
    <w:rsid w:val="008309F2"/>
    <w:rsid w:val="0083256F"/>
    <w:rsid w:val="008333A2"/>
    <w:rsid w:val="00837CB3"/>
    <w:rsid w:val="0084097F"/>
    <w:rsid w:val="00840F9F"/>
    <w:rsid w:val="00841AE0"/>
    <w:rsid w:val="00842760"/>
    <w:rsid w:val="00842A4C"/>
    <w:rsid w:val="00843696"/>
    <w:rsid w:val="00844475"/>
    <w:rsid w:val="008447FE"/>
    <w:rsid w:val="00847B19"/>
    <w:rsid w:val="00847FA8"/>
    <w:rsid w:val="00850AB4"/>
    <w:rsid w:val="008521A4"/>
    <w:rsid w:val="0085322C"/>
    <w:rsid w:val="0085490F"/>
    <w:rsid w:val="00856293"/>
    <w:rsid w:val="0085632D"/>
    <w:rsid w:val="00856680"/>
    <w:rsid w:val="00856D8C"/>
    <w:rsid w:val="008616BB"/>
    <w:rsid w:val="0086298D"/>
    <w:rsid w:val="008634BC"/>
    <w:rsid w:val="008635B2"/>
    <w:rsid w:val="008643CA"/>
    <w:rsid w:val="00864F95"/>
    <w:rsid w:val="008652C2"/>
    <w:rsid w:val="00865D55"/>
    <w:rsid w:val="008723BA"/>
    <w:rsid w:val="008736EB"/>
    <w:rsid w:val="00873E2B"/>
    <w:rsid w:val="008741C2"/>
    <w:rsid w:val="00881B48"/>
    <w:rsid w:val="00883B05"/>
    <w:rsid w:val="00884241"/>
    <w:rsid w:val="008876FB"/>
    <w:rsid w:val="0089050A"/>
    <w:rsid w:val="0089168B"/>
    <w:rsid w:val="00891A19"/>
    <w:rsid w:val="00892E10"/>
    <w:rsid w:val="008932A9"/>
    <w:rsid w:val="00894CD0"/>
    <w:rsid w:val="00894DEF"/>
    <w:rsid w:val="00895460"/>
    <w:rsid w:val="00895E03"/>
    <w:rsid w:val="00895FEB"/>
    <w:rsid w:val="0089693E"/>
    <w:rsid w:val="00896D8F"/>
    <w:rsid w:val="00897A49"/>
    <w:rsid w:val="008A201E"/>
    <w:rsid w:val="008A4CD2"/>
    <w:rsid w:val="008A668D"/>
    <w:rsid w:val="008A71DD"/>
    <w:rsid w:val="008A7742"/>
    <w:rsid w:val="008B0C89"/>
    <w:rsid w:val="008B372D"/>
    <w:rsid w:val="008B663F"/>
    <w:rsid w:val="008C1500"/>
    <w:rsid w:val="008C2396"/>
    <w:rsid w:val="008C45EE"/>
    <w:rsid w:val="008D087C"/>
    <w:rsid w:val="008D1965"/>
    <w:rsid w:val="008D2C56"/>
    <w:rsid w:val="008D3A1E"/>
    <w:rsid w:val="008D4CFC"/>
    <w:rsid w:val="008D4ECC"/>
    <w:rsid w:val="008D5082"/>
    <w:rsid w:val="008D729E"/>
    <w:rsid w:val="008E0920"/>
    <w:rsid w:val="008E18B8"/>
    <w:rsid w:val="008E2A8D"/>
    <w:rsid w:val="008E2E46"/>
    <w:rsid w:val="008E5F9E"/>
    <w:rsid w:val="008F036A"/>
    <w:rsid w:val="008F0591"/>
    <w:rsid w:val="008F0D15"/>
    <w:rsid w:val="008F1539"/>
    <w:rsid w:val="008F1958"/>
    <w:rsid w:val="008F1D76"/>
    <w:rsid w:val="008F53E0"/>
    <w:rsid w:val="008F5E60"/>
    <w:rsid w:val="00900DFE"/>
    <w:rsid w:val="00901F81"/>
    <w:rsid w:val="00902621"/>
    <w:rsid w:val="00904947"/>
    <w:rsid w:val="009058BA"/>
    <w:rsid w:val="00910968"/>
    <w:rsid w:val="00911F4A"/>
    <w:rsid w:val="00912929"/>
    <w:rsid w:val="00912980"/>
    <w:rsid w:val="009134BF"/>
    <w:rsid w:val="00913E4D"/>
    <w:rsid w:val="00914382"/>
    <w:rsid w:val="00915CC0"/>
    <w:rsid w:val="00920B8B"/>
    <w:rsid w:val="00920F97"/>
    <w:rsid w:val="00921CAB"/>
    <w:rsid w:val="00922D2F"/>
    <w:rsid w:val="00922E6A"/>
    <w:rsid w:val="0092615F"/>
    <w:rsid w:val="0092680A"/>
    <w:rsid w:val="009276AD"/>
    <w:rsid w:val="0093079A"/>
    <w:rsid w:val="00932666"/>
    <w:rsid w:val="00932E86"/>
    <w:rsid w:val="0093302A"/>
    <w:rsid w:val="00934EF4"/>
    <w:rsid w:val="00935B25"/>
    <w:rsid w:val="009363E4"/>
    <w:rsid w:val="00936D37"/>
    <w:rsid w:val="00941D4C"/>
    <w:rsid w:val="00942A47"/>
    <w:rsid w:val="00943AEB"/>
    <w:rsid w:val="0094469E"/>
    <w:rsid w:val="00946A2F"/>
    <w:rsid w:val="009506F2"/>
    <w:rsid w:val="00950C4A"/>
    <w:rsid w:val="00951AE6"/>
    <w:rsid w:val="00951B59"/>
    <w:rsid w:val="00952F20"/>
    <w:rsid w:val="00953069"/>
    <w:rsid w:val="0095358E"/>
    <w:rsid w:val="00954F5C"/>
    <w:rsid w:val="00955CAA"/>
    <w:rsid w:val="00955ED9"/>
    <w:rsid w:val="00956A0A"/>
    <w:rsid w:val="009613D8"/>
    <w:rsid w:val="00961BBA"/>
    <w:rsid w:val="009624E9"/>
    <w:rsid w:val="00962F4D"/>
    <w:rsid w:val="009636A6"/>
    <w:rsid w:val="00964495"/>
    <w:rsid w:val="00964B2C"/>
    <w:rsid w:val="0096650C"/>
    <w:rsid w:val="0096672E"/>
    <w:rsid w:val="009668A4"/>
    <w:rsid w:val="009679F1"/>
    <w:rsid w:val="00971470"/>
    <w:rsid w:val="00972C8E"/>
    <w:rsid w:val="00976C1D"/>
    <w:rsid w:val="009779E6"/>
    <w:rsid w:val="00980C37"/>
    <w:rsid w:val="00980D24"/>
    <w:rsid w:val="00981B3B"/>
    <w:rsid w:val="00982158"/>
    <w:rsid w:val="0098278E"/>
    <w:rsid w:val="009848B4"/>
    <w:rsid w:val="009853AE"/>
    <w:rsid w:val="00985547"/>
    <w:rsid w:val="00990307"/>
    <w:rsid w:val="00990591"/>
    <w:rsid w:val="009917A1"/>
    <w:rsid w:val="0099446C"/>
    <w:rsid w:val="009959E3"/>
    <w:rsid w:val="00995A12"/>
    <w:rsid w:val="00997958"/>
    <w:rsid w:val="009A17A2"/>
    <w:rsid w:val="009A1CE1"/>
    <w:rsid w:val="009A20C4"/>
    <w:rsid w:val="009A24B3"/>
    <w:rsid w:val="009A24BB"/>
    <w:rsid w:val="009A3B57"/>
    <w:rsid w:val="009A5C28"/>
    <w:rsid w:val="009A7312"/>
    <w:rsid w:val="009A75C6"/>
    <w:rsid w:val="009B0BF4"/>
    <w:rsid w:val="009B6D90"/>
    <w:rsid w:val="009B6FBF"/>
    <w:rsid w:val="009B7114"/>
    <w:rsid w:val="009B74EE"/>
    <w:rsid w:val="009C154F"/>
    <w:rsid w:val="009C2F9A"/>
    <w:rsid w:val="009C36E4"/>
    <w:rsid w:val="009C4CAA"/>
    <w:rsid w:val="009C4ED0"/>
    <w:rsid w:val="009C7B91"/>
    <w:rsid w:val="009C7E4F"/>
    <w:rsid w:val="009D096A"/>
    <w:rsid w:val="009D1210"/>
    <w:rsid w:val="009D1336"/>
    <w:rsid w:val="009D1918"/>
    <w:rsid w:val="009D37E1"/>
    <w:rsid w:val="009D45B5"/>
    <w:rsid w:val="009D4B6F"/>
    <w:rsid w:val="009D7D83"/>
    <w:rsid w:val="009E044D"/>
    <w:rsid w:val="009E103E"/>
    <w:rsid w:val="009E178B"/>
    <w:rsid w:val="009E1BCB"/>
    <w:rsid w:val="009E1F6E"/>
    <w:rsid w:val="009E30DA"/>
    <w:rsid w:val="009E384C"/>
    <w:rsid w:val="009E4F26"/>
    <w:rsid w:val="009E55F5"/>
    <w:rsid w:val="009E6306"/>
    <w:rsid w:val="009F026A"/>
    <w:rsid w:val="009F0DEF"/>
    <w:rsid w:val="009F158D"/>
    <w:rsid w:val="009F41A4"/>
    <w:rsid w:val="009F4669"/>
    <w:rsid w:val="009F4993"/>
    <w:rsid w:val="009F5D7B"/>
    <w:rsid w:val="009F6D52"/>
    <w:rsid w:val="009F6E68"/>
    <w:rsid w:val="009F7F62"/>
    <w:rsid w:val="00A007AF"/>
    <w:rsid w:val="00A00CA1"/>
    <w:rsid w:val="00A01CD0"/>
    <w:rsid w:val="00A024D6"/>
    <w:rsid w:val="00A02809"/>
    <w:rsid w:val="00A040D7"/>
    <w:rsid w:val="00A0522E"/>
    <w:rsid w:val="00A055EB"/>
    <w:rsid w:val="00A056A2"/>
    <w:rsid w:val="00A05F1E"/>
    <w:rsid w:val="00A067C1"/>
    <w:rsid w:val="00A072AE"/>
    <w:rsid w:val="00A07F7E"/>
    <w:rsid w:val="00A10F60"/>
    <w:rsid w:val="00A112AD"/>
    <w:rsid w:val="00A1164F"/>
    <w:rsid w:val="00A11733"/>
    <w:rsid w:val="00A11C4E"/>
    <w:rsid w:val="00A13A69"/>
    <w:rsid w:val="00A14B71"/>
    <w:rsid w:val="00A14BAD"/>
    <w:rsid w:val="00A158EA"/>
    <w:rsid w:val="00A15D30"/>
    <w:rsid w:val="00A162E7"/>
    <w:rsid w:val="00A16B46"/>
    <w:rsid w:val="00A17996"/>
    <w:rsid w:val="00A20A19"/>
    <w:rsid w:val="00A21B43"/>
    <w:rsid w:val="00A21C35"/>
    <w:rsid w:val="00A242B5"/>
    <w:rsid w:val="00A24513"/>
    <w:rsid w:val="00A25490"/>
    <w:rsid w:val="00A26850"/>
    <w:rsid w:val="00A27265"/>
    <w:rsid w:val="00A32838"/>
    <w:rsid w:val="00A3339C"/>
    <w:rsid w:val="00A34224"/>
    <w:rsid w:val="00A358EC"/>
    <w:rsid w:val="00A36F2C"/>
    <w:rsid w:val="00A37AC0"/>
    <w:rsid w:val="00A37DF1"/>
    <w:rsid w:val="00A37FBC"/>
    <w:rsid w:val="00A40933"/>
    <w:rsid w:val="00A40DB6"/>
    <w:rsid w:val="00A414C7"/>
    <w:rsid w:val="00A4207F"/>
    <w:rsid w:val="00A42B55"/>
    <w:rsid w:val="00A44021"/>
    <w:rsid w:val="00A45A2E"/>
    <w:rsid w:val="00A508F8"/>
    <w:rsid w:val="00A520F8"/>
    <w:rsid w:val="00A529AE"/>
    <w:rsid w:val="00A53302"/>
    <w:rsid w:val="00A53458"/>
    <w:rsid w:val="00A55DEF"/>
    <w:rsid w:val="00A56DAF"/>
    <w:rsid w:val="00A5700B"/>
    <w:rsid w:val="00A62BED"/>
    <w:rsid w:val="00A62D52"/>
    <w:rsid w:val="00A64EE2"/>
    <w:rsid w:val="00A65770"/>
    <w:rsid w:val="00A665CB"/>
    <w:rsid w:val="00A701D5"/>
    <w:rsid w:val="00A70AEE"/>
    <w:rsid w:val="00A7172B"/>
    <w:rsid w:val="00A72CD6"/>
    <w:rsid w:val="00A73B55"/>
    <w:rsid w:val="00A73BC7"/>
    <w:rsid w:val="00A74572"/>
    <w:rsid w:val="00A74AEE"/>
    <w:rsid w:val="00A74F4B"/>
    <w:rsid w:val="00A75878"/>
    <w:rsid w:val="00A758BE"/>
    <w:rsid w:val="00A7609D"/>
    <w:rsid w:val="00A76681"/>
    <w:rsid w:val="00A76DD3"/>
    <w:rsid w:val="00A808D0"/>
    <w:rsid w:val="00A833C5"/>
    <w:rsid w:val="00A8524D"/>
    <w:rsid w:val="00A85470"/>
    <w:rsid w:val="00A864A9"/>
    <w:rsid w:val="00A86DF5"/>
    <w:rsid w:val="00A87704"/>
    <w:rsid w:val="00A87BC5"/>
    <w:rsid w:val="00A90036"/>
    <w:rsid w:val="00A902D2"/>
    <w:rsid w:val="00A92530"/>
    <w:rsid w:val="00A927D5"/>
    <w:rsid w:val="00A9482E"/>
    <w:rsid w:val="00A94DF9"/>
    <w:rsid w:val="00A968CE"/>
    <w:rsid w:val="00A970C0"/>
    <w:rsid w:val="00AA08F3"/>
    <w:rsid w:val="00AA0BB8"/>
    <w:rsid w:val="00AA18BD"/>
    <w:rsid w:val="00AA1ACC"/>
    <w:rsid w:val="00AA1DC5"/>
    <w:rsid w:val="00AA1EA4"/>
    <w:rsid w:val="00AA2E04"/>
    <w:rsid w:val="00AA32F5"/>
    <w:rsid w:val="00AA4A87"/>
    <w:rsid w:val="00AA5186"/>
    <w:rsid w:val="00AA5686"/>
    <w:rsid w:val="00AA5707"/>
    <w:rsid w:val="00AA651B"/>
    <w:rsid w:val="00AA7573"/>
    <w:rsid w:val="00AB041B"/>
    <w:rsid w:val="00AB0DE7"/>
    <w:rsid w:val="00AB1763"/>
    <w:rsid w:val="00AB23B8"/>
    <w:rsid w:val="00AB2A88"/>
    <w:rsid w:val="00AB2C05"/>
    <w:rsid w:val="00AB2C96"/>
    <w:rsid w:val="00AB3D3A"/>
    <w:rsid w:val="00AB5603"/>
    <w:rsid w:val="00AB615D"/>
    <w:rsid w:val="00AB6308"/>
    <w:rsid w:val="00AB7544"/>
    <w:rsid w:val="00AC17B5"/>
    <w:rsid w:val="00AC23E3"/>
    <w:rsid w:val="00AC33CA"/>
    <w:rsid w:val="00AC3581"/>
    <w:rsid w:val="00AC45F5"/>
    <w:rsid w:val="00AC62AA"/>
    <w:rsid w:val="00AC62CD"/>
    <w:rsid w:val="00AC6678"/>
    <w:rsid w:val="00AC7473"/>
    <w:rsid w:val="00AD16EF"/>
    <w:rsid w:val="00AD2612"/>
    <w:rsid w:val="00AD2634"/>
    <w:rsid w:val="00AD2CA1"/>
    <w:rsid w:val="00AD40F7"/>
    <w:rsid w:val="00AD482D"/>
    <w:rsid w:val="00AD69CD"/>
    <w:rsid w:val="00AD6AF3"/>
    <w:rsid w:val="00AE25BE"/>
    <w:rsid w:val="00AE42BF"/>
    <w:rsid w:val="00AE5315"/>
    <w:rsid w:val="00AF08B2"/>
    <w:rsid w:val="00AF0C95"/>
    <w:rsid w:val="00AF123C"/>
    <w:rsid w:val="00AF1C93"/>
    <w:rsid w:val="00AF4265"/>
    <w:rsid w:val="00AF5026"/>
    <w:rsid w:val="00AF57F1"/>
    <w:rsid w:val="00AF6546"/>
    <w:rsid w:val="00AF664A"/>
    <w:rsid w:val="00AF7AAC"/>
    <w:rsid w:val="00AF7FFC"/>
    <w:rsid w:val="00B003C9"/>
    <w:rsid w:val="00B01292"/>
    <w:rsid w:val="00B0136C"/>
    <w:rsid w:val="00B0224D"/>
    <w:rsid w:val="00B02357"/>
    <w:rsid w:val="00B044A1"/>
    <w:rsid w:val="00B0450A"/>
    <w:rsid w:val="00B05AAD"/>
    <w:rsid w:val="00B066B0"/>
    <w:rsid w:val="00B079C2"/>
    <w:rsid w:val="00B07FC8"/>
    <w:rsid w:val="00B10D64"/>
    <w:rsid w:val="00B128AE"/>
    <w:rsid w:val="00B12E51"/>
    <w:rsid w:val="00B1510D"/>
    <w:rsid w:val="00B20891"/>
    <w:rsid w:val="00B20E01"/>
    <w:rsid w:val="00B20F1D"/>
    <w:rsid w:val="00B21780"/>
    <w:rsid w:val="00B226EA"/>
    <w:rsid w:val="00B22B0F"/>
    <w:rsid w:val="00B23192"/>
    <w:rsid w:val="00B2336A"/>
    <w:rsid w:val="00B235EF"/>
    <w:rsid w:val="00B23619"/>
    <w:rsid w:val="00B274BB"/>
    <w:rsid w:val="00B27BDE"/>
    <w:rsid w:val="00B27ECB"/>
    <w:rsid w:val="00B31186"/>
    <w:rsid w:val="00B31E4F"/>
    <w:rsid w:val="00B32182"/>
    <w:rsid w:val="00B321C4"/>
    <w:rsid w:val="00B3230F"/>
    <w:rsid w:val="00B32838"/>
    <w:rsid w:val="00B32D28"/>
    <w:rsid w:val="00B345BE"/>
    <w:rsid w:val="00B35A4A"/>
    <w:rsid w:val="00B36528"/>
    <w:rsid w:val="00B37852"/>
    <w:rsid w:val="00B37EC9"/>
    <w:rsid w:val="00B42C25"/>
    <w:rsid w:val="00B42E86"/>
    <w:rsid w:val="00B45E7D"/>
    <w:rsid w:val="00B47DDF"/>
    <w:rsid w:val="00B5078C"/>
    <w:rsid w:val="00B540F3"/>
    <w:rsid w:val="00B54FAC"/>
    <w:rsid w:val="00B5794D"/>
    <w:rsid w:val="00B57DA5"/>
    <w:rsid w:val="00B64C6F"/>
    <w:rsid w:val="00B659F9"/>
    <w:rsid w:val="00B6630D"/>
    <w:rsid w:val="00B663D0"/>
    <w:rsid w:val="00B669D9"/>
    <w:rsid w:val="00B70C13"/>
    <w:rsid w:val="00B713A7"/>
    <w:rsid w:val="00B7173D"/>
    <w:rsid w:val="00B73046"/>
    <w:rsid w:val="00B7322A"/>
    <w:rsid w:val="00B7338C"/>
    <w:rsid w:val="00B73E97"/>
    <w:rsid w:val="00B74E5F"/>
    <w:rsid w:val="00B7533D"/>
    <w:rsid w:val="00B75DF6"/>
    <w:rsid w:val="00B75EA3"/>
    <w:rsid w:val="00B77268"/>
    <w:rsid w:val="00B77A26"/>
    <w:rsid w:val="00B80048"/>
    <w:rsid w:val="00B800B2"/>
    <w:rsid w:val="00B80A0B"/>
    <w:rsid w:val="00B80A2F"/>
    <w:rsid w:val="00B81204"/>
    <w:rsid w:val="00B8152A"/>
    <w:rsid w:val="00B82229"/>
    <w:rsid w:val="00B8329D"/>
    <w:rsid w:val="00B855AA"/>
    <w:rsid w:val="00B906DD"/>
    <w:rsid w:val="00B91AF1"/>
    <w:rsid w:val="00B928F3"/>
    <w:rsid w:val="00B936B2"/>
    <w:rsid w:val="00B9528E"/>
    <w:rsid w:val="00B9657E"/>
    <w:rsid w:val="00B9750C"/>
    <w:rsid w:val="00B97EC4"/>
    <w:rsid w:val="00BA0010"/>
    <w:rsid w:val="00BA0ED5"/>
    <w:rsid w:val="00BA23CB"/>
    <w:rsid w:val="00BA4285"/>
    <w:rsid w:val="00BA439A"/>
    <w:rsid w:val="00BA47BD"/>
    <w:rsid w:val="00BA6639"/>
    <w:rsid w:val="00BB0330"/>
    <w:rsid w:val="00BB1B31"/>
    <w:rsid w:val="00BB2871"/>
    <w:rsid w:val="00BB399B"/>
    <w:rsid w:val="00BB47BA"/>
    <w:rsid w:val="00BC0BB8"/>
    <w:rsid w:val="00BC0C0E"/>
    <w:rsid w:val="00BC0DC8"/>
    <w:rsid w:val="00BC2324"/>
    <w:rsid w:val="00BC23D2"/>
    <w:rsid w:val="00BC3308"/>
    <w:rsid w:val="00BC3DC4"/>
    <w:rsid w:val="00BC447F"/>
    <w:rsid w:val="00BC4608"/>
    <w:rsid w:val="00BC4A6E"/>
    <w:rsid w:val="00BC7453"/>
    <w:rsid w:val="00BC7A79"/>
    <w:rsid w:val="00BD0496"/>
    <w:rsid w:val="00BD10A1"/>
    <w:rsid w:val="00BD17E5"/>
    <w:rsid w:val="00BD2898"/>
    <w:rsid w:val="00BD4755"/>
    <w:rsid w:val="00BD6AC1"/>
    <w:rsid w:val="00BD76C0"/>
    <w:rsid w:val="00BD791A"/>
    <w:rsid w:val="00BD7C20"/>
    <w:rsid w:val="00BE05C7"/>
    <w:rsid w:val="00BE20EF"/>
    <w:rsid w:val="00BE2476"/>
    <w:rsid w:val="00BE2E09"/>
    <w:rsid w:val="00BE57CE"/>
    <w:rsid w:val="00BE7DC3"/>
    <w:rsid w:val="00BF06FD"/>
    <w:rsid w:val="00BF07A4"/>
    <w:rsid w:val="00BF08AA"/>
    <w:rsid w:val="00BF3245"/>
    <w:rsid w:val="00BF4ADD"/>
    <w:rsid w:val="00BF4E9C"/>
    <w:rsid w:val="00BF5AE7"/>
    <w:rsid w:val="00C001C3"/>
    <w:rsid w:val="00C006D9"/>
    <w:rsid w:val="00C01019"/>
    <w:rsid w:val="00C01027"/>
    <w:rsid w:val="00C01932"/>
    <w:rsid w:val="00C02E7D"/>
    <w:rsid w:val="00C03F10"/>
    <w:rsid w:val="00C04773"/>
    <w:rsid w:val="00C04B67"/>
    <w:rsid w:val="00C05E4A"/>
    <w:rsid w:val="00C0691E"/>
    <w:rsid w:val="00C11116"/>
    <w:rsid w:val="00C117A2"/>
    <w:rsid w:val="00C11D79"/>
    <w:rsid w:val="00C124AB"/>
    <w:rsid w:val="00C13FE6"/>
    <w:rsid w:val="00C1442C"/>
    <w:rsid w:val="00C1559D"/>
    <w:rsid w:val="00C15A54"/>
    <w:rsid w:val="00C2226B"/>
    <w:rsid w:val="00C24652"/>
    <w:rsid w:val="00C24C00"/>
    <w:rsid w:val="00C25AA4"/>
    <w:rsid w:val="00C26890"/>
    <w:rsid w:val="00C26B25"/>
    <w:rsid w:val="00C33005"/>
    <w:rsid w:val="00C333F0"/>
    <w:rsid w:val="00C3369A"/>
    <w:rsid w:val="00C33A7A"/>
    <w:rsid w:val="00C3542F"/>
    <w:rsid w:val="00C3548B"/>
    <w:rsid w:val="00C359B1"/>
    <w:rsid w:val="00C35DF0"/>
    <w:rsid w:val="00C37990"/>
    <w:rsid w:val="00C37E10"/>
    <w:rsid w:val="00C409F6"/>
    <w:rsid w:val="00C40CEC"/>
    <w:rsid w:val="00C418F9"/>
    <w:rsid w:val="00C436B5"/>
    <w:rsid w:val="00C436FC"/>
    <w:rsid w:val="00C43E25"/>
    <w:rsid w:val="00C44C6A"/>
    <w:rsid w:val="00C4736A"/>
    <w:rsid w:val="00C477BB"/>
    <w:rsid w:val="00C51B6A"/>
    <w:rsid w:val="00C51D98"/>
    <w:rsid w:val="00C5397F"/>
    <w:rsid w:val="00C55876"/>
    <w:rsid w:val="00C565AC"/>
    <w:rsid w:val="00C570FE"/>
    <w:rsid w:val="00C5754D"/>
    <w:rsid w:val="00C576FA"/>
    <w:rsid w:val="00C57867"/>
    <w:rsid w:val="00C61155"/>
    <w:rsid w:val="00C628FC"/>
    <w:rsid w:val="00C6315D"/>
    <w:rsid w:val="00C64EBD"/>
    <w:rsid w:val="00C65C91"/>
    <w:rsid w:val="00C6660A"/>
    <w:rsid w:val="00C66D27"/>
    <w:rsid w:val="00C66FF5"/>
    <w:rsid w:val="00C7020E"/>
    <w:rsid w:val="00C7022F"/>
    <w:rsid w:val="00C703C3"/>
    <w:rsid w:val="00C706D4"/>
    <w:rsid w:val="00C7091C"/>
    <w:rsid w:val="00C70EFA"/>
    <w:rsid w:val="00C71141"/>
    <w:rsid w:val="00C713CB"/>
    <w:rsid w:val="00C730CD"/>
    <w:rsid w:val="00C73929"/>
    <w:rsid w:val="00C740D9"/>
    <w:rsid w:val="00C7547F"/>
    <w:rsid w:val="00C757EA"/>
    <w:rsid w:val="00C75CC8"/>
    <w:rsid w:val="00C762BB"/>
    <w:rsid w:val="00C768D0"/>
    <w:rsid w:val="00C76E9D"/>
    <w:rsid w:val="00C773F6"/>
    <w:rsid w:val="00C80C85"/>
    <w:rsid w:val="00C813BB"/>
    <w:rsid w:val="00C8343B"/>
    <w:rsid w:val="00C834F8"/>
    <w:rsid w:val="00C83F7D"/>
    <w:rsid w:val="00C8632D"/>
    <w:rsid w:val="00C86F3D"/>
    <w:rsid w:val="00C9220E"/>
    <w:rsid w:val="00C93C09"/>
    <w:rsid w:val="00C94B15"/>
    <w:rsid w:val="00C94CDB"/>
    <w:rsid w:val="00C96C34"/>
    <w:rsid w:val="00CA0131"/>
    <w:rsid w:val="00CA2F8A"/>
    <w:rsid w:val="00CA31A3"/>
    <w:rsid w:val="00CA3361"/>
    <w:rsid w:val="00CA7E9E"/>
    <w:rsid w:val="00CB0402"/>
    <w:rsid w:val="00CB37BB"/>
    <w:rsid w:val="00CB4C90"/>
    <w:rsid w:val="00CB4E8D"/>
    <w:rsid w:val="00CB5DBE"/>
    <w:rsid w:val="00CB6C5F"/>
    <w:rsid w:val="00CB6D75"/>
    <w:rsid w:val="00CB7770"/>
    <w:rsid w:val="00CC084E"/>
    <w:rsid w:val="00CC0B25"/>
    <w:rsid w:val="00CC3720"/>
    <w:rsid w:val="00CC3AD4"/>
    <w:rsid w:val="00CC4AF3"/>
    <w:rsid w:val="00CC4CBF"/>
    <w:rsid w:val="00CC5F28"/>
    <w:rsid w:val="00CC67B1"/>
    <w:rsid w:val="00CC6E65"/>
    <w:rsid w:val="00CC741A"/>
    <w:rsid w:val="00CD2A6C"/>
    <w:rsid w:val="00CD5051"/>
    <w:rsid w:val="00CD50CD"/>
    <w:rsid w:val="00CD7269"/>
    <w:rsid w:val="00CD794D"/>
    <w:rsid w:val="00CE012B"/>
    <w:rsid w:val="00CE219E"/>
    <w:rsid w:val="00CE229E"/>
    <w:rsid w:val="00CE2899"/>
    <w:rsid w:val="00CE4557"/>
    <w:rsid w:val="00CE4ABB"/>
    <w:rsid w:val="00CE5CE6"/>
    <w:rsid w:val="00CE7095"/>
    <w:rsid w:val="00CE7998"/>
    <w:rsid w:val="00CF18A8"/>
    <w:rsid w:val="00CF1DDF"/>
    <w:rsid w:val="00CF2084"/>
    <w:rsid w:val="00CF20E2"/>
    <w:rsid w:val="00CF4E58"/>
    <w:rsid w:val="00CF754B"/>
    <w:rsid w:val="00CF77B5"/>
    <w:rsid w:val="00D006F2"/>
    <w:rsid w:val="00D03AFD"/>
    <w:rsid w:val="00D03B40"/>
    <w:rsid w:val="00D04582"/>
    <w:rsid w:val="00D05C86"/>
    <w:rsid w:val="00D07891"/>
    <w:rsid w:val="00D07C79"/>
    <w:rsid w:val="00D11A1E"/>
    <w:rsid w:val="00D12850"/>
    <w:rsid w:val="00D135E3"/>
    <w:rsid w:val="00D1518B"/>
    <w:rsid w:val="00D15791"/>
    <w:rsid w:val="00D16700"/>
    <w:rsid w:val="00D16D1F"/>
    <w:rsid w:val="00D17FDF"/>
    <w:rsid w:val="00D20252"/>
    <w:rsid w:val="00D204FB"/>
    <w:rsid w:val="00D2066A"/>
    <w:rsid w:val="00D2083E"/>
    <w:rsid w:val="00D209D9"/>
    <w:rsid w:val="00D20DD3"/>
    <w:rsid w:val="00D2172A"/>
    <w:rsid w:val="00D2179B"/>
    <w:rsid w:val="00D24113"/>
    <w:rsid w:val="00D24155"/>
    <w:rsid w:val="00D26A13"/>
    <w:rsid w:val="00D314F4"/>
    <w:rsid w:val="00D31E00"/>
    <w:rsid w:val="00D337FB"/>
    <w:rsid w:val="00D3763A"/>
    <w:rsid w:val="00D40058"/>
    <w:rsid w:val="00D414CA"/>
    <w:rsid w:val="00D421E2"/>
    <w:rsid w:val="00D42CEC"/>
    <w:rsid w:val="00D431EA"/>
    <w:rsid w:val="00D447D6"/>
    <w:rsid w:val="00D463B5"/>
    <w:rsid w:val="00D46595"/>
    <w:rsid w:val="00D467BD"/>
    <w:rsid w:val="00D47DD0"/>
    <w:rsid w:val="00D526BC"/>
    <w:rsid w:val="00D52D17"/>
    <w:rsid w:val="00D5327D"/>
    <w:rsid w:val="00D546A0"/>
    <w:rsid w:val="00D547A9"/>
    <w:rsid w:val="00D55FF3"/>
    <w:rsid w:val="00D572E5"/>
    <w:rsid w:val="00D60DD7"/>
    <w:rsid w:val="00D60F17"/>
    <w:rsid w:val="00D628D6"/>
    <w:rsid w:val="00D644D3"/>
    <w:rsid w:val="00D6655A"/>
    <w:rsid w:val="00D671E2"/>
    <w:rsid w:val="00D71D63"/>
    <w:rsid w:val="00D7362D"/>
    <w:rsid w:val="00D74CD6"/>
    <w:rsid w:val="00D74D02"/>
    <w:rsid w:val="00D74D55"/>
    <w:rsid w:val="00D77877"/>
    <w:rsid w:val="00D80965"/>
    <w:rsid w:val="00D818E2"/>
    <w:rsid w:val="00D82DDB"/>
    <w:rsid w:val="00D83181"/>
    <w:rsid w:val="00D8435A"/>
    <w:rsid w:val="00D858A0"/>
    <w:rsid w:val="00D87049"/>
    <w:rsid w:val="00D901C5"/>
    <w:rsid w:val="00D905E5"/>
    <w:rsid w:val="00D91475"/>
    <w:rsid w:val="00D9191C"/>
    <w:rsid w:val="00D9204F"/>
    <w:rsid w:val="00D935FD"/>
    <w:rsid w:val="00D93CC9"/>
    <w:rsid w:val="00D942A8"/>
    <w:rsid w:val="00D94E8C"/>
    <w:rsid w:val="00D96992"/>
    <w:rsid w:val="00D9768B"/>
    <w:rsid w:val="00D97CB5"/>
    <w:rsid w:val="00D97CC2"/>
    <w:rsid w:val="00DA00DE"/>
    <w:rsid w:val="00DA11C9"/>
    <w:rsid w:val="00DA1C0F"/>
    <w:rsid w:val="00DA307D"/>
    <w:rsid w:val="00DA3359"/>
    <w:rsid w:val="00DA4738"/>
    <w:rsid w:val="00DA4DAF"/>
    <w:rsid w:val="00DA4F23"/>
    <w:rsid w:val="00DA767F"/>
    <w:rsid w:val="00DA7EC6"/>
    <w:rsid w:val="00DA7EF9"/>
    <w:rsid w:val="00DB07D3"/>
    <w:rsid w:val="00DB0B49"/>
    <w:rsid w:val="00DB1CBB"/>
    <w:rsid w:val="00DB213B"/>
    <w:rsid w:val="00DB2B8F"/>
    <w:rsid w:val="00DB725D"/>
    <w:rsid w:val="00DC03F7"/>
    <w:rsid w:val="00DC1068"/>
    <w:rsid w:val="00DC1729"/>
    <w:rsid w:val="00DC275F"/>
    <w:rsid w:val="00DC28E3"/>
    <w:rsid w:val="00DC296B"/>
    <w:rsid w:val="00DC6BAE"/>
    <w:rsid w:val="00DC7629"/>
    <w:rsid w:val="00DC7CE8"/>
    <w:rsid w:val="00DD0B0C"/>
    <w:rsid w:val="00DD0B35"/>
    <w:rsid w:val="00DD11A9"/>
    <w:rsid w:val="00DD1A58"/>
    <w:rsid w:val="00DD24CC"/>
    <w:rsid w:val="00DD6E33"/>
    <w:rsid w:val="00DD775D"/>
    <w:rsid w:val="00DE033E"/>
    <w:rsid w:val="00DE0796"/>
    <w:rsid w:val="00DE113E"/>
    <w:rsid w:val="00DE347C"/>
    <w:rsid w:val="00DE580B"/>
    <w:rsid w:val="00DE5CC0"/>
    <w:rsid w:val="00DE60CA"/>
    <w:rsid w:val="00DE7F91"/>
    <w:rsid w:val="00DF0AB9"/>
    <w:rsid w:val="00DF1365"/>
    <w:rsid w:val="00DF20C5"/>
    <w:rsid w:val="00DF25C0"/>
    <w:rsid w:val="00DF6474"/>
    <w:rsid w:val="00DF7592"/>
    <w:rsid w:val="00DF78FB"/>
    <w:rsid w:val="00E01F27"/>
    <w:rsid w:val="00E02386"/>
    <w:rsid w:val="00E0596E"/>
    <w:rsid w:val="00E0692E"/>
    <w:rsid w:val="00E07131"/>
    <w:rsid w:val="00E072A9"/>
    <w:rsid w:val="00E11537"/>
    <w:rsid w:val="00E117FD"/>
    <w:rsid w:val="00E118A2"/>
    <w:rsid w:val="00E12B35"/>
    <w:rsid w:val="00E132C7"/>
    <w:rsid w:val="00E14DC6"/>
    <w:rsid w:val="00E158EA"/>
    <w:rsid w:val="00E15AA6"/>
    <w:rsid w:val="00E15CC4"/>
    <w:rsid w:val="00E2006E"/>
    <w:rsid w:val="00E21446"/>
    <w:rsid w:val="00E214EB"/>
    <w:rsid w:val="00E2226C"/>
    <w:rsid w:val="00E234C4"/>
    <w:rsid w:val="00E25498"/>
    <w:rsid w:val="00E25F03"/>
    <w:rsid w:val="00E271D6"/>
    <w:rsid w:val="00E278BA"/>
    <w:rsid w:val="00E27F2A"/>
    <w:rsid w:val="00E3028A"/>
    <w:rsid w:val="00E3049B"/>
    <w:rsid w:val="00E30CBC"/>
    <w:rsid w:val="00E31036"/>
    <w:rsid w:val="00E31C5D"/>
    <w:rsid w:val="00E32048"/>
    <w:rsid w:val="00E32568"/>
    <w:rsid w:val="00E32938"/>
    <w:rsid w:val="00E34039"/>
    <w:rsid w:val="00E345E0"/>
    <w:rsid w:val="00E347FD"/>
    <w:rsid w:val="00E367D0"/>
    <w:rsid w:val="00E36AA5"/>
    <w:rsid w:val="00E3787A"/>
    <w:rsid w:val="00E37ACC"/>
    <w:rsid w:val="00E40ECA"/>
    <w:rsid w:val="00E438E3"/>
    <w:rsid w:val="00E43C71"/>
    <w:rsid w:val="00E440B4"/>
    <w:rsid w:val="00E44627"/>
    <w:rsid w:val="00E46433"/>
    <w:rsid w:val="00E46FC9"/>
    <w:rsid w:val="00E47180"/>
    <w:rsid w:val="00E47298"/>
    <w:rsid w:val="00E477D1"/>
    <w:rsid w:val="00E47FDC"/>
    <w:rsid w:val="00E47FEB"/>
    <w:rsid w:val="00E507A5"/>
    <w:rsid w:val="00E5086C"/>
    <w:rsid w:val="00E5173D"/>
    <w:rsid w:val="00E51CC0"/>
    <w:rsid w:val="00E528A4"/>
    <w:rsid w:val="00E563BE"/>
    <w:rsid w:val="00E5756D"/>
    <w:rsid w:val="00E606C0"/>
    <w:rsid w:val="00E6219E"/>
    <w:rsid w:val="00E6256D"/>
    <w:rsid w:val="00E628BF"/>
    <w:rsid w:val="00E6409F"/>
    <w:rsid w:val="00E64D49"/>
    <w:rsid w:val="00E64FCC"/>
    <w:rsid w:val="00E65009"/>
    <w:rsid w:val="00E65268"/>
    <w:rsid w:val="00E66494"/>
    <w:rsid w:val="00E66677"/>
    <w:rsid w:val="00E668D4"/>
    <w:rsid w:val="00E70205"/>
    <w:rsid w:val="00E7208D"/>
    <w:rsid w:val="00E727E1"/>
    <w:rsid w:val="00E73E17"/>
    <w:rsid w:val="00E745B6"/>
    <w:rsid w:val="00E75F1E"/>
    <w:rsid w:val="00E77138"/>
    <w:rsid w:val="00E8067E"/>
    <w:rsid w:val="00E8081A"/>
    <w:rsid w:val="00E80A69"/>
    <w:rsid w:val="00E810E6"/>
    <w:rsid w:val="00E821E6"/>
    <w:rsid w:val="00E833B4"/>
    <w:rsid w:val="00E8365E"/>
    <w:rsid w:val="00E83AE8"/>
    <w:rsid w:val="00E83B00"/>
    <w:rsid w:val="00E85019"/>
    <w:rsid w:val="00E8618A"/>
    <w:rsid w:val="00E9006E"/>
    <w:rsid w:val="00E90F63"/>
    <w:rsid w:val="00E91404"/>
    <w:rsid w:val="00E91473"/>
    <w:rsid w:val="00E92CBB"/>
    <w:rsid w:val="00E93557"/>
    <w:rsid w:val="00EA161D"/>
    <w:rsid w:val="00EA1DC5"/>
    <w:rsid w:val="00EA3FB0"/>
    <w:rsid w:val="00EA466A"/>
    <w:rsid w:val="00EA5F7E"/>
    <w:rsid w:val="00EB0BAA"/>
    <w:rsid w:val="00EB1BD8"/>
    <w:rsid w:val="00EB21B3"/>
    <w:rsid w:val="00EB274D"/>
    <w:rsid w:val="00EB279B"/>
    <w:rsid w:val="00EB28E3"/>
    <w:rsid w:val="00EB2B1E"/>
    <w:rsid w:val="00EB4D13"/>
    <w:rsid w:val="00EB583F"/>
    <w:rsid w:val="00EB5E82"/>
    <w:rsid w:val="00EB66D1"/>
    <w:rsid w:val="00EB728B"/>
    <w:rsid w:val="00EC1545"/>
    <w:rsid w:val="00EC19F1"/>
    <w:rsid w:val="00EC1F1E"/>
    <w:rsid w:val="00EC256E"/>
    <w:rsid w:val="00EC4994"/>
    <w:rsid w:val="00EC4B3D"/>
    <w:rsid w:val="00EC63E6"/>
    <w:rsid w:val="00EC76A6"/>
    <w:rsid w:val="00ED13EC"/>
    <w:rsid w:val="00ED1B04"/>
    <w:rsid w:val="00ED355D"/>
    <w:rsid w:val="00ED48FE"/>
    <w:rsid w:val="00ED5016"/>
    <w:rsid w:val="00ED5875"/>
    <w:rsid w:val="00EE0850"/>
    <w:rsid w:val="00EE18AA"/>
    <w:rsid w:val="00EE2857"/>
    <w:rsid w:val="00EE2EFA"/>
    <w:rsid w:val="00EE379A"/>
    <w:rsid w:val="00EE3F17"/>
    <w:rsid w:val="00EE5053"/>
    <w:rsid w:val="00EE615C"/>
    <w:rsid w:val="00EE6477"/>
    <w:rsid w:val="00EE79BC"/>
    <w:rsid w:val="00EE7CB9"/>
    <w:rsid w:val="00EF027F"/>
    <w:rsid w:val="00EF0AED"/>
    <w:rsid w:val="00EF2325"/>
    <w:rsid w:val="00EF311C"/>
    <w:rsid w:val="00EF3489"/>
    <w:rsid w:val="00EF3A68"/>
    <w:rsid w:val="00EF565A"/>
    <w:rsid w:val="00EF633E"/>
    <w:rsid w:val="00F00FBB"/>
    <w:rsid w:val="00F01A98"/>
    <w:rsid w:val="00F01BE1"/>
    <w:rsid w:val="00F03F17"/>
    <w:rsid w:val="00F060AF"/>
    <w:rsid w:val="00F0626D"/>
    <w:rsid w:val="00F06F37"/>
    <w:rsid w:val="00F07014"/>
    <w:rsid w:val="00F10C79"/>
    <w:rsid w:val="00F12E3B"/>
    <w:rsid w:val="00F1320F"/>
    <w:rsid w:val="00F14137"/>
    <w:rsid w:val="00F14273"/>
    <w:rsid w:val="00F15305"/>
    <w:rsid w:val="00F15549"/>
    <w:rsid w:val="00F1612C"/>
    <w:rsid w:val="00F171D5"/>
    <w:rsid w:val="00F177EE"/>
    <w:rsid w:val="00F20A35"/>
    <w:rsid w:val="00F212B5"/>
    <w:rsid w:val="00F21743"/>
    <w:rsid w:val="00F21A43"/>
    <w:rsid w:val="00F22196"/>
    <w:rsid w:val="00F26781"/>
    <w:rsid w:val="00F30A66"/>
    <w:rsid w:val="00F30E77"/>
    <w:rsid w:val="00F31AD2"/>
    <w:rsid w:val="00F32116"/>
    <w:rsid w:val="00F32A6A"/>
    <w:rsid w:val="00F3380F"/>
    <w:rsid w:val="00F33A0C"/>
    <w:rsid w:val="00F33EB0"/>
    <w:rsid w:val="00F346CD"/>
    <w:rsid w:val="00F35E06"/>
    <w:rsid w:val="00F36094"/>
    <w:rsid w:val="00F37484"/>
    <w:rsid w:val="00F40873"/>
    <w:rsid w:val="00F40D79"/>
    <w:rsid w:val="00F41397"/>
    <w:rsid w:val="00F41C8C"/>
    <w:rsid w:val="00F41E3D"/>
    <w:rsid w:val="00F42414"/>
    <w:rsid w:val="00F445C6"/>
    <w:rsid w:val="00F4572B"/>
    <w:rsid w:val="00F46634"/>
    <w:rsid w:val="00F47C77"/>
    <w:rsid w:val="00F5612E"/>
    <w:rsid w:val="00F564EA"/>
    <w:rsid w:val="00F577C5"/>
    <w:rsid w:val="00F601A9"/>
    <w:rsid w:val="00F61B06"/>
    <w:rsid w:val="00F61FE1"/>
    <w:rsid w:val="00F65F9A"/>
    <w:rsid w:val="00F6648C"/>
    <w:rsid w:val="00F66974"/>
    <w:rsid w:val="00F66EAA"/>
    <w:rsid w:val="00F710EF"/>
    <w:rsid w:val="00F7175B"/>
    <w:rsid w:val="00F7184A"/>
    <w:rsid w:val="00F729B5"/>
    <w:rsid w:val="00F73019"/>
    <w:rsid w:val="00F730B9"/>
    <w:rsid w:val="00F733FF"/>
    <w:rsid w:val="00F74C45"/>
    <w:rsid w:val="00F76F8B"/>
    <w:rsid w:val="00F83F59"/>
    <w:rsid w:val="00F84981"/>
    <w:rsid w:val="00F85306"/>
    <w:rsid w:val="00F903B0"/>
    <w:rsid w:val="00F90B2A"/>
    <w:rsid w:val="00F91A3F"/>
    <w:rsid w:val="00F91CDA"/>
    <w:rsid w:val="00F92FFA"/>
    <w:rsid w:val="00F937DE"/>
    <w:rsid w:val="00F96C40"/>
    <w:rsid w:val="00F9782E"/>
    <w:rsid w:val="00FA30A3"/>
    <w:rsid w:val="00FA3AC8"/>
    <w:rsid w:val="00FA3E6A"/>
    <w:rsid w:val="00FA40B5"/>
    <w:rsid w:val="00FA4233"/>
    <w:rsid w:val="00FB00F4"/>
    <w:rsid w:val="00FB0AE7"/>
    <w:rsid w:val="00FB0C96"/>
    <w:rsid w:val="00FB32EA"/>
    <w:rsid w:val="00FB3A91"/>
    <w:rsid w:val="00FB3D7F"/>
    <w:rsid w:val="00FB42AF"/>
    <w:rsid w:val="00FB4632"/>
    <w:rsid w:val="00FB6E23"/>
    <w:rsid w:val="00FB7685"/>
    <w:rsid w:val="00FB7F0A"/>
    <w:rsid w:val="00FC047F"/>
    <w:rsid w:val="00FC0993"/>
    <w:rsid w:val="00FC0AED"/>
    <w:rsid w:val="00FC1B56"/>
    <w:rsid w:val="00FC52A3"/>
    <w:rsid w:val="00FC72A2"/>
    <w:rsid w:val="00FC7371"/>
    <w:rsid w:val="00FC73D0"/>
    <w:rsid w:val="00FD0BE6"/>
    <w:rsid w:val="00FD0C53"/>
    <w:rsid w:val="00FD1614"/>
    <w:rsid w:val="00FD3AC5"/>
    <w:rsid w:val="00FD52E2"/>
    <w:rsid w:val="00FD71BA"/>
    <w:rsid w:val="00FD74D0"/>
    <w:rsid w:val="00FD7822"/>
    <w:rsid w:val="00FD7A51"/>
    <w:rsid w:val="00FE0B74"/>
    <w:rsid w:val="00FE0F32"/>
    <w:rsid w:val="00FE1894"/>
    <w:rsid w:val="00FE21D6"/>
    <w:rsid w:val="00FE2B12"/>
    <w:rsid w:val="00FE339F"/>
    <w:rsid w:val="00FE38D4"/>
    <w:rsid w:val="00FE3C66"/>
    <w:rsid w:val="00FE3EB9"/>
    <w:rsid w:val="00FE5922"/>
    <w:rsid w:val="00FE6596"/>
    <w:rsid w:val="00FE6BCE"/>
    <w:rsid w:val="00FE76E3"/>
    <w:rsid w:val="00FE7F22"/>
    <w:rsid w:val="00FF0177"/>
    <w:rsid w:val="00FF0223"/>
    <w:rsid w:val="00FF029A"/>
    <w:rsid w:val="00FF2F00"/>
    <w:rsid w:val="00FF3092"/>
    <w:rsid w:val="00FF339D"/>
    <w:rsid w:val="00FF57D9"/>
    <w:rsid w:val="00FF5ABD"/>
    <w:rsid w:val="00FF5D6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E318A00"/>
  <w15:docId w15:val="{541218FF-5222-4575-B29A-D3838EB6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1545"/>
    <w:pPr>
      <w:jc w:val="both"/>
    </w:pPr>
    <w:rPr>
      <w:sz w:val="22"/>
      <w:szCs w:val="24"/>
      <w:lang w:val="en-GB"/>
    </w:rPr>
  </w:style>
  <w:style w:type="paragraph" w:styleId="Heading1">
    <w:name w:val="heading 1"/>
    <w:basedOn w:val="Normal"/>
    <w:next w:val="Normal"/>
    <w:link w:val="Heading1Char"/>
    <w:qFormat/>
    <w:rsid w:val="00475D73"/>
    <w:pPr>
      <w:keepNext/>
      <w:suppressLineNumbers/>
      <w:suppressAutoHyphens/>
      <w:kinsoku w:val="0"/>
      <w:overflowPunct w:val="0"/>
      <w:autoSpaceDE w:val="0"/>
      <w:autoSpaceDN w:val="0"/>
      <w:spacing w:before="240"/>
      <w:ind w:right="6"/>
      <w:jc w:val="center"/>
      <w:outlineLvl w:val="0"/>
    </w:pPr>
    <w:rPr>
      <w:rFonts w:ascii="Times New Roman Bold" w:hAnsi="Times New Roman Bold" w:cs="Times New Roman Bold"/>
      <w:b/>
      <w:bCs/>
      <w:caps/>
      <w:snapToGrid w:val="0"/>
      <w:kern w:val="22"/>
      <w:szCs w:val="22"/>
    </w:rPr>
  </w:style>
  <w:style w:type="paragraph" w:styleId="Heading2">
    <w:name w:val="heading 2"/>
    <w:basedOn w:val="Normal"/>
    <w:next w:val="Normal"/>
    <w:link w:val="Heading2Char"/>
    <w:qFormat/>
    <w:rsid w:val="002D7E6D"/>
    <w:pPr>
      <w:keepNext/>
      <w:spacing w:before="240"/>
      <w:jc w:val="center"/>
      <w:outlineLvl w:val="1"/>
    </w:pPr>
    <w:rPr>
      <w:b/>
      <w:bCs/>
      <w:iCs/>
      <w:snapToGrid w:val="0"/>
      <w:lang w:eastAsia="x-none"/>
    </w:rPr>
  </w:style>
  <w:style w:type="paragraph" w:styleId="Heading3">
    <w:name w:val="heading 3"/>
    <w:basedOn w:val="Normal"/>
    <w:next w:val="Normal"/>
    <w:link w:val="Heading3Char"/>
    <w:qFormat/>
    <w:rsid w:val="006B7FB5"/>
    <w:pPr>
      <w:keepNext/>
      <w:suppressLineNumbers/>
      <w:suppressAutoHyphens/>
      <w:kinsoku w:val="0"/>
      <w:overflowPunct w:val="0"/>
      <w:autoSpaceDE w:val="0"/>
      <w:autoSpaceDN w:val="0"/>
      <w:spacing w:before="120"/>
      <w:outlineLvl w:val="2"/>
    </w:pPr>
    <w:rPr>
      <w:rFonts w:eastAsia="Times New Roman"/>
      <w:i/>
      <w:iCs/>
      <w:snapToGrid w:val="0"/>
      <w:kern w:val="22"/>
      <w:szCs w:val="22"/>
      <w:lang w:eastAsia="en-CA"/>
    </w:rPr>
  </w:style>
  <w:style w:type="paragraph" w:styleId="Heading40">
    <w:name w:val="heading 4"/>
    <w:basedOn w:val="Normal"/>
    <w:link w:val="Heading4Char"/>
    <w:qFormat/>
    <w:rsid w:val="003A3F1C"/>
    <w:pPr>
      <w:keepNext/>
      <w:spacing w:before="120"/>
      <w:outlineLvl w:val="3"/>
    </w:pPr>
    <w:rPr>
      <w:rFonts w:eastAsia="Arial Unicode MS" w:cs="Arial"/>
      <w:b/>
      <w:i/>
    </w:rPr>
  </w:style>
  <w:style w:type="paragraph" w:styleId="Heading5">
    <w:name w:val="heading 5"/>
    <w:basedOn w:val="Normal"/>
    <w:next w:val="Normal"/>
    <w:link w:val="Heading5Char"/>
    <w:qFormat/>
    <w:rsid w:val="003A3F1C"/>
    <w:pPr>
      <w:keepNext/>
      <w:numPr>
        <w:ilvl w:val="4"/>
        <w:numId w:val="4"/>
      </w:numPr>
      <w:spacing w:before="120"/>
      <w:jc w:val="left"/>
      <w:outlineLvl w:val="4"/>
    </w:pPr>
    <w:rPr>
      <w:bCs/>
      <w:i/>
      <w:szCs w:val="26"/>
      <w:lang w:val="en-CA"/>
    </w:rPr>
  </w:style>
  <w:style w:type="paragraph" w:styleId="Heading6">
    <w:name w:val="heading 6"/>
    <w:basedOn w:val="Normal"/>
    <w:next w:val="Normal"/>
    <w:link w:val="Heading6Char"/>
    <w:qFormat/>
    <w:rsid w:val="003A3F1C"/>
    <w:pPr>
      <w:keepNext/>
      <w:spacing w:after="240" w:line="240" w:lineRule="exact"/>
      <w:outlineLvl w:val="5"/>
    </w:pPr>
    <w:rPr>
      <w:i/>
      <w:sz w:val="24"/>
      <w:szCs w:val="20"/>
    </w:rPr>
  </w:style>
  <w:style w:type="paragraph" w:styleId="Heading7">
    <w:name w:val="heading 7"/>
    <w:basedOn w:val="Normal"/>
    <w:next w:val="Normal"/>
    <w:link w:val="Heading7Char"/>
    <w:qFormat/>
    <w:rsid w:val="003A3F1C"/>
    <w:pPr>
      <w:keepNext/>
      <w:jc w:val="right"/>
      <w:outlineLvl w:val="6"/>
    </w:pPr>
    <w:rPr>
      <w:rFonts w:ascii="Univers" w:hAnsi="Univers"/>
      <w:b/>
      <w:sz w:val="28"/>
    </w:rPr>
  </w:style>
  <w:style w:type="paragraph" w:styleId="Heading8">
    <w:name w:val="heading 8"/>
    <w:basedOn w:val="Normal"/>
    <w:next w:val="Normal"/>
    <w:link w:val="Heading8Char"/>
    <w:qFormat/>
    <w:rsid w:val="003A3F1C"/>
    <w:pPr>
      <w:keepNext/>
      <w:jc w:val="right"/>
      <w:outlineLvl w:val="7"/>
    </w:pPr>
    <w:rPr>
      <w:rFonts w:ascii="Univers" w:hAnsi="Univers"/>
      <w:b/>
      <w:sz w:val="32"/>
    </w:rPr>
  </w:style>
  <w:style w:type="paragraph" w:styleId="Heading9">
    <w:name w:val="heading 9"/>
    <w:basedOn w:val="Normal"/>
    <w:next w:val="Normal"/>
    <w:link w:val="Heading9Char"/>
    <w:qFormat/>
    <w:rsid w:val="003A3F1C"/>
    <w:pPr>
      <w:keepNext/>
      <w:spacing w:before="100" w:beforeAutospacing="1"/>
      <w:outlineLvl w:val="8"/>
    </w:pPr>
    <w:rPr>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75D73"/>
    <w:rPr>
      <w:rFonts w:ascii="Times New Roman Bold" w:hAnsi="Times New Roman Bold" w:cs="Times New Roman Bold"/>
      <w:b/>
      <w:bCs/>
      <w:caps/>
      <w:snapToGrid w:val="0"/>
      <w:kern w:val="22"/>
      <w:sz w:val="22"/>
      <w:szCs w:val="22"/>
      <w:lang w:val="en-GB"/>
    </w:rPr>
  </w:style>
  <w:style w:type="character" w:customStyle="1" w:styleId="Heading2Char">
    <w:name w:val="Heading 2 Char"/>
    <w:link w:val="Heading2"/>
    <w:rsid w:val="002D7E6D"/>
    <w:rPr>
      <w:b/>
      <w:bCs/>
      <w:iCs/>
      <w:snapToGrid w:val="0"/>
      <w:sz w:val="22"/>
      <w:szCs w:val="24"/>
      <w:lang w:val="en-GB" w:eastAsia="x-none"/>
    </w:rPr>
  </w:style>
  <w:style w:type="character" w:customStyle="1" w:styleId="Heading3Char">
    <w:name w:val="Heading 3 Char"/>
    <w:basedOn w:val="DefaultParagraphFont"/>
    <w:link w:val="Heading3"/>
    <w:rsid w:val="00F01A98"/>
    <w:rPr>
      <w:rFonts w:eastAsia="Times New Roman"/>
      <w:i/>
      <w:iCs/>
      <w:snapToGrid w:val="0"/>
      <w:kern w:val="22"/>
      <w:sz w:val="22"/>
      <w:szCs w:val="22"/>
      <w:lang w:val="en-GB" w:eastAsia="en-CA"/>
    </w:rPr>
  </w:style>
  <w:style w:type="character" w:customStyle="1" w:styleId="Heading4Char">
    <w:name w:val="Heading 4 Char"/>
    <w:basedOn w:val="DefaultParagraphFont"/>
    <w:link w:val="Heading40"/>
    <w:rsid w:val="00DE347C"/>
    <w:rPr>
      <w:rFonts w:eastAsia="Arial Unicode MS" w:cs="Arial"/>
      <w:b/>
      <w:i/>
      <w:sz w:val="22"/>
      <w:szCs w:val="24"/>
      <w:lang w:val="en-GB"/>
    </w:rPr>
  </w:style>
  <w:style w:type="character" w:customStyle="1" w:styleId="Heading5Char">
    <w:name w:val="Heading 5 Char"/>
    <w:basedOn w:val="DefaultParagraphFont"/>
    <w:link w:val="Heading5"/>
    <w:rsid w:val="00DE347C"/>
    <w:rPr>
      <w:bCs/>
      <w:i/>
      <w:sz w:val="22"/>
      <w:szCs w:val="26"/>
      <w:lang w:val="en-CA"/>
    </w:rPr>
  </w:style>
  <w:style w:type="character" w:customStyle="1" w:styleId="Heading6Char">
    <w:name w:val="Heading 6 Char"/>
    <w:link w:val="Heading6"/>
    <w:locked/>
    <w:rsid w:val="004B44FA"/>
    <w:rPr>
      <w:i/>
      <w:sz w:val="24"/>
      <w:lang w:val="en-GB" w:eastAsia="en-US"/>
    </w:rPr>
  </w:style>
  <w:style w:type="character" w:customStyle="1" w:styleId="Heading7Char">
    <w:name w:val="Heading 7 Char"/>
    <w:basedOn w:val="DefaultParagraphFont"/>
    <w:link w:val="Heading7"/>
    <w:rsid w:val="00DE347C"/>
    <w:rPr>
      <w:rFonts w:ascii="Univers" w:hAnsi="Univers"/>
      <w:b/>
      <w:sz w:val="28"/>
      <w:szCs w:val="24"/>
      <w:lang w:val="en-GB"/>
    </w:rPr>
  </w:style>
  <w:style w:type="character" w:customStyle="1" w:styleId="Heading8Char">
    <w:name w:val="Heading 8 Char"/>
    <w:basedOn w:val="DefaultParagraphFont"/>
    <w:link w:val="Heading8"/>
    <w:rsid w:val="00DE347C"/>
    <w:rPr>
      <w:rFonts w:ascii="Univers" w:hAnsi="Univers"/>
      <w:b/>
      <w:sz w:val="32"/>
      <w:szCs w:val="24"/>
      <w:lang w:val="en-GB"/>
    </w:rPr>
  </w:style>
  <w:style w:type="character" w:customStyle="1" w:styleId="Heading9Char">
    <w:name w:val="Heading 9 Char"/>
    <w:link w:val="Heading9"/>
    <w:rsid w:val="006F507F"/>
    <w:rPr>
      <w:i/>
      <w:iCs/>
      <w:sz w:val="22"/>
      <w:szCs w:val="24"/>
      <w:lang w:val="en-GB"/>
    </w:rPr>
  </w:style>
  <w:style w:type="paragraph" w:styleId="BalloonText">
    <w:name w:val="Balloon Text"/>
    <w:basedOn w:val="Normal"/>
    <w:link w:val="BalloonTextChar1"/>
    <w:uiPriority w:val="99"/>
    <w:semiHidden/>
    <w:rsid w:val="003A3F1C"/>
    <w:rPr>
      <w:rFonts w:ascii="Lucida Grande" w:hAnsi="Lucida Grande"/>
      <w:sz w:val="18"/>
      <w:szCs w:val="18"/>
      <w:lang w:val="x-none" w:eastAsia="x-none"/>
    </w:rPr>
  </w:style>
  <w:style w:type="character" w:customStyle="1" w:styleId="BalloonTextChar1">
    <w:name w:val="Balloon Text Char1"/>
    <w:link w:val="BalloonText"/>
    <w:semiHidden/>
    <w:rsid w:val="00B573FE"/>
    <w:rPr>
      <w:rFonts w:ascii="Lucida Grande" w:hAnsi="Lucida Grande"/>
      <w:sz w:val="18"/>
      <w:szCs w:val="18"/>
    </w:rPr>
  </w:style>
  <w:style w:type="character" w:customStyle="1" w:styleId="BalloonTextChar">
    <w:name w:val="Balloon Text Char"/>
    <w:uiPriority w:val="99"/>
    <w:semiHidden/>
    <w:rsid w:val="008F669E"/>
    <w:rPr>
      <w:rFonts w:ascii="Lucida Grande" w:hAnsi="Lucida Grande"/>
      <w:sz w:val="18"/>
      <w:szCs w:val="18"/>
    </w:rPr>
  </w:style>
  <w:style w:type="character" w:customStyle="1" w:styleId="BalloonTextChar2">
    <w:name w:val="Balloon Text Char2"/>
    <w:uiPriority w:val="99"/>
    <w:semiHidden/>
    <w:rsid w:val="008F669E"/>
    <w:rPr>
      <w:rFonts w:ascii="Lucida Grande" w:hAnsi="Lucida Grande"/>
      <w:sz w:val="18"/>
      <w:szCs w:val="18"/>
    </w:rPr>
  </w:style>
  <w:style w:type="paragraph" w:styleId="BodyText">
    <w:name w:val="Body Text"/>
    <w:basedOn w:val="Normal"/>
    <w:link w:val="BodyTextChar"/>
    <w:rsid w:val="003A3F1C"/>
    <w:pPr>
      <w:spacing w:before="120"/>
      <w:ind w:firstLine="720"/>
    </w:pPr>
    <w:rPr>
      <w:iCs/>
      <w:lang w:eastAsia="x-none"/>
    </w:rPr>
  </w:style>
  <w:style w:type="character" w:customStyle="1" w:styleId="BodyTextChar">
    <w:name w:val="Body Text Char"/>
    <w:link w:val="BodyText"/>
    <w:rsid w:val="00A86E5D"/>
    <w:rPr>
      <w:iCs/>
      <w:sz w:val="22"/>
      <w:szCs w:val="24"/>
      <w:lang w:val="en-GB"/>
    </w:rPr>
  </w:style>
  <w:style w:type="paragraph" w:styleId="Footer">
    <w:name w:val="footer"/>
    <w:basedOn w:val="Normal"/>
    <w:link w:val="FooterChar"/>
    <w:rsid w:val="003A3F1C"/>
    <w:pPr>
      <w:tabs>
        <w:tab w:val="center" w:pos="4320"/>
        <w:tab w:val="right" w:pos="8640"/>
      </w:tabs>
      <w:ind w:firstLine="720"/>
      <w:jc w:val="right"/>
    </w:pPr>
  </w:style>
  <w:style w:type="character" w:customStyle="1" w:styleId="FooterChar">
    <w:name w:val="Footer Char"/>
    <w:basedOn w:val="DefaultParagraphFont"/>
    <w:link w:val="Footer"/>
    <w:rsid w:val="005B76D9"/>
    <w:rPr>
      <w:sz w:val="22"/>
      <w:szCs w:val="24"/>
      <w:lang w:val="en-GB"/>
    </w:rPr>
  </w:style>
  <w:style w:type="paragraph" w:customStyle="1" w:styleId="Para1">
    <w:name w:val="Para1"/>
    <w:basedOn w:val="Normal"/>
    <w:link w:val="Para1Char"/>
    <w:rsid w:val="00FC047F"/>
    <w:pPr>
      <w:numPr>
        <w:numId w:val="7"/>
      </w:numPr>
      <w:tabs>
        <w:tab w:val="left" w:pos="567"/>
        <w:tab w:val="num" w:pos="2912"/>
      </w:tabs>
      <w:spacing w:before="120"/>
    </w:pPr>
    <w:rPr>
      <w:szCs w:val="18"/>
    </w:rPr>
  </w:style>
  <w:style w:type="character" w:customStyle="1" w:styleId="Para1Char">
    <w:name w:val="Para1 Char"/>
    <w:link w:val="Para1"/>
    <w:locked/>
    <w:rsid w:val="00FC047F"/>
    <w:rPr>
      <w:sz w:val="22"/>
      <w:szCs w:val="18"/>
      <w:lang w:val="en-GB"/>
    </w:rPr>
  </w:style>
  <w:style w:type="paragraph" w:customStyle="1" w:styleId="Para20">
    <w:name w:val="Para2"/>
    <w:basedOn w:val="Para1"/>
    <w:rsid w:val="003A3F1C"/>
    <w:pPr>
      <w:numPr>
        <w:numId w:val="8"/>
      </w:numPr>
      <w:tabs>
        <w:tab w:val="num" w:pos="990"/>
      </w:tabs>
      <w:autoSpaceDE w:val="0"/>
      <w:autoSpaceDN w:val="0"/>
    </w:pPr>
  </w:style>
  <w:style w:type="paragraph" w:customStyle="1" w:styleId="Para3">
    <w:name w:val="Para3"/>
    <w:basedOn w:val="Normal"/>
    <w:rsid w:val="003A3F1C"/>
    <w:pPr>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3A3F1C"/>
    <w:pPr>
      <w:keepLines/>
      <w:spacing w:after="60"/>
      <w:ind w:firstLine="720"/>
    </w:pPr>
    <w:rPr>
      <w:sz w:val="18"/>
      <w:lang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6C79FD"/>
    <w:rPr>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3A3F1C"/>
    <w:rPr>
      <w:sz w:val="18"/>
      <w:u w:val="single"/>
      <w:vertAlign w:val="baselin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F5D7B"/>
    <w:pPr>
      <w:spacing w:after="160" w:line="240" w:lineRule="exact"/>
      <w:jc w:val="left"/>
    </w:pPr>
    <w:rPr>
      <w:sz w:val="18"/>
      <w:szCs w:val="20"/>
      <w:u w:val="single"/>
      <w:lang w:val="en-US"/>
    </w:rPr>
  </w:style>
  <w:style w:type="paragraph" w:customStyle="1" w:styleId="Cornernotation">
    <w:name w:val="Corner notation"/>
    <w:basedOn w:val="Normal"/>
    <w:rsid w:val="003A3F1C"/>
    <w:pPr>
      <w:ind w:left="284" w:right="4398" w:hanging="284"/>
      <w:jc w:val="left"/>
    </w:pPr>
  </w:style>
  <w:style w:type="paragraph" w:customStyle="1" w:styleId="para2">
    <w:name w:val="para2"/>
    <w:basedOn w:val="Normal"/>
    <w:rsid w:val="003A3F1C"/>
    <w:pPr>
      <w:numPr>
        <w:numId w:val="3"/>
      </w:numPr>
      <w:tabs>
        <w:tab w:val="clear" w:pos="360"/>
      </w:tabs>
      <w:spacing w:before="120"/>
    </w:pPr>
    <w:rPr>
      <w:szCs w:val="20"/>
    </w:rPr>
  </w:style>
  <w:style w:type="paragraph" w:customStyle="1" w:styleId="Paranum">
    <w:name w:val="Paranum"/>
    <w:basedOn w:val="Para1"/>
    <w:rsid w:val="003A3F1C"/>
    <w:pPr>
      <w:numPr>
        <w:numId w:val="2"/>
      </w:numPr>
      <w:spacing w:line="240" w:lineRule="exact"/>
    </w:pPr>
    <w:rPr>
      <w:szCs w:val="20"/>
      <w:lang w:val="en-US"/>
    </w:rPr>
  </w:style>
  <w:style w:type="paragraph" w:styleId="EndnoteText">
    <w:name w:val="endnote text"/>
    <w:basedOn w:val="Normal"/>
    <w:link w:val="EndnoteTextChar"/>
    <w:semiHidden/>
    <w:rsid w:val="003A3F1C"/>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DE347C"/>
    <w:rPr>
      <w:rFonts w:ascii="Courier New" w:hAnsi="Courier New"/>
      <w:sz w:val="22"/>
      <w:szCs w:val="24"/>
      <w:lang w:val="en-GB"/>
    </w:rPr>
  </w:style>
  <w:style w:type="character" w:styleId="EndnoteReference">
    <w:name w:val="endnote reference"/>
    <w:semiHidden/>
    <w:rsid w:val="003A3F1C"/>
    <w:rPr>
      <w:vertAlign w:val="superscript"/>
    </w:rPr>
  </w:style>
  <w:style w:type="character" w:styleId="PageNumber">
    <w:name w:val="page number"/>
    <w:rsid w:val="003A3F1C"/>
    <w:rPr>
      <w:rFonts w:ascii="Times New Roman" w:hAnsi="Times New Roman"/>
      <w:sz w:val="22"/>
    </w:rPr>
  </w:style>
  <w:style w:type="paragraph" w:customStyle="1" w:styleId="para4">
    <w:name w:val="para4"/>
    <w:basedOn w:val="Normal"/>
    <w:rsid w:val="003A3F1C"/>
    <w:pPr>
      <w:numPr>
        <w:ilvl w:val="3"/>
        <w:numId w:val="6"/>
      </w:numPr>
      <w:tabs>
        <w:tab w:val="clear" w:pos="1440"/>
        <w:tab w:val="num" w:pos="2160"/>
      </w:tabs>
      <w:overflowPunct w:val="0"/>
      <w:autoSpaceDE w:val="0"/>
      <w:autoSpaceDN w:val="0"/>
      <w:adjustRightInd w:val="0"/>
      <w:spacing w:line="240" w:lineRule="atLeast"/>
      <w:ind w:left="2160" w:hanging="720"/>
      <w:textAlignment w:val="baseline"/>
    </w:pPr>
    <w:rPr>
      <w:rFonts w:ascii="Courier" w:hAnsi="Courier"/>
      <w:color w:val="000000"/>
      <w:sz w:val="20"/>
      <w:szCs w:val="20"/>
    </w:rPr>
  </w:style>
  <w:style w:type="paragraph" w:customStyle="1" w:styleId="Heading1multiline">
    <w:name w:val="Heading 1 (multiline)"/>
    <w:basedOn w:val="Heading1"/>
    <w:rsid w:val="00475D73"/>
    <w:pPr>
      <w:tabs>
        <w:tab w:val="left" w:pos="1701"/>
      </w:tabs>
      <w:ind w:left="1701" w:right="610" w:hanging="1134"/>
      <w:jc w:val="left"/>
    </w:pPr>
  </w:style>
  <w:style w:type="paragraph" w:customStyle="1" w:styleId="Heading2multiline">
    <w:name w:val="Heading 2 (multiline)"/>
    <w:basedOn w:val="Heading1"/>
    <w:next w:val="Normal"/>
    <w:rsid w:val="003A3F1C"/>
    <w:pPr>
      <w:spacing w:before="120"/>
      <w:ind w:left="1843" w:right="998" w:hanging="567"/>
      <w:jc w:val="left"/>
    </w:pPr>
    <w:rPr>
      <w:i/>
      <w:iCs/>
      <w:caps w:val="0"/>
    </w:rPr>
  </w:style>
  <w:style w:type="paragraph" w:customStyle="1" w:styleId="Heading3multiline">
    <w:name w:val="Heading 3 (multiline)"/>
    <w:basedOn w:val="Heading3"/>
    <w:next w:val="Normal"/>
    <w:rsid w:val="003A3F1C"/>
    <w:pPr>
      <w:tabs>
        <w:tab w:val="left" w:pos="567"/>
      </w:tabs>
      <w:ind w:left="1418" w:hanging="425"/>
      <w:jc w:val="left"/>
    </w:pPr>
  </w:style>
  <w:style w:type="paragraph" w:customStyle="1" w:styleId="Heading2longmultiline">
    <w:name w:val="Heading 2 (long multiline)"/>
    <w:basedOn w:val="Heading2multiline"/>
    <w:rsid w:val="00D74CD6"/>
    <w:pPr>
      <w:ind w:left="2127" w:hanging="1276"/>
    </w:pPr>
  </w:style>
  <w:style w:type="paragraph" w:customStyle="1" w:styleId="Heading1longmultiline">
    <w:name w:val="Heading 1 (long multiline)"/>
    <w:basedOn w:val="Heading1"/>
    <w:rsid w:val="003A3F1C"/>
    <w:pPr>
      <w:ind w:left="1843" w:hanging="1134"/>
      <w:jc w:val="left"/>
    </w:pPr>
  </w:style>
  <w:style w:type="paragraph" w:styleId="BodyTextIndent">
    <w:name w:val="Body Text Indent"/>
    <w:basedOn w:val="Normal"/>
    <w:link w:val="BodyTextIndentChar"/>
    <w:rsid w:val="003A3F1C"/>
    <w:pPr>
      <w:spacing w:before="120"/>
      <w:ind w:left="1440" w:hanging="720"/>
      <w:jc w:val="left"/>
    </w:pPr>
  </w:style>
  <w:style w:type="character" w:customStyle="1" w:styleId="BodyTextIndentChar">
    <w:name w:val="Body Text Indent Char"/>
    <w:basedOn w:val="DefaultParagraphFont"/>
    <w:link w:val="BodyTextIndent"/>
    <w:rsid w:val="00DE347C"/>
    <w:rPr>
      <w:sz w:val="22"/>
      <w:szCs w:val="24"/>
      <w:lang w:val="en-GB"/>
    </w:rPr>
  </w:style>
  <w:style w:type="paragraph" w:customStyle="1" w:styleId="Heading-plainbold">
    <w:name w:val="Heading-plain bold"/>
    <w:basedOn w:val="BodyText"/>
    <w:rsid w:val="003A3F1C"/>
    <w:pPr>
      <w:ind w:firstLine="0"/>
      <w:jc w:val="center"/>
    </w:pPr>
    <w:rPr>
      <w:b/>
      <w:bCs/>
      <w:i/>
      <w:iCs w:val="0"/>
    </w:rPr>
  </w:style>
  <w:style w:type="paragraph" w:customStyle="1" w:styleId="Heading-plainitalic">
    <w:name w:val="Heading-plain italic"/>
    <w:basedOn w:val="Normal"/>
    <w:rsid w:val="003A3F1C"/>
    <w:pPr>
      <w:spacing w:before="120"/>
      <w:jc w:val="center"/>
    </w:pPr>
    <w:rPr>
      <w:i/>
      <w:szCs w:val="20"/>
    </w:rPr>
  </w:style>
  <w:style w:type="paragraph" w:styleId="TOC1">
    <w:name w:val="toc 1"/>
    <w:basedOn w:val="Normal"/>
    <w:next w:val="Normal"/>
    <w:autoRedefine/>
    <w:rsid w:val="003A3F1C"/>
    <w:pPr>
      <w:tabs>
        <w:tab w:val="left" w:pos="1200"/>
        <w:tab w:val="right" w:leader="dot" w:pos="9350"/>
      </w:tabs>
      <w:spacing w:before="120"/>
      <w:ind w:left="1210" w:right="450" w:hanging="1210"/>
      <w:jc w:val="left"/>
    </w:pPr>
    <w:rPr>
      <w:noProof/>
      <w:szCs w:val="22"/>
      <w:lang w:val="en-CA"/>
    </w:rPr>
  </w:style>
  <w:style w:type="paragraph" w:styleId="TOC2">
    <w:name w:val="toc 2"/>
    <w:basedOn w:val="Normal"/>
    <w:next w:val="Normal"/>
    <w:autoRedefine/>
    <w:rsid w:val="006D76F6"/>
    <w:pPr>
      <w:tabs>
        <w:tab w:val="left" w:pos="2750"/>
        <w:tab w:val="left" w:pos="9356"/>
      </w:tabs>
      <w:spacing w:before="120"/>
      <w:ind w:left="2310" w:right="610" w:hanging="1100"/>
      <w:jc w:val="left"/>
    </w:pPr>
    <w:rPr>
      <w:noProof/>
      <w:szCs w:val="22"/>
      <w:lang w:val="en-US"/>
    </w:rPr>
  </w:style>
  <w:style w:type="paragraph" w:styleId="TOC3">
    <w:name w:val="toc 3"/>
    <w:basedOn w:val="Normal"/>
    <w:next w:val="Normal"/>
    <w:autoRedefine/>
    <w:rsid w:val="003A3F1C"/>
    <w:pPr>
      <w:spacing w:before="120"/>
      <w:ind w:left="480"/>
      <w:jc w:val="left"/>
    </w:pPr>
    <w:rPr>
      <w:lang w:val="en-CA"/>
    </w:rPr>
  </w:style>
  <w:style w:type="paragraph" w:styleId="Header">
    <w:name w:val="header"/>
    <w:basedOn w:val="Normal"/>
    <w:link w:val="HeaderChar"/>
    <w:rsid w:val="003A3F1C"/>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basedOn w:val="DefaultParagraphFont"/>
    <w:link w:val="Header"/>
    <w:rsid w:val="00DE347C"/>
    <w:rPr>
      <w:sz w:val="22"/>
      <w:lang w:val="en-GB"/>
    </w:rPr>
  </w:style>
  <w:style w:type="paragraph" w:customStyle="1" w:styleId="HEADINGNOTFORTOC">
    <w:name w:val="HEADING (NOT FOR TOC)"/>
    <w:basedOn w:val="Heading1"/>
    <w:next w:val="Heading2"/>
    <w:rsid w:val="003A3F1C"/>
  </w:style>
  <w:style w:type="paragraph" w:customStyle="1" w:styleId="Paragraph">
    <w:name w:val="Paragraph"/>
    <w:basedOn w:val="Normal"/>
    <w:rsid w:val="003A3F1C"/>
    <w:pPr>
      <w:spacing w:before="120"/>
    </w:pPr>
  </w:style>
  <w:style w:type="paragraph" w:customStyle="1" w:styleId="Heading4">
    <w:name w:val="Heading4"/>
    <w:basedOn w:val="Normal"/>
    <w:rsid w:val="003A3F1C"/>
    <w:pPr>
      <w:numPr>
        <w:numId w:val="1"/>
      </w:numPr>
    </w:pPr>
    <w:rPr>
      <w:b/>
      <w:i/>
      <w:iCs/>
      <w:szCs w:val="20"/>
    </w:rPr>
  </w:style>
  <w:style w:type="paragraph" w:customStyle="1" w:styleId="Activity">
    <w:name w:val="Activity"/>
    <w:basedOn w:val="Normal"/>
    <w:rsid w:val="003A3F1C"/>
    <w:pPr>
      <w:numPr>
        <w:ilvl w:val="1"/>
        <w:numId w:val="5"/>
      </w:numPr>
      <w:spacing w:before="120"/>
    </w:pPr>
  </w:style>
  <w:style w:type="paragraph" w:styleId="BodyTextIndent3">
    <w:name w:val="Body Text Indent 3"/>
    <w:basedOn w:val="Normal"/>
    <w:rsid w:val="003A3F1C"/>
    <w:pPr>
      <w:ind w:left="720"/>
      <w:jc w:val="left"/>
    </w:pPr>
    <w:rPr>
      <w:szCs w:val="20"/>
    </w:rPr>
  </w:style>
  <w:style w:type="paragraph" w:styleId="BodyText2">
    <w:name w:val="Body Text 2"/>
    <w:basedOn w:val="Normal"/>
    <w:rsid w:val="003A3F1C"/>
    <w:pPr>
      <w:jc w:val="right"/>
    </w:pPr>
    <w:rPr>
      <w:szCs w:val="20"/>
    </w:rPr>
  </w:style>
  <w:style w:type="paragraph" w:customStyle="1" w:styleId="HEADING">
    <w:name w:val="HEADING"/>
    <w:basedOn w:val="Normal"/>
    <w:rsid w:val="003A3F1C"/>
    <w:pPr>
      <w:keepNext/>
      <w:tabs>
        <w:tab w:val="left" w:pos="1134"/>
      </w:tabs>
      <w:spacing w:before="240"/>
      <w:jc w:val="center"/>
    </w:pPr>
    <w:rPr>
      <w:b/>
      <w:caps/>
    </w:rPr>
  </w:style>
  <w:style w:type="paragraph" w:customStyle="1" w:styleId="Heading2-center">
    <w:name w:val="Heading 2-center"/>
    <w:basedOn w:val="Heading2"/>
    <w:rsid w:val="003A3F1C"/>
    <w:pPr>
      <w:ind w:left="1304" w:right="1134" w:hanging="340"/>
      <w:outlineLvl w:val="9"/>
    </w:pPr>
    <w:rPr>
      <w:b w:val="0"/>
      <w:i/>
      <w:caps/>
      <w:szCs w:val="28"/>
    </w:rPr>
  </w:style>
  <w:style w:type="paragraph" w:styleId="BodyTextIndent2">
    <w:name w:val="Body Text Indent 2"/>
    <w:basedOn w:val="Normal"/>
    <w:rsid w:val="003A3F1C"/>
    <w:pPr>
      <w:ind w:firstLine="709"/>
    </w:pPr>
  </w:style>
  <w:style w:type="paragraph" w:customStyle="1" w:styleId="bodytextnoindent">
    <w:name w:val="body text (no indent)"/>
    <w:basedOn w:val="Normal"/>
    <w:rsid w:val="003A3F1C"/>
    <w:pPr>
      <w:spacing w:before="120"/>
    </w:pPr>
  </w:style>
  <w:style w:type="paragraph" w:customStyle="1" w:styleId="Heading2noletter">
    <w:name w:val="Heading 2 (no letter)"/>
    <w:basedOn w:val="Heading2"/>
    <w:rsid w:val="003A3F1C"/>
  </w:style>
  <w:style w:type="paragraph" w:customStyle="1" w:styleId="Heading4indent">
    <w:name w:val="Heading 4 indent"/>
    <w:basedOn w:val="Heading40"/>
    <w:rsid w:val="003A3F1C"/>
    <w:pPr>
      <w:ind w:left="720"/>
      <w:outlineLvl w:val="9"/>
    </w:pPr>
  </w:style>
  <w:style w:type="paragraph" w:customStyle="1" w:styleId="heading-plainbold0">
    <w:name w:val="heading-plain bold"/>
    <w:basedOn w:val="Heading1"/>
    <w:rsid w:val="003A3F1C"/>
    <w:pPr>
      <w:spacing w:before="120"/>
      <w:ind w:right="0"/>
    </w:pPr>
    <w:rPr>
      <w:i/>
      <w:iCs/>
      <w:caps w:val="0"/>
    </w:rPr>
  </w:style>
  <w:style w:type="character" w:styleId="Hyperlink">
    <w:name w:val="Hyperlink"/>
    <w:uiPriority w:val="99"/>
    <w:rsid w:val="003A3F1C"/>
    <w:rPr>
      <w:color w:val="0000FF"/>
      <w:sz w:val="18"/>
      <w:u w:val="single"/>
    </w:rPr>
  </w:style>
  <w:style w:type="paragraph" w:customStyle="1" w:styleId="aident">
    <w:name w:val="(a) ident"/>
    <w:basedOn w:val="Normal"/>
    <w:rsid w:val="003A3F1C"/>
    <w:pPr>
      <w:tabs>
        <w:tab w:val="num" w:pos="1077"/>
      </w:tabs>
      <w:autoSpaceDE w:val="0"/>
      <w:autoSpaceDN w:val="0"/>
      <w:spacing w:before="120"/>
      <w:ind w:left="1077" w:hanging="357"/>
    </w:pPr>
    <w:rPr>
      <w:szCs w:val="18"/>
    </w:rPr>
  </w:style>
  <w:style w:type="paragraph" w:customStyle="1" w:styleId="para10">
    <w:name w:val="para1"/>
    <w:basedOn w:val="Normal"/>
    <w:rsid w:val="003A3F1C"/>
    <w:pPr>
      <w:spacing w:before="100" w:beforeAutospacing="1" w:after="100" w:afterAutospacing="1"/>
      <w:jc w:val="left"/>
    </w:pPr>
    <w:rPr>
      <w:rFonts w:ascii="Arial Unicode MS" w:eastAsia="Arial Unicode MS" w:hAnsi="Arial Unicode MS" w:cs="Arial Unicode MS"/>
      <w:sz w:val="24"/>
      <w:lang w:val="en-US"/>
    </w:rPr>
  </w:style>
  <w:style w:type="character" w:styleId="FollowedHyperlink">
    <w:name w:val="FollowedHyperlink"/>
    <w:uiPriority w:val="99"/>
    <w:rsid w:val="003A3F1C"/>
    <w:rPr>
      <w:color w:val="800080"/>
      <w:u w:val="single"/>
    </w:rPr>
  </w:style>
  <w:style w:type="character" w:styleId="CommentReference">
    <w:name w:val="annotation reference"/>
    <w:semiHidden/>
    <w:rsid w:val="003A3F1C"/>
    <w:rPr>
      <w:sz w:val="16"/>
    </w:rPr>
  </w:style>
  <w:style w:type="paragraph" w:styleId="CommentText">
    <w:name w:val="annotation text"/>
    <w:basedOn w:val="Normal"/>
    <w:link w:val="CommentTextChar"/>
    <w:semiHidden/>
    <w:rsid w:val="003A3F1C"/>
    <w:rPr>
      <w:sz w:val="20"/>
      <w:szCs w:val="20"/>
      <w:lang w:eastAsia="x-none"/>
    </w:rPr>
  </w:style>
  <w:style w:type="character" w:customStyle="1" w:styleId="CommentTextChar">
    <w:name w:val="Comment Text Char"/>
    <w:link w:val="CommentText"/>
    <w:semiHidden/>
    <w:rsid w:val="009F7E7D"/>
    <w:rPr>
      <w:lang w:val="en-GB"/>
    </w:rPr>
  </w:style>
  <w:style w:type="paragraph" w:customStyle="1" w:styleId="FOOTNOTETEX">
    <w:name w:val="FOOTNOTE TEX"/>
    <w:rsid w:val="003A3F1C"/>
    <w:pPr>
      <w:widowControl w:val="0"/>
      <w:tabs>
        <w:tab w:val="left" w:pos="-720"/>
      </w:tabs>
      <w:suppressAutoHyphens/>
    </w:pPr>
  </w:style>
  <w:style w:type="character" w:styleId="Strong">
    <w:name w:val="Strong"/>
    <w:qFormat/>
    <w:rsid w:val="003A3F1C"/>
    <w:rPr>
      <w:b/>
    </w:rPr>
  </w:style>
  <w:style w:type="paragraph" w:customStyle="1" w:styleId="Paraofficial">
    <w:name w:val="Para official"/>
    <w:basedOn w:val="Normal"/>
    <w:rsid w:val="003A3F1C"/>
    <w:pPr>
      <w:framePr w:hSpace="187" w:vSpace="187" w:wrap="notBeside" w:vAnchor="text" w:hAnchor="text" w:y="1"/>
      <w:numPr>
        <w:numId w:val="9"/>
      </w:numPr>
      <w:spacing w:before="240" w:after="240"/>
      <w:jc w:val="left"/>
    </w:pPr>
    <w:rPr>
      <w:szCs w:val="20"/>
    </w:rPr>
  </w:style>
  <w:style w:type="paragraph" w:styleId="BodyText3">
    <w:name w:val="Body Text 3"/>
    <w:basedOn w:val="Normal"/>
    <w:rsid w:val="003A3F1C"/>
    <w:rPr>
      <w:color w:val="FF0000"/>
    </w:rPr>
  </w:style>
  <w:style w:type="paragraph" w:styleId="NormalWeb">
    <w:name w:val="Normal (Web)"/>
    <w:basedOn w:val="Normal"/>
    <w:rsid w:val="003A3F1C"/>
    <w:pPr>
      <w:spacing w:before="100" w:beforeAutospacing="1" w:after="100" w:afterAutospacing="1"/>
      <w:jc w:val="left"/>
    </w:pPr>
    <w:rPr>
      <w:sz w:val="24"/>
      <w:lang w:val="en-US"/>
    </w:rPr>
  </w:style>
  <w:style w:type="paragraph" w:customStyle="1" w:styleId="Numbering">
    <w:name w:val="Numbering"/>
    <w:basedOn w:val="Normal"/>
    <w:rsid w:val="003A3F1C"/>
    <w:pPr>
      <w:numPr>
        <w:numId w:val="10"/>
      </w:numPr>
    </w:pPr>
    <w:rPr>
      <w:lang w:val="en-US"/>
    </w:rPr>
  </w:style>
  <w:style w:type="paragraph" w:customStyle="1" w:styleId="Para2rev">
    <w:name w:val="Para 2 (rev)"/>
    <w:basedOn w:val="Normal"/>
    <w:rsid w:val="003A3F1C"/>
    <w:pPr>
      <w:tabs>
        <w:tab w:val="num" w:pos="720"/>
      </w:tabs>
      <w:ind w:firstLine="720"/>
    </w:pPr>
  </w:style>
  <w:style w:type="character" w:customStyle="1" w:styleId="CharChar2">
    <w:name w:val="Char Char2"/>
    <w:semiHidden/>
    <w:rsid w:val="003A3F1C"/>
    <w:rPr>
      <w:lang w:val="en-GB" w:eastAsia="en-US"/>
    </w:rPr>
  </w:style>
  <w:style w:type="paragraph" w:styleId="CommentSubject">
    <w:name w:val="annotation subject"/>
    <w:basedOn w:val="CommentText"/>
    <w:next w:val="CommentText"/>
    <w:link w:val="CommentSubjectChar"/>
    <w:uiPriority w:val="99"/>
    <w:semiHidden/>
    <w:rsid w:val="003A3F1C"/>
    <w:rPr>
      <w:b/>
      <w:bCs/>
    </w:rPr>
  </w:style>
  <w:style w:type="character" w:customStyle="1" w:styleId="CommentSubjectChar">
    <w:name w:val="Comment Subject Char"/>
    <w:basedOn w:val="CommentTextChar"/>
    <w:link w:val="CommentSubject"/>
    <w:uiPriority w:val="99"/>
    <w:semiHidden/>
    <w:rsid w:val="00DE347C"/>
    <w:rPr>
      <w:b/>
      <w:bCs/>
      <w:lang w:val="en-GB" w:eastAsia="x-none"/>
    </w:rPr>
  </w:style>
  <w:style w:type="paragraph" w:styleId="ListBullet">
    <w:name w:val="List Bullet"/>
    <w:aliases w:val="UL 1"/>
    <w:basedOn w:val="Normal"/>
    <w:autoRedefine/>
    <w:uiPriority w:val="9"/>
    <w:qFormat/>
    <w:rsid w:val="00C01027"/>
    <w:pPr>
      <w:suppressLineNumbers/>
      <w:suppressAutoHyphens/>
      <w:spacing w:before="120"/>
      <w:ind w:firstLine="709"/>
    </w:pPr>
    <w:rPr>
      <w:szCs w:val="22"/>
      <w:lang w:val="en-US"/>
    </w:rPr>
  </w:style>
  <w:style w:type="paragraph" w:customStyle="1" w:styleId="ColorfulList-Accent11">
    <w:name w:val="Colorful List - Accent 11"/>
    <w:basedOn w:val="Normal"/>
    <w:rsid w:val="00070FAC"/>
    <w:pPr>
      <w:spacing w:after="200"/>
      <w:ind w:left="720"/>
      <w:contextualSpacing/>
      <w:jc w:val="left"/>
    </w:pPr>
    <w:rPr>
      <w:rFonts w:ascii="Calibri" w:hAnsi="Calibri"/>
      <w:szCs w:val="22"/>
      <w:lang w:val="en-CA"/>
    </w:rPr>
  </w:style>
  <w:style w:type="character" w:styleId="Emphasis">
    <w:name w:val="Emphasis"/>
    <w:qFormat/>
    <w:rsid w:val="00C06B8D"/>
    <w:rPr>
      <w:i/>
    </w:rPr>
  </w:style>
  <w:style w:type="character" w:customStyle="1" w:styleId="CharChar3">
    <w:name w:val="Char Char3"/>
    <w:rsid w:val="004B44FA"/>
    <w:rPr>
      <w:rFonts w:ascii="Times New Roman" w:hAnsi="Times New Roman"/>
      <w:b/>
      <w:caps/>
      <w:sz w:val="24"/>
      <w:lang w:val="en-GB"/>
    </w:rPr>
  </w:style>
  <w:style w:type="paragraph" w:styleId="TOC9">
    <w:name w:val="toc 9"/>
    <w:basedOn w:val="Normal"/>
    <w:next w:val="Normal"/>
    <w:autoRedefine/>
    <w:rsid w:val="005F1D07"/>
    <w:pPr>
      <w:spacing w:before="120"/>
      <w:ind w:left="1760"/>
      <w:jc w:val="left"/>
    </w:pPr>
  </w:style>
  <w:style w:type="paragraph" w:customStyle="1" w:styleId="Default">
    <w:name w:val="Default"/>
    <w:rsid w:val="00C627A3"/>
    <w:pPr>
      <w:autoSpaceDE w:val="0"/>
      <w:autoSpaceDN w:val="0"/>
      <w:adjustRightInd w:val="0"/>
    </w:pPr>
    <w:rPr>
      <w:rFonts w:eastAsia="MS Mincho"/>
      <w:color w:val="000000"/>
      <w:sz w:val="24"/>
      <w:szCs w:val="24"/>
      <w:lang w:val="en-CA" w:eastAsia="ja-JP"/>
    </w:rPr>
  </w:style>
  <w:style w:type="character" w:customStyle="1" w:styleId="apple-style-span">
    <w:name w:val="apple-style-span"/>
    <w:rsid w:val="0070309B"/>
  </w:style>
  <w:style w:type="paragraph" w:customStyle="1" w:styleId="ColorfulShading-Accent11">
    <w:name w:val="Colorful Shading - Accent 11"/>
    <w:hidden/>
    <w:uiPriority w:val="99"/>
    <w:semiHidden/>
    <w:rsid w:val="00BE2DBA"/>
    <w:rPr>
      <w:sz w:val="22"/>
      <w:szCs w:val="24"/>
      <w:lang w:val="en-GB"/>
    </w:rPr>
  </w:style>
  <w:style w:type="paragraph" w:styleId="DocumentMap">
    <w:name w:val="Document Map"/>
    <w:basedOn w:val="Normal"/>
    <w:semiHidden/>
    <w:rsid w:val="00464E3B"/>
    <w:pPr>
      <w:shd w:val="clear" w:color="auto" w:fill="000080"/>
    </w:pPr>
    <w:rPr>
      <w:rFonts w:ascii="Tahoma" w:hAnsi="Tahoma" w:cs="Tahoma"/>
      <w:sz w:val="20"/>
      <w:szCs w:val="20"/>
    </w:rPr>
  </w:style>
  <w:style w:type="paragraph" w:customStyle="1" w:styleId="ColorfulList-Accent12">
    <w:name w:val="Colorful List - Accent 12"/>
    <w:basedOn w:val="Normal"/>
    <w:uiPriority w:val="34"/>
    <w:qFormat/>
    <w:rsid w:val="00A916A6"/>
    <w:pPr>
      <w:ind w:left="720"/>
    </w:pPr>
  </w:style>
  <w:style w:type="character" w:customStyle="1" w:styleId="hps">
    <w:name w:val="hps"/>
    <w:rsid w:val="002205A4"/>
  </w:style>
  <w:style w:type="table" w:styleId="TableGrid">
    <w:name w:val="Table Grid"/>
    <w:basedOn w:val="TableNormal"/>
    <w:uiPriority w:val="59"/>
    <w:rsid w:val="0088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1Before0pt">
    <w:name w:val="Style Para1 + Before:  0 pt"/>
    <w:basedOn w:val="Para1"/>
    <w:rsid w:val="00E954F6"/>
    <w:rPr>
      <w:snapToGrid w:val="0"/>
      <w:szCs w:val="20"/>
    </w:rPr>
  </w:style>
  <w:style w:type="paragraph" w:customStyle="1" w:styleId="Para40">
    <w:name w:val="Para4"/>
    <w:basedOn w:val="Para3"/>
    <w:rsid w:val="00CA5B5A"/>
    <w:pPr>
      <w:tabs>
        <w:tab w:val="left" w:pos="2552"/>
        <w:tab w:val="num" w:pos="2880"/>
      </w:tabs>
      <w:ind w:left="2880" w:hanging="360"/>
    </w:pPr>
  </w:style>
  <w:style w:type="paragraph" w:styleId="Revision">
    <w:name w:val="Revision"/>
    <w:hidden/>
    <w:uiPriority w:val="99"/>
    <w:semiHidden/>
    <w:rsid w:val="00253495"/>
    <w:rPr>
      <w:sz w:val="22"/>
      <w:szCs w:val="24"/>
      <w:lang w:val="en-GB"/>
    </w:rPr>
  </w:style>
  <w:style w:type="character" w:customStyle="1" w:styleId="Para1Char1">
    <w:name w:val="Para1 Char1"/>
    <w:rsid w:val="00486D78"/>
    <w:rPr>
      <w:rFonts w:cs="Angsana New"/>
      <w:snapToGrid w:val="0"/>
      <w:sz w:val="22"/>
      <w:szCs w:val="18"/>
      <w:lang w:val="en-GB"/>
    </w:rPr>
  </w:style>
  <w:style w:type="character" w:styleId="PlaceholderText">
    <w:name w:val="Placeholder Text"/>
    <w:basedOn w:val="DefaultParagraphFont"/>
    <w:uiPriority w:val="99"/>
    <w:semiHidden/>
    <w:rsid w:val="001E75CF"/>
    <w:rPr>
      <w:color w:val="808080"/>
    </w:rPr>
  </w:style>
  <w:style w:type="character" w:customStyle="1" w:styleId="UnresolvedMention1">
    <w:name w:val="Unresolved Mention1"/>
    <w:basedOn w:val="DefaultParagraphFont"/>
    <w:uiPriority w:val="99"/>
    <w:semiHidden/>
    <w:unhideWhenUsed/>
    <w:rsid w:val="006025A9"/>
    <w:rPr>
      <w:color w:val="808080"/>
      <w:shd w:val="clear" w:color="auto" w:fill="E6E6E6"/>
    </w:rPr>
  </w:style>
  <w:style w:type="paragraph" w:styleId="ListParagraph">
    <w:name w:val="List Paragraph"/>
    <w:basedOn w:val="Normal"/>
    <w:uiPriority w:val="34"/>
    <w:qFormat/>
    <w:rsid w:val="00B42E86"/>
    <w:pPr>
      <w:ind w:left="720"/>
      <w:contextualSpacing/>
    </w:pPr>
  </w:style>
  <w:style w:type="table" w:customStyle="1" w:styleId="TableGrid1">
    <w:name w:val="Table Grid1"/>
    <w:basedOn w:val="TableNormal"/>
    <w:next w:val="TableGrid"/>
    <w:uiPriority w:val="59"/>
    <w:rsid w:val="00784CC6"/>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21CAB"/>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0B093B"/>
  </w:style>
  <w:style w:type="character" w:customStyle="1" w:styleId="eop">
    <w:name w:val="eop"/>
    <w:rsid w:val="000B093B"/>
  </w:style>
  <w:style w:type="paragraph" w:customStyle="1" w:styleId="Item">
    <w:name w:val="Item"/>
    <w:basedOn w:val="Heading2"/>
    <w:qFormat/>
    <w:rsid w:val="000B093B"/>
    <w:pPr>
      <w:spacing w:before="120"/>
    </w:pPr>
    <w:rPr>
      <w:snapToGrid/>
      <w:lang w:eastAsia="en-US"/>
    </w:rPr>
  </w:style>
  <w:style w:type="character" w:customStyle="1" w:styleId="highlight">
    <w:name w:val="highlight"/>
    <w:basedOn w:val="DefaultParagraphFont"/>
    <w:rsid w:val="00C576FA"/>
  </w:style>
  <w:style w:type="paragraph" w:customStyle="1" w:styleId="gmail-para1">
    <w:name w:val="gmail-para1"/>
    <w:basedOn w:val="Normal"/>
    <w:rsid w:val="00E3787A"/>
    <w:pPr>
      <w:spacing w:before="100" w:beforeAutospacing="1" w:after="100" w:afterAutospacing="1"/>
      <w:jc w:val="left"/>
    </w:pPr>
    <w:rPr>
      <w:rFonts w:ascii="Calibri" w:eastAsiaTheme="minorHAnsi" w:hAnsi="Calibri" w:cs="Calibri"/>
      <w:szCs w:val="22"/>
      <w:lang w:val="en-CA" w:eastAsia="en-CA"/>
    </w:rPr>
  </w:style>
  <w:style w:type="paragraph" w:customStyle="1" w:styleId="recommendationheader">
    <w:name w:val="recommendation header"/>
    <w:basedOn w:val="Heading2"/>
    <w:qFormat/>
    <w:rsid w:val="009F5D7B"/>
    <w:pPr>
      <w:tabs>
        <w:tab w:val="left" w:pos="720"/>
      </w:tabs>
      <w:spacing w:before="120"/>
    </w:pPr>
    <w:rPr>
      <w:rFonts w:eastAsia="Times New Roman"/>
      <w:snapToGrid/>
      <w:lang w:eastAsia="en-US"/>
    </w:rPr>
  </w:style>
  <w:style w:type="character" w:customStyle="1" w:styleId="StyleFootnoteReferencenumberFootnoteReferenceSuperscript-EF">
    <w:name w:val="Style Footnote ReferencenumberFootnote Reference Superscript-E F..."/>
    <w:rsid w:val="009E044D"/>
    <w:rPr>
      <w:kern w:val="22"/>
      <w:sz w:val="18"/>
      <w:u w:val="none"/>
      <w:vertAlign w:val="superscript"/>
    </w:rPr>
  </w:style>
  <w:style w:type="paragraph" w:customStyle="1" w:styleId="heading2notforTOC">
    <w:name w:val="heading 2 not for TOC"/>
    <w:basedOn w:val="Heading3"/>
    <w:rsid w:val="00F01A98"/>
    <w:pPr>
      <w:suppressLineNumbers w:val="0"/>
      <w:tabs>
        <w:tab w:val="left" w:pos="567"/>
      </w:tabs>
      <w:suppressAutoHyphens w:val="0"/>
      <w:kinsoku/>
      <w:overflowPunct/>
      <w:autoSpaceDE/>
      <w:autoSpaceDN/>
      <w:jc w:val="center"/>
    </w:pPr>
    <w:rPr>
      <w:snapToGrid/>
      <w:kern w:val="0"/>
      <w:szCs w:val="24"/>
      <w:lang w:eastAsia="en-US"/>
    </w:rPr>
  </w:style>
  <w:style w:type="paragraph" w:customStyle="1" w:styleId="Heading1report">
    <w:name w:val="Heading 1 report"/>
    <w:basedOn w:val="Heading1"/>
    <w:qFormat/>
    <w:rsid w:val="003A15C6"/>
    <w:pPr>
      <w:numPr>
        <w:numId w:val="53"/>
      </w:numPr>
    </w:pPr>
  </w:style>
  <w:style w:type="paragraph" w:customStyle="1" w:styleId="Heading1-item">
    <w:name w:val="Heading 1 -item"/>
    <w:basedOn w:val="Heading1"/>
    <w:qFormat/>
    <w:rsid w:val="000B078F"/>
  </w:style>
  <w:style w:type="paragraph" w:styleId="TOCHeading">
    <w:name w:val="TOC Heading"/>
    <w:basedOn w:val="Heading1"/>
    <w:next w:val="Normal"/>
    <w:uiPriority w:val="39"/>
    <w:unhideWhenUsed/>
    <w:qFormat/>
    <w:rsid w:val="000B078F"/>
    <w:pPr>
      <w:keepLines/>
      <w:suppressLineNumbers w:val="0"/>
      <w:suppressAutoHyphens w:val="0"/>
      <w:kinsoku/>
      <w:overflowPunct/>
      <w:autoSpaceDE/>
      <w:autoSpaceDN/>
      <w:spacing w:after="0" w:line="259" w:lineRule="auto"/>
      <w:ind w:right="0"/>
      <w:jc w:val="left"/>
      <w:outlineLvl w:val="9"/>
    </w:pPr>
    <w:rPr>
      <w:rFonts w:asciiTheme="majorHAnsi" w:eastAsiaTheme="majorEastAsia" w:hAnsiTheme="majorHAnsi" w:cstheme="majorBidi"/>
      <w:b w:val="0"/>
      <w:bCs w:val="0"/>
      <w:caps w:val="0"/>
      <w:snapToGrid/>
      <w:color w:val="2F5496" w:themeColor="accent1" w:themeShade="BF"/>
      <w:kern w:val="0"/>
      <w:sz w:val="32"/>
      <w:szCs w:val="32"/>
      <w:lang w:val="en-US"/>
    </w:rPr>
  </w:style>
  <w:style w:type="paragraph" w:customStyle="1" w:styleId="meetingname">
    <w:name w:val="meeting name"/>
    <w:basedOn w:val="Normal"/>
    <w:qFormat/>
    <w:rsid w:val="00DE347C"/>
    <w:pPr>
      <w:ind w:left="142" w:right="4218" w:hanging="142"/>
    </w:pPr>
    <w:rPr>
      <w:rFonts w:eastAsia="Times New Roman"/>
      <w:caps/>
      <w:szCs w:val="22"/>
    </w:rPr>
  </w:style>
  <w:style w:type="paragraph" w:styleId="Title">
    <w:name w:val="Title"/>
    <w:basedOn w:val="Normal"/>
    <w:next w:val="Normal"/>
    <w:link w:val="TitleChar"/>
    <w:uiPriority w:val="10"/>
    <w:qFormat/>
    <w:rsid w:val="00DE347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E347C"/>
    <w:rPr>
      <w:rFonts w:asciiTheme="majorHAnsi" w:eastAsiaTheme="majorEastAsia" w:hAnsiTheme="majorHAnsi" w:cstheme="majorBidi"/>
      <w:color w:val="323E4F" w:themeColor="text2" w:themeShade="BF"/>
      <w:spacing w:val="5"/>
      <w:kern w:val="28"/>
      <w:sz w:val="52"/>
      <w:szCs w:val="52"/>
      <w:lang w:val="en-GB"/>
    </w:rPr>
  </w:style>
  <w:style w:type="paragraph" w:styleId="Subtitle">
    <w:name w:val="Subtitle"/>
    <w:basedOn w:val="Normal"/>
    <w:next w:val="Normal"/>
    <w:link w:val="SubtitleChar"/>
    <w:uiPriority w:val="11"/>
    <w:qFormat/>
    <w:rsid w:val="00DE347C"/>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DE347C"/>
    <w:rPr>
      <w:rFonts w:asciiTheme="majorHAnsi" w:eastAsiaTheme="majorEastAsia" w:hAnsiTheme="majorHAnsi" w:cstheme="majorBidi"/>
      <w:i/>
      <w:iCs/>
      <w:color w:val="4472C4" w:themeColor="accent1"/>
      <w:spacing w:val="15"/>
      <w:sz w:val="24"/>
      <w:szCs w:val="24"/>
      <w:lang w:val="en-GB"/>
    </w:rPr>
  </w:style>
  <w:style w:type="paragraph" w:customStyle="1" w:styleId="Para-decision">
    <w:name w:val="Para-decision"/>
    <w:basedOn w:val="Normal"/>
    <w:rsid w:val="00DE347C"/>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rFonts w:eastAsia="Times New Roman"/>
      <w:color w:val="000000"/>
    </w:rPr>
  </w:style>
  <w:style w:type="paragraph" w:customStyle="1" w:styleId="Quotationtextindented">
    <w:name w:val="Quotation text (indented)"/>
    <w:basedOn w:val="Normal"/>
    <w:qFormat/>
    <w:rsid w:val="00DE347C"/>
    <w:pPr>
      <w:spacing w:before="120"/>
      <w:ind w:left="720" w:right="720"/>
    </w:pPr>
    <w:rPr>
      <w:rFonts w:eastAsia="Times New Roman"/>
      <w:bCs/>
    </w:rPr>
  </w:style>
  <w:style w:type="paragraph" w:customStyle="1" w:styleId="recommendationheaderlong">
    <w:name w:val="recommendation header long"/>
    <w:basedOn w:val="Heading2longmultiline"/>
    <w:qFormat/>
    <w:rsid w:val="00DE347C"/>
    <w:pPr>
      <w:suppressLineNumbers w:val="0"/>
      <w:tabs>
        <w:tab w:val="left" w:pos="720"/>
      </w:tabs>
      <w:suppressAutoHyphens w:val="0"/>
      <w:kinsoku/>
      <w:overflowPunct/>
      <w:autoSpaceDE/>
      <w:autoSpaceDN/>
    </w:pPr>
    <w:rPr>
      <w:rFonts w:ascii="Times New Roman" w:eastAsia="Times New Roman" w:hAnsi="Times New Roman" w:cs="Times New Roman"/>
      <w:bCs w:val="0"/>
      <w:snapToGrid/>
      <w:kern w:val="0"/>
      <w:szCs w:val="24"/>
    </w:rPr>
  </w:style>
  <w:style w:type="paragraph" w:customStyle="1" w:styleId="reference">
    <w:name w:val="reference"/>
    <w:basedOn w:val="Heading9"/>
    <w:qFormat/>
    <w:rsid w:val="00DE347C"/>
    <w:rPr>
      <w:rFonts w:eastAsia="Times New Roman"/>
      <w:i w:val="0"/>
      <w:sz w:val="18"/>
      <w:lang w:eastAsia="en-US"/>
    </w:rPr>
  </w:style>
  <w:style w:type="character" w:customStyle="1" w:styleId="StyleFootnoteReferenceNounderline">
    <w:name w:val="Style Footnote Reference + No underline"/>
    <w:rsid w:val="00DE347C"/>
    <w:rPr>
      <w:sz w:val="18"/>
      <w:u w:val="none"/>
      <w:vertAlign w:val="baseline"/>
    </w:rPr>
  </w:style>
  <w:style w:type="paragraph" w:customStyle="1" w:styleId="tabletitle">
    <w:name w:val="table title"/>
    <w:basedOn w:val="Heading2"/>
    <w:qFormat/>
    <w:rsid w:val="00DE347C"/>
    <w:pPr>
      <w:tabs>
        <w:tab w:val="left" w:pos="720"/>
      </w:tabs>
      <w:spacing w:before="120"/>
      <w:jc w:val="left"/>
      <w:outlineLvl w:val="9"/>
    </w:pPr>
    <w:rPr>
      <w:rFonts w:eastAsia="Times New Roman"/>
      <w:i/>
      <w:snapToGrid/>
      <w:lang w:eastAsia="en-US"/>
    </w:rPr>
  </w:style>
  <w:style w:type="paragraph" w:customStyle="1" w:styleId="CBD-Doc-Type">
    <w:name w:val="CBD-Doc-Type"/>
    <w:basedOn w:val="Normal"/>
    <w:rsid w:val="00DE347C"/>
    <w:pPr>
      <w:keepLines/>
      <w:spacing w:before="240"/>
    </w:pPr>
    <w:rPr>
      <w:rFonts w:eastAsia="Times New Roman" w:cs="Angsana New"/>
      <w:b/>
      <w:i/>
      <w:sz w:val="24"/>
    </w:rPr>
  </w:style>
  <w:style w:type="paragraph" w:customStyle="1" w:styleId="CBD-Doc">
    <w:name w:val="CBD-Doc"/>
    <w:basedOn w:val="Normal"/>
    <w:rsid w:val="00DE347C"/>
    <w:pPr>
      <w:keepLines/>
      <w:numPr>
        <w:numId w:val="70"/>
      </w:numPr>
    </w:pPr>
    <w:rPr>
      <w:rFonts w:eastAsia="Times New Roman" w:cs="Angsana New"/>
    </w:rPr>
  </w:style>
  <w:style w:type="paragraph" w:styleId="Caption">
    <w:name w:val="caption"/>
    <w:basedOn w:val="Normal"/>
    <w:next w:val="Normal"/>
    <w:uiPriority w:val="35"/>
    <w:unhideWhenUsed/>
    <w:qFormat/>
    <w:rsid w:val="00DE347C"/>
    <w:pPr>
      <w:keepNext/>
      <w:keepLines/>
      <w:spacing w:after="200"/>
    </w:pPr>
    <w:rPr>
      <w:rFonts w:eastAsia="Times New Roman"/>
      <w:b/>
      <w:iCs/>
      <w:szCs w:val="18"/>
    </w:rPr>
  </w:style>
  <w:style w:type="paragraph" w:styleId="NoSpacing">
    <w:name w:val="No Spacing"/>
    <w:link w:val="NoSpacingChar"/>
    <w:uiPriority w:val="1"/>
    <w:qFormat/>
    <w:rsid w:val="00DE347C"/>
    <w:rPr>
      <w:rFonts w:ascii="Calibri" w:eastAsia="Calibri" w:hAnsi="Calibri"/>
      <w:sz w:val="22"/>
      <w:szCs w:val="22"/>
    </w:rPr>
  </w:style>
  <w:style w:type="character" w:customStyle="1" w:styleId="NoSpacingChar">
    <w:name w:val="No Spacing Char"/>
    <w:basedOn w:val="DefaultParagraphFont"/>
    <w:link w:val="NoSpacing"/>
    <w:uiPriority w:val="1"/>
    <w:rsid w:val="00DE347C"/>
    <w:rPr>
      <w:rFonts w:ascii="Calibri" w:eastAsia="Calibri" w:hAnsi="Calibri"/>
      <w:sz w:val="22"/>
      <w:szCs w:val="22"/>
    </w:rPr>
  </w:style>
  <w:style w:type="paragraph" w:customStyle="1" w:styleId="xl65">
    <w:name w:val="xl65"/>
    <w:basedOn w:val="Normal"/>
    <w:rsid w:val="00DE347C"/>
    <w:pPr>
      <w:spacing w:before="100" w:beforeAutospacing="1" w:after="100" w:afterAutospacing="1"/>
      <w:jc w:val="center"/>
      <w:textAlignment w:val="center"/>
    </w:pPr>
    <w:rPr>
      <w:rFonts w:eastAsia="Times New Roman"/>
      <w:sz w:val="24"/>
      <w:lang w:val="en-CA" w:eastAsia="en-CA"/>
    </w:rPr>
  </w:style>
  <w:style w:type="paragraph" w:customStyle="1" w:styleId="xl66">
    <w:name w:val="xl66"/>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lang w:val="en-CA" w:eastAsia="en-CA"/>
    </w:rPr>
  </w:style>
  <w:style w:type="paragraph" w:customStyle="1" w:styleId="xl67">
    <w:name w:val="xl67"/>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4"/>
      <w:lang w:val="en-CA" w:eastAsia="en-CA"/>
    </w:rPr>
  </w:style>
  <w:style w:type="paragraph" w:customStyle="1" w:styleId="xl68">
    <w:name w:val="xl68"/>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4"/>
      <w:lang w:val="en-CA" w:eastAsia="en-CA"/>
    </w:rPr>
  </w:style>
  <w:style w:type="paragraph" w:customStyle="1" w:styleId="xl69">
    <w:name w:val="xl69"/>
    <w:basedOn w:val="Normal"/>
    <w:rsid w:val="00DE347C"/>
    <w:pPr>
      <w:spacing w:before="100" w:beforeAutospacing="1" w:after="100" w:afterAutospacing="1"/>
      <w:jc w:val="left"/>
      <w:textAlignment w:val="center"/>
    </w:pPr>
    <w:rPr>
      <w:rFonts w:eastAsia="Times New Roman"/>
      <w:sz w:val="24"/>
      <w:lang w:val="en-CA" w:eastAsia="en-CA"/>
    </w:rPr>
  </w:style>
  <w:style w:type="paragraph" w:customStyle="1" w:styleId="xl70">
    <w:name w:val="xl70"/>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lang w:val="en-CA" w:eastAsia="en-CA"/>
    </w:rPr>
  </w:style>
  <w:style w:type="paragraph" w:customStyle="1" w:styleId="xl71">
    <w:name w:val="xl71"/>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lang w:val="en-CA" w:eastAsia="en-CA"/>
    </w:rPr>
  </w:style>
  <w:style w:type="paragraph" w:customStyle="1" w:styleId="xl72">
    <w:name w:val="xl72"/>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lang w:val="en-CA" w:eastAsia="en-CA"/>
    </w:rPr>
  </w:style>
  <w:style w:type="paragraph" w:customStyle="1" w:styleId="xl73">
    <w:name w:val="xl73"/>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lang w:val="en-CA" w:eastAsia="en-CA"/>
    </w:rPr>
  </w:style>
  <w:style w:type="paragraph" w:customStyle="1" w:styleId="xl74">
    <w:name w:val="xl74"/>
    <w:basedOn w:val="Normal"/>
    <w:rsid w:val="00DE347C"/>
    <w:pPr>
      <w:spacing w:before="100" w:beforeAutospacing="1" w:after="100" w:afterAutospacing="1"/>
      <w:jc w:val="right"/>
      <w:textAlignment w:val="center"/>
    </w:pPr>
    <w:rPr>
      <w:rFonts w:eastAsia="Times New Roman"/>
      <w:sz w:val="24"/>
      <w:lang w:val="en-CA" w:eastAsia="en-CA"/>
    </w:rPr>
  </w:style>
  <w:style w:type="paragraph" w:customStyle="1" w:styleId="xl75">
    <w:name w:val="xl75"/>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lang w:val="en-CA" w:eastAsia="en-CA"/>
    </w:rPr>
  </w:style>
  <w:style w:type="paragraph" w:customStyle="1" w:styleId="xl76">
    <w:name w:val="xl76"/>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lang w:val="en-CA" w:eastAsia="en-CA"/>
    </w:rPr>
  </w:style>
  <w:style w:type="paragraph" w:customStyle="1" w:styleId="xl77">
    <w:name w:val="xl77"/>
    <w:basedOn w:val="Normal"/>
    <w:rsid w:val="00DE34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lang w:val="en-CA" w:eastAsia="en-CA"/>
    </w:rPr>
  </w:style>
  <w:style w:type="paragraph" w:customStyle="1" w:styleId="xl78">
    <w:name w:val="xl78"/>
    <w:basedOn w:val="Normal"/>
    <w:rsid w:val="00DE347C"/>
    <w:pPr>
      <w:spacing w:before="100" w:beforeAutospacing="1" w:after="100" w:afterAutospacing="1"/>
      <w:jc w:val="right"/>
      <w:textAlignment w:val="center"/>
    </w:pPr>
    <w:rPr>
      <w:rFonts w:eastAsia="Times New Roman"/>
      <w:sz w:val="24"/>
      <w:lang w:val="en-CA" w:eastAsia="en-CA"/>
    </w:rPr>
  </w:style>
  <w:style w:type="table" w:customStyle="1" w:styleId="TableGrid3">
    <w:name w:val="Table Grid3"/>
    <w:basedOn w:val="TableNormal"/>
    <w:next w:val="TableGrid"/>
    <w:uiPriority w:val="59"/>
    <w:rsid w:val="005111BD"/>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DefaultParagraphFont"/>
    <w:rsid w:val="00341A72"/>
  </w:style>
  <w:style w:type="character" w:styleId="UnresolvedMention">
    <w:name w:val="Unresolved Mention"/>
    <w:basedOn w:val="DefaultParagraphFont"/>
    <w:uiPriority w:val="99"/>
    <w:semiHidden/>
    <w:unhideWhenUsed/>
    <w:rsid w:val="00BF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81540">
      <w:bodyDiv w:val="1"/>
      <w:marLeft w:val="0"/>
      <w:marRight w:val="0"/>
      <w:marTop w:val="0"/>
      <w:marBottom w:val="0"/>
      <w:divBdr>
        <w:top w:val="none" w:sz="0" w:space="0" w:color="auto"/>
        <w:left w:val="none" w:sz="0" w:space="0" w:color="auto"/>
        <w:bottom w:val="none" w:sz="0" w:space="0" w:color="auto"/>
        <w:right w:val="none" w:sz="0" w:space="0" w:color="auto"/>
      </w:divBdr>
    </w:div>
    <w:div w:id="167063338">
      <w:bodyDiv w:val="1"/>
      <w:marLeft w:val="0"/>
      <w:marRight w:val="0"/>
      <w:marTop w:val="0"/>
      <w:marBottom w:val="0"/>
      <w:divBdr>
        <w:top w:val="none" w:sz="0" w:space="0" w:color="auto"/>
        <w:left w:val="none" w:sz="0" w:space="0" w:color="auto"/>
        <w:bottom w:val="none" w:sz="0" w:space="0" w:color="auto"/>
        <w:right w:val="none" w:sz="0" w:space="0" w:color="auto"/>
      </w:divBdr>
    </w:div>
    <w:div w:id="324479846">
      <w:bodyDiv w:val="1"/>
      <w:marLeft w:val="0"/>
      <w:marRight w:val="0"/>
      <w:marTop w:val="0"/>
      <w:marBottom w:val="0"/>
      <w:divBdr>
        <w:top w:val="none" w:sz="0" w:space="0" w:color="auto"/>
        <w:left w:val="none" w:sz="0" w:space="0" w:color="auto"/>
        <w:bottom w:val="none" w:sz="0" w:space="0" w:color="auto"/>
        <w:right w:val="none" w:sz="0" w:space="0" w:color="auto"/>
      </w:divBdr>
    </w:div>
    <w:div w:id="347876164">
      <w:bodyDiv w:val="1"/>
      <w:marLeft w:val="0"/>
      <w:marRight w:val="0"/>
      <w:marTop w:val="0"/>
      <w:marBottom w:val="0"/>
      <w:divBdr>
        <w:top w:val="none" w:sz="0" w:space="0" w:color="auto"/>
        <w:left w:val="none" w:sz="0" w:space="0" w:color="auto"/>
        <w:bottom w:val="none" w:sz="0" w:space="0" w:color="auto"/>
        <w:right w:val="none" w:sz="0" w:space="0" w:color="auto"/>
      </w:divBdr>
    </w:div>
    <w:div w:id="436995189">
      <w:bodyDiv w:val="1"/>
      <w:marLeft w:val="0"/>
      <w:marRight w:val="0"/>
      <w:marTop w:val="0"/>
      <w:marBottom w:val="0"/>
      <w:divBdr>
        <w:top w:val="none" w:sz="0" w:space="0" w:color="auto"/>
        <w:left w:val="none" w:sz="0" w:space="0" w:color="auto"/>
        <w:bottom w:val="none" w:sz="0" w:space="0" w:color="auto"/>
        <w:right w:val="none" w:sz="0" w:space="0" w:color="auto"/>
      </w:divBdr>
    </w:div>
    <w:div w:id="440145464">
      <w:bodyDiv w:val="1"/>
      <w:marLeft w:val="0"/>
      <w:marRight w:val="0"/>
      <w:marTop w:val="0"/>
      <w:marBottom w:val="0"/>
      <w:divBdr>
        <w:top w:val="none" w:sz="0" w:space="0" w:color="auto"/>
        <w:left w:val="none" w:sz="0" w:space="0" w:color="auto"/>
        <w:bottom w:val="none" w:sz="0" w:space="0" w:color="auto"/>
        <w:right w:val="none" w:sz="0" w:space="0" w:color="auto"/>
      </w:divBdr>
      <w:divsChild>
        <w:div w:id="979191531">
          <w:marLeft w:val="0"/>
          <w:marRight w:val="0"/>
          <w:marTop w:val="0"/>
          <w:marBottom w:val="0"/>
          <w:divBdr>
            <w:top w:val="none" w:sz="0" w:space="0" w:color="auto"/>
            <w:left w:val="none" w:sz="0" w:space="0" w:color="auto"/>
            <w:bottom w:val="none" w:sz="0" w:space="0" w:color="auto"/>
            <w:right w:val="none" w:sz="0" w:space="0" w:color="auto"/>
          </w:divBdr>
        </w:div>
        <w:div w:id="1101686751">
          <w:marLeft w:val="0"/>
          <w:marRight w:val="0"/>
          <w:marTop w:val="0"/>
          <w:marBottom w:val="0"/>
          <w:divBdr>
            <w:top w:val="none" w:sz="0" w:space="0" w:color="auto"/>
            <w:left w:val="none" w:sz="0" w:space="0" w:color="auto"/>
            <w:bottom w:val="none" w:sz="0" w:space="0" w:color="auto"/>
            <w:right w:val="none" w:sz="0" w:space="0" w:color="auto"/>
          </w:divBdr>
        </w:div>
        <w:div w:id="1857578198">
          <w:marLeft w:val="0"/>
          <w:marRight w:val="0"/>
          <w:marTop w:val="0"/>
          <w:marBottom w:val="0"/>
          <w:divBdr>
            <w:top w:val="none" w:sz="0" w:space="0" w:color="auto"/>
            <w:left w:val="none" w:sz="0" w:space="0" w:color="auto"/>
            <w:bottom w:val="none" w:sz="0" w:space="0" w:color="auto"/>
            <w:right w:val="none" w:sz="0" w:space="0" w:color="auto"/>
          </w:divBdr>
        </w:div>
      </w:divsChild>
    </w:div>
    <w:div w:id="459613672">
      <w:bodyDiv w:val="1"/>
      <w:marLeft w:val="0"/>
      <w:marRight w:val="0"/>
      <w:marTop w:val="0"/>
      <w:marBottom w:val="0"/>
      <w:divBdr>
        <w:top w:val="none" w:sz="0" w:space="0" w:color="auto"/>
        <w:left w:val="none" w:sz="0" w:space="0" w:color="auto"/>
        <w:bottom w:val="none" w:sz="0" w:space="0" w:color="auto"/>
        <w:right w:val="none" w:sz="0" w:space="0" w:color="auto"/>
      </w:divBdr>
    </w:div>
    <w:div w:id="526678902">
      <w:bodyDiv w:val="1"/>
      <w:marLeft w:val="0"/>
      <w:marRight w:val="0"/>
      <w:marTop w:val="0"/>
      <w:marBottom w:val="0"/>
      <w:divBdr>
        <w:top w:val="none" w:sz="0" w:space="0" w:color="auto"/>
        <w:left w:val="none" w:sz="0" w:space="0" w:color="auto"/>
        <w:bottom w:val="none" w:sz="0" w:space="0" w:color="auto"/>
        <w:right w:val="none" w:sz="0" w:space="0" w:color="auto"/>
      </w:divBdr>
    </w:div>
    <w:div w:id="555774136">
      <w:bodyDiv w:val="1"/>
      <w:marLeft w:val="0"/>
      <w:marRight w:val="0"/>
      <w:marTop w:val="0"/>
      <w:marBottom w:val="0"/>
      <w:divBdr>
        <w:top w:val="none" w:sz="0" w:space="0" w:color="auto"/>
        <w:left w:val="none" w:sz="0" w:space="0" w:color="auto"/>
        <w:bottom w:val="none" w:sz="0" w:space="0" w:color="auto"/>
        <w:right w:val="none" w:sz="0" w:space="0" w:color="auto"/>
      </w:divBdr>
    </w:div>
    <w:div w:id="707490196">
      <w:bodyDiv w:val="1"/>
      <w:marLeft w:val="0"/>
      <w:marRight w:val="0"/>
      <w:marTop w:val="0"/>
      <w:marBottom w:val="0"/>
      <w:divBdr>
        <w:top w:val="none" w:sz="0" w:space="0" w:color="auto"/>
        <w:left w:val="none" w:sz="0" w:space="0" w:color="auto"/>
        <w:bottom w:val="none" w:sz="0" w:space="0" w:color="auto"/>
        <w:right w:val="none" w:sz="0" w:space="0" w:color="auto"/>
      </w:divBdr>
      <w:divsChild>
        <w:div w:id="240334809">
          <w:marLeft w:val="0"/>
          <w:marRight w:val="0"/>
          <w:marTop w:val="0"/>
          <w:marBottom w:val="0"/>
          <w:divBdr>
            <w:top w:val="none" w:sz="0" w:space="0" w:color="auto"/>
            <w:left w:val="none" w:sz="0" w:space="0" w:color="auto"/>
            <w:bottom w:val="none" w:sz="0" w:space="0" w:color="auto"/>
            <w:right w:val="none" w:sz="0" w:space="0" w:color="auto"/>
          </w:divBdr>
        </w:div>
        <w:div w:id="413623054">
          <w:marLeft w:val="0"/>
          <w:marRight w:val="0"/>
          <w:marTop w:val="0"/>
          <w:marBottom w:val="0"/>
          <w:divBdr>
            <w:top w:val="none" w:sz="0" w:space="0" w:color="auto"/>
            <w:left w:val="none" w:sz="0" w:space="0" w:color="auto"/>
            <w:bottom w:val="none" w:sz="0" w:space="0" w:color="auto"/>
            <w:right w:val="none" w:sz="0" w:space="0" w:color="auto"/>
          </w:divBdr>
        </w:div>
        <w:div w:id="714810893">
          <w:marLeft w:val="0"/>
          <w:marRight w:val="0"/>
          <w:marTop w:val="0"/>
          <w:marBottom w:val="0"/>
          <w:divBdr>
            <w:top w:val="none" w:sz="0" w:space="0" w:color="auto"/>
            <w:left w:val="none" w:sz="0" w:space="0" w:color="auto"/>
            <w:bottom w:val="none" w:sz="0" w:space="0" w:color="auto"/>
            <w:right w:val="none" w:sz="0" w:space="0" w:color="auto"/>
          </w:divBdr>
        </w:div>
        <w:div w:id="951325657">
          <w:marLeft w:val="0"/>
          <w:marRight w:val="0"/>
          <w:marTop w:val="0"/>
          <w:marBottom w:val="0"/>
          <w:divBdr>
            <w:top w:val="none" w:sz="0" w:space="0" w:color="auto"/>
            <w:left w:val="none" w:sz="0" w:space="0" w:color="auto"/>
            <w:bottom w:val="none" w:sz="0" w:space="0" w:color="auto"/>
            <w:right w:val="none" w:sz="0" w:space="0" w:color="auto"/>
          </w:divBdr>
        </w:div>
        <w:div w:id="1141071192">
          <w:marLeft w:val="0"/>
          <w:marRight w:val="0"/>
          <w:marTop w:val="0"/>
          <w:marBottom w:val="0"/>
          <w:divBdr>
            <w:top w:val="none" w:sz="0" w:space="0" w:color="auto"/>
            <w:left w:val="none" w:sz="0" w:space="0" w:color="auto"/>
            <w:bottom w:val="none" w:sz="0" w:space="0" w:color="auto"/>
            <w:right w:val="none" w:sz="0" w:space="0" w:color="auto"/>
          </w:divBdr>
        </w:div>
        <w:div w:id="1338387509">
          <w:marLeft w:val="0"/>
          <w:marRight w:val="0"/>
          <w:marTop w:val="0"/>
          <w:marBottom w:val="0"/>
          <w:divBdr>
            <w:top w:val="none" w:sz="0" w:space="0" w:color="auto"/>
            <w:left w:val="none" w:sz="0" w:space="0" w:color="auto"/>
            <w:bottom w:val="none" w:sz="0" w:space="0" w:color="auto"/>
            <w:right w:val="none" w:sz="0" w:space="0" w:color="auto"/>
          </w:divBdr>
        </w:div>
        <w:div w:id="1875383911">
          <w:marLeft w:val="0"/>
          <w:marRight w:val="0"/>
          <w:marTop w:val="0"/>
          <w:marBottom w:val="0"/>
          <w:divBdr>
            <w:top w:val="none" w:sz="0" w:space="0" w:color="auto"/>
            <w:left w:val="none" w:sz="0" w:space="0" w:color="auto"/>
            <w:bottom w:val="none" w:sz="0" w:space="0" w:color="auto"/>
            <w:right w:val="none" w:sz="0" w:space="0" w:color="auto"/>
          </w:divBdr>
        </w:div>
        <w:div w:id="2100175031">
          <w:marLeft w:val="0"/>
          <w:marRight w:val="0"/>
          <w:marTop w:val="0"/>
          <w:marBottom w:val="0"/>
          <w:divBdr>
            <w:top w:val="none" w:sz="0" w:space="0" w:color="auto"/>
            <w:left w:val="none" w:sz="0" w:space="0" w:color="auto"/>
            <w:bottom w:val="none" w:sz="0" w:space="0" w:color="auto"/>
            <w:right w:val="none" w:sz="0" w:space="0" w:color="auto"/>
          </w:divBdr>
        </w:div>
        <w:div w:id="2138645188">
          <w:marLeft w:val="0"/>
          <w:marRight w:val="0"/>
          <w:marTop w:val="0"/>
          <w:marBottom w:val="0"/>
          <w:divBdr>
            <w:top w:val="none" w:sz="0" w:space="0" w:color="auto"/>
            <w:left w:val="none" w:sz="0" w:space="0" w:color="auto"/>
            <w:bottom w:val="none" w:sz="0" w:space="0" w:color="auto"/>
            <w:right w:val="none" w:sz="0" w:space="0" w:color="auto"/>
          </w:divBdr>
        </w:div>
      </w:divsChild>
    </w:div>
    <w:div w:id="746272118">
      <w:bodyDiv w:val="1"/>
      <w:marLeft w:val="0"/>
      <w:marRight w:val="0"/>
      <w:marTop w:val="0"/>
      <w:marBottom w:val="0"/>
      <w:divBdr>
        <w:top w:val="none" w:sz="0" w:space="0" w:color="auto"/>
        <w:left w:val="none" w:sz="0" w:space="0" w:color="auto"/>
        <w:bottom w:val="none" w:sz="0" w:space="0" w:color="auto"/>
        <w:right w:val="none" w:sz="0" w:space="0" w:color="auto"/>
      </w:divBdr>
    </w:div>
    <w:div w:id="908265621">
      <w:bodyDiv w:val="1"/>
      <w:marLeft w:val="0"/>
      <w:marRight w:val="0"/>
      <w:marTop w:val="0"/>
      <w:marBottom w:val="0"/>
      <w:divBdr>
        <w:top w:val="none" w:sz="0" w:space="0" w:color="auto"/>
        <w:left w:val="none" w:sz="0" w:space="0" w:color="auto"/>
        <w:bottom w:val="none" w:sz="0" w:space="0" w:color="auto"/>
        <w:right w:val="none" w:sz="0" w:space="0" w:color="auto"/>
      </w:divBdr>
    </w:div>
    <w:div w:id="923993222">
      <w:bodyDiv w:val="1"/>
      <w:marLeft w:val="0"/>
      <w:marRight w:val="0"/>
      <w:marTop w:val="0"/>
      <w:marBottom w:val="0"/>
      <w:divBdr>
        <w:top w:val="none" w:sz="0" w:space="0" w:color="auto"/>
        <w:left w:val="none" w:sz="0" w:space="0" w:color="auto"/>
        <w:bottom w:val="none" w:sz="0" w:space="0" w:color="auto"/>
        <w:right w:val="none" w:sz="0" w:space="0" w:color="auto"/>
      </w:divBdr>
    </w:div>
    <w:div w:id="1013872024">
      <w:bodyDiv w:val="1"/>
      <w:marLeft w:val="0"/>
      <w:marRight w:val="0"/>
      <w:marTop w:val="0"/>
      <w:marBottom w:val="0"/>
      <w:divBdr>
        <w:top w:val="none" w:sz="0" w:space="0" w:color="auto"/>
        <w:left w:val="none" w:sz="0" w:space="0" w:color="auto"/>
        <w:bottom w:val="none" w:sz="0" w:space="0" w:color="auto"/>
        <w:right w:val="none" w:sz="0" w:space="0" w:color="auto"/>
      </w:divBdr>
    </w:div>
    <w:div w:id="1039671259">
      <w:bodyDiv w:val="1"/>
      <w:marLeft w:val="0"/>
      <w:marRight w:val="0"/>
      <w:marTop w:val="0"/>
      <w:marBottom w:val="0"/>
      <w:divBdr>
        <w:top w:val="none" w:sz="0" w:space="0" w:color="auto"/>
        <w:left w:val="none" w:sz="0" w:space="0" w:color="auto"/>
        <w:bottom w:val="none" w:sz="0" w:space="0" w:color="auto"/>
        <w:right w:val="none" w:sz="0" w:space="0" w:color="auto"/>
      </w:divBdr>
    </w:div>
    <w:div w:id="1062556158">
      <w:bodyDiv w:val="1"/>
      <w:marLeft w:val="0"/>
      <w:marRight w:val="0"/>
      <w:marTop w:val="0"/>
      <w:marBottom w:val="0"/>
      <w:divBdr>
        <w:top w:val="none" w:sz="0" w:space="0" w:color="auto"/>
        <w:left w:val="none" w:sz="0" w:space="0" w:color="auto"/>
        <w:bottom w:val="none" w:sz="0" w:space="0" w:color="auto"/>
        <w:right w:val="none" w:sz="0" w:space="0" w:color="auto"/>
      </w:divBdr>
      <w:divsChild>
        <w:div w:id="309020659">
          <w:marLeft w:val="0"/>
          <w:marRight w:val="0"/>
          <w:marTop w:val="0"/>
          <w:marBottom w:val="0"/>
          <w:divBdr>
            <w:top w:val="none" w:sz="0" w:space="0" w:color="auto"/>
            <w:left w:val="none" w:sz="0" w:space="0" w:color="auto"/>
            <w:bottom w:val="none" w:sz="0" w:space="0" w:color="auto"/>
            <w:right w:val="none" w:sz="0" w:space="0" w:color="auto"/>
          </w:divBdr>
        </w:div>
        <w:div w:id="1231386503">
          <w:marLeft w:val="0"/>
          <w:marRight w:val="0"/>
          <w:marTop w:val="0"/>
          <w:marBottom w:val="0"/>
          <w:divBdr>
            <w:top w:val="none" w:sz="0" w:space="0" w:color="auto"/>
            <w:left w:val="none" w:sz="0" w:space="0" w:color="auto"/>
            <w:bottom w:val="none" w:sz="0" w:space="0" w:color="auto"/>
            <w:right w:val="none" w:sz="0" w:space="0" w:color="auto"/>
          </w:divBdr>
        </w:div>
        <w:div w:id="1640457391">
          <w:marLeft w:val="0"/>
          <w:marRight w:val="0"/>
          <w:marTop w:val="0"/>
          <w:marBottom w:val="0"/>
          <w:divBdr>
            <w:top w:val="none" w:sz="0" w:space="0" w:color="auto"/>
            <w:left w:val="none" w:sz="0" w:space="0" w:color="auto"/>
            <w:bottom w:val="none" w:sz="0" w:space="0" w:color="auto"/>
            <w:right w:val="none" w:sz="0" w:space="0" w:color="auto"/>
          </w:divBdr>
        </w:div>
      </w:divsChild>
    </w:div>
    <w:div w:id="1089350145">
      <w:bodyDiv w:val="1"/>
      <w:marLeft w:val="0"/>
      <w:marRight w:val="0"/>
      <w:marTop w:val="0"/>
      <w:marBottom w:val="0"/>
      <w:divBdr>
        <w:top w:val="none" w:sz="0" w:space="0" w:color="auto"/>
        <w:left w:val="none" w:sz="0" w:space="0" w:color="auto"/>
        <w:bottom w:val="none" w:sz="0" w:space="0" w:color="auto"/>
        <w:right w:val="none" w:sz="0" w:space="0" w:color="auto"/>
      </w:divBdr>
      <w:divsChild>
        <w:div w:id="46228549">
          <w:marLeft w:val="0"/>
          <w:marRight w:val="0"/>
          <w:marTop w:val="0"/>
          <w:marBottom w:val="0"/>
          <w:divBdr>
            <w:top w:val="none" w:sz="0" w:space="0" w:color="auto"/>
            <w:left w:val="none" w:sz="0" w:space="0" w:color="auto"/>
            <w:bottom w:val="none" w:sz="0" w:space="0" w:color="auto"/>
            <w:right w:val="none" w:sz="0" w:space="0" w:color="auto"/>
          </w:divBdr>
        </w:div>
        <w:div w:id="198126742">
          <w:marLeft w:val="0"/>
          <w:marRight w:val="0"/>
          <w:marTop w:val="0"/>
          <w:marBottom w:val="0"/>
          <w:divBdr>
            <w:top w:val="none" w:sz="0" w:space="0" w:color="auto"/>
            <w:left w:val="none" w:sz="0" w:space="0" w:color="auto"/>
            <w:bottom w:val="none" w:sz="0" w:space="0" w:color="auto"/>
            <w:right w:val="none" w:sz="0" w:space="0" w:color="auto"/>
          </w:divBdr>
        </w:div>
        <w:div w:id="505243922">
          <w:marLeft w:val="0"/>
          <w:marRight w:val="0"/>
          <w:marTop w:val="0"/>
          <w:marBottom w:val="0"/>
          <w:divBdr>
            <w:top w:val="none" w:sz="0" w:space="0" w:color="auto"/>
            <w:left w:val="none" w:sz="0" w:space="0" w:color="auto"/>
            <w:bottom w:val="none" w:sz="0" w:space="0" w:color="auto"/>
            <w:right w:val="none" w:sz="0" w:space="0" w:color="auto"/>
          </w:divBdr>
        </w:div>
        <w:div w:id="973408958">
          <w:marLeft w:val="0"/>
          <w:marRight w:val="0"/>
          <w:marTop w:val="0"/>
          <w:marBottom w:val="0"/>
          <w:divBdr>
            <w:top w:val="none" w:sz="0" w:space="0" w:color="auto"/>
            <w:left w:val="none" w:sz="0" w:space="0" w:color="auto"/>
            <w:bottom w:val="none" w:sz="0" w:space="0" w:color="auto"/>
            <w:right w:val="none" w:sz="0" w:space="0" w:color="auto"/>
          </w:divBdr>
        </w:div>
        <w:div w:id="1030492431">
          <w:marLeft w:val="0"/>
          <w:marRight w:val="0"/>
          <w:marTop w:val="0"/>
          <w:marBottom w:val="0"/>
          <w:divBdr>
            <w:top w:val="none" w:sz="0" w:space="0" w:color="auto"/>
            <w:left w:val="none" w:sz="0" w:space="0" w:color="auto"/>
            <w:bottom w:val="none" w:sz="0" w:space="0" w:color="auto"/>
            <w:right w:val="none" w:sz="0" w:space="0" w:color="auto"/>
          </w:divBdr>
        </w:div>
        <w:div w:id="1295332244">
          <w:marLeft w:val="0"/>
          <w:marRight w:val="0"/>
          <w:marTop w:val="0"/>
          <w:marBottom w:val="0"/>
          <w:divBdr>
            <w:top w:val="none" w:sz="0" w:space="0" w:color="auto"/>
            <w:left w:val="none" w:sz="0" w:space="0" w:color="auto"/>
            <w:bottom w:val="none" w:sz="0" w:space="0" w:color="auto"/>
            <w:right w:val="none" w:sz="0" w:space="0" w:color="auto"/>
          </w:divBdr>
        </w:div>
        <w:div w:id="1371611061">
          <w:marLeft w:val="0"/>
          <w:marRight w:val="0"/>
          <w:marTop w:val="0"/>
          <w:marBottom w:val="0"/>
          <w:divBdr>
            <w:top w:val="none" w:sz="0" w:space="0" w:color="auto"/>
            <w:left w:val="none" w:sz="0" w:space="0" w:color="auto"/>
            <w:bottom w:val="none" w:sz="0" w:space="0" w:color="auto"/>
            <w:right w:val="none" w:sz="0" w:space="0" w:color="auto"/>
          </w:divBdr>
        </w:div>
        <w:div w:id="2033144125">
          <w:marLeft w:val="0"/>
          <w:marRight w:val="0"/>
          <w:marTop w:val="0"/>
          <w:marBottom w:val="0"/>
          <w:divBdr>
            <w:top w:val="none" w:sz="0" w:space="0" w:color="auto"/>
            <w:left w:val="none" w:sz="0" w:space="0" w:color="auto"/>
            <w:bottom w:val="none" w:sz="0" w:space="0" w:color="auto"/>
            <w:right w:val="none" w:sz="0" w:space="0" w:color="auto"/>
          </w:divBdr>
        </w:div>
        <w:div w:id="2068841157">
          <w:marLeft w:val="0"/>
          <w:marRight w:val="0"/>
          <w:marTop w:val="0"/>
          <w:marBottom w:val="0"/>
          <w:divBdr>
            <w:top w:val="none" w:sz="0" w:space="0" w:color="auto"/>
            <w:left w:val="none" w:sz="0" w:space="0" w:color="auto"/>
            <w:bottom w:val="none" w:sz="0" w:space="0" w:color="auto"/>
            <w:right w:val="none" w:sz="0" w:space="0" w:color="auto"/>
          </w:divBdr>
        </w:div>
      </w:divsChild>
    </w:div>
    <w:div w:id="1122072251">
      <w:bodyDiv w:val="1"/>
      <w:marLeft w:val="0"/>
      <w:marRight w:val="0"/>
      <w:marTop w:val="0"/>
      <w:marBottom w:val="0"/>
      <w:divBdr>
        <w:top w:val="none" w:sz="0" w:space="0" w:color="auto"/>
        <w:left w:val="none" w:sz="0" w:space="0" w:color="auto"/>
        <w:bottom w:val="none" w:sz="0" w:space="0" w:color="auto"/>
        <w:right w:val="none" w:sz="0" w:space="0" w:color="auto"/>
      </w:divBdr>
    </w:div>
    <w:div w:id="1445420427">
      <w:bodyDiv w:val="1"/>
      <w:marLeft w:val="0"/>
      <w:marRight w:val="0"/>
      <w:marTop w:val="0"/>
      <w:marBottom w:val="0"/>
      <w:divBdr>
        <w:top w:val="none" w:sz="0" w:space="0" w:color="auto"/>
        <w:left w:val="none" w:sz="0" w:space="0" w:color="auto"/>
        <w:bottom w:val="none" w:sz="0" w:space="0" w:color="auto"/>
        <w:right w:val="none" w:sz="0" w:space="0" w:color="auto"/>
      </w:divBdr>
      <w:divsChild>
        <w:div w:id="39667130">
          <w:marLeft w:val="0"/>
          <w:marRight w:val="0"/>
          <w:marTop w:val="0"/>
          <w:marBottom w:val="0"/>
          <w:divBdr>
            <w:top w:val="none" w:sz="0" w:space="0" w:color="auto"/>
            <w:left w:val="none" w:sz="0" w:space="0" w:color="auto"/>
            <w:bottom w:val="none" w:sz="0" w:space="0" w:color="auto"/>
            <w:right w:val="none" w:sz="0" w:space="0" w:color="auto"/>
          </w:divBdr>
        </w:div>
        <w:div w:id="100148709">
          <w:marLeft w:val="0"/>
          <w:marRight w:val="0"/>
          <w:marTop w:val="0"/>
          <w:marBottom w:val="0"/>
          <w:divBdr>
            <w:top w:val="none" w:sz="0" w:space="0" w:color="auto"/>
            <w:left w:val="none" w:sz="0" w:space="0" w:color="auto"/>
            <w:bottom w:val="none" w:sz="0" w:space="0" w:color="auto"/>
            <w:right w:val="none" w:sz="0" w:space="0" w:color="auto"/>
          </w:divBdr>
        </w:div>
        <w:div w:id="106392450">
          <w:marLeft w:val="0"/>
          <w:marRight w:val="0"/>
          <w:marTop w:val="0"/>
          <w:marBottom w:val="0"/>
          <w:divBdr>
            <w:top w:val="none" w:sz="0" w:space="0" w:color="auto"/>
            <w:left w:val="none" w:sz="0" w:space="0" w:color="auto"/>
            <w:bottom w:val="none" w:sz="0" w:space="0" w:color="auto"/>
            <w:right w:val="none" w:sz="0" w:space="0" w:color="auto"/>
          </w:divBdr>
        </w:div>
        <w:div w:id="253242690">
          <w:marLeft w:val="0"/>
          <w:marRight w:val="0"/>
          <w:marTop w:val="0"/>
          <w:marBottom w:val="0"/>
          <w:divBdr>
            <w:top w:val="none" w:sz="0" w:space="0" w:color="auto"/>
            <w:left w:val="none" w:sz="0" w:space="0" w:color="auto"/>
            <w:bottom w:val="none" w:sz="0" w:space="0" w:color="auto"/>
            <w:right w:val="none" w:sz="0" w:space="0" w:color="auto"/>
          </w:divBdr>
        </w:div>
        <w:div w:id="435096842">
          <w:marLeft w:val="0"/>
          <w:marRight w:val="0"/>
          <w:marTop w:val="0"/>
          <w:marBottom w:val="0"/>
          <w:divBdr>
            <w:top w:val="none" w:sz="0" w:space="0" w:color="auto"/>
            <w:left w:val="none" w:sz="0" w:space="0" w:color="auto"/>
            <w:bottom w:val="none" w:sz="0" w:space="0" w:color="auto"/>
            <w:right w:val="none" w:sz="0" w:space="0" w:color="auto"/>
          </w:divBdr>
        </w:div>
        <w:div w:id="496071395">
          <w:marLeft w:val="0"/>
          <w:marRight w:val="0"/>
          <w:marTop w:val="0"/>
          <w:marBottom w:val="0"/>
          <w:divBdr>
            <w:top w:val="none" w:sz="0" w:space="0" w:color="auto"/>
            <w:left w:val="none" w:sz="0" w:space="0" w:color="auto"/>
            <w:bottom w:val="none" w:sz="0" w:space="0" w:color="auto"/>
            <w:right w:val="none" w:sz="0" w:space="0" w:color="auto"/>
          </w:divBdr>
        </w:div>
        <w:div w:id="703671587">
          <w:marLeft w:val="0"/>
          <w:marRight w:val="0"/>
          <w:marTop w:val="0"/>
          <w:marBottom w:val="0"/>
          <w:divBdr>
            <w:top w:val="none" w:sz="0" w:space="0" w:color="auto"/>
            <w:left w:val="none" w:sz="0" w:space="0" w:color="auto"/>
            <w:bottom w:val="none" w:sz="0" w:space="0" w:color="auto"/>
            <w:right w:val="none" w:sz="0" w:space="0" w:color="auto"/>
          </w:divBdr>
        </w:div>
        <w:div w:id="722362566">
          <w:marLeft w:val="0"/>
          <w:marRight w:val="0"/>
          <w:marTop w:val="0"/>
          <w:marBottom w:val="0"/>
          <w:divBdr>
            <w:top w:val="none" w:sz="0" w:space="0" w:color="auto"/>
            <w:left w:val="none" w:sz="0" w:space="0" w:color="auto"/>
            <w:bottom w:val="none" w:sz="0" w:space="0" w:color="auto"/>
            <w:right w:val="none" w:sz="0" w:space="0" w:color="auto"/>
          </w:divBdr>
        </w:div>
        <w:div w:id="830366419">
          <w:marLeft w:val="0"/>
          <w:marRight w:val="0"/>
          <w:marTop w:val="0"/>
          <w:marBottom w:val="0"/>
          <w:divBdr>
            <w:top w:val="none" w:sz="0" w:space="0" w:color="auto"/>
            <w:left w:val="none" w:sz="0" w:space="0" w:color="auto"/>
            <w:bottom w:val="none" w:sz="0" w:space="0" w:color="auto"/>
            <w:right w:val="none" w:sz="0" w:space="0" w:color="auto"/>
          </w:divBdr>
        </w:div>
        <w:div w:id="831993211">
          <w:marLeft w:val="0"/>
          <w:marRight w:val="0"/>
          <w:marTop w:val="0"/>
          <w:marBottom w:val="0"/>
          <w:divBdr>
            <w:top w:val="none" w:sz="0" w:space="0" w:color="auto"/>
            <w:left w:val="none" w:sz="0" w:space="0" w:color="auto"/>
            <w:bottom w:val="none" w:sz="0" w:space="0" w:color="auto"/>
            <w:right w:val="none" w:sz="0" w:space="0" w:color="auto"/>
          </w:divBdr>
        </w:div>
        <w:div w:id="851069272">
          <w:marLeft w:val="0"/>
          <w:marRight w:val="0"/>
          <w:marTop w:val="0"/>
          <w:marBottom w:val="0"/>
          <w:divBdr>
            <w:top w:val="none" w:sz="0" w:space="0" w:color="auto"/>
            <w:left w:val="none" w:sz="0" w:space="0" w:color="auto"/>
            <w:bottom w:val="none" w:sz="0" w:space="0" w:color="auto"/>
            <w:right w:val="none" w:sz="0" w:space="0" w:color="auto"/>
          </w:divBdr>
        </w:div>
        <w:div w:id="896866410">
          <w:marLeft w:val="0"/>
          <w:marRight w:val="0"/>
          <w:marTop w:val="0"/>
          <w:marBottom w:val="0"/>
          <w:divBdr>
            <w:top w:val="none" w:sz="0" w:space="0" w:color="auto"/>
            <w:left w:val="none" w:sz="0" w:space="0" w:color="auto"/>
            <w:bottom w:val="none" w:sz="0" w:space="0" w:color="auto"/>
            <w:right w:val="none" w:sz="0" w:space="0" w:color="auto"/>
          </w:divBdr>
        </w:div>
        <w:div w:id="922109688">
          <w:marLeft w:val="0"/>
          <w:marRight w:val="0"/>
          <w:marTop w:val="0"/>
          <w:marBottom w:val="0"/>
          <w:divBdr>
            <w:top w:val="none" w:sz="0" w:space="0" w:color="auto"/>
            <w:left w:val="none" w:sz="0" w:space="0" w:color="auto"/>
            <w:bottom w:val="none" w:sz="0" w:space="0" w:color="auto"/>
            <w:right w:val="none" w:sz="0" w:space="0" w:color="auto"/>
          </w:divBdr>
        </w:div>
        <w:div w:id="960190405">
          <w:marLeft w:val="0"/>
          <w:marRight w:val="0"/>
          <w:marTop w:val="0"/>
          <w:marBottom w:val="0"/>
          <w:divBdr>
            <w:top w:val="none" w:sz="0" w:space="0" w:color="auto"/>
            <w:left w:val="none" w:sz="0" w:space="0" w:color="auto"/>
            <w:bottom w:val="none" w:sz="0" w:space="0" w:color="auto"/>
            <w:right w:val="none" w:sz="0" w:space="0" w:color="auto"/>
          </w:divBdr>
        </w:div>
        <w:div w:id="966544037">
          <w:marLeft w:val="0"/>
          <w:marRight w:val="0"/>
          <w:marTop w:val="0"/>
          <w:marBottom w:val="0"/>
          <w:divBdr>
            <w:top w:val="none" w:sz="0" w:space="0" w:color="auto"/>
            <w:left w:val="none" w:sz="0" w:space="0" w:color="auto"/>
            <w:bottom w:val="none" w:sz="0" w:space="0" w:color="auto"/>
            <w:right w:val="none" w:sz="0" w:space="0" w:color="auto"/>
          </w:divBdr>
        </w:div>
        <w:div w:id="1018239926">
          <w:marLeft w:val="0"/>
          <w:marRight w:val="0"/>
          <w:marTop w:val="0"/>
          <w:marBottom w:val="0"/>
          <w:divBdr>
            <w:top w:val="none" w:sz="0" w:space="0" w:color="auto"/>
            <w:left w:val="none" w:sz="0" w:space="0" w:color="auto"/>
            <w:bottom w:val="none" w:sz="0" w:space="0" w:color="auto"/>
            <w:right w:val="none" w:sz="0" w:space="0" w:color="auto"/>
          </w:divBdr>
        </w:div>
        <w:div w:id="1164201857">
          <w:marLeft w:val="0"/>
          <w:marRight w:val="0"/>
          <w:marTop w:val="0"/>
          <w:marBottom w:val="0"/>
          <w:divBdr>
            <w:top w:val="none" w:sz="0" w:space="0" w:color="auto"/>
            <w:left w:val="none" w:sz="0" w:space="0" w:color="auto"/>
            <w:bottom w:val="none" w:sz="0" w:space="0" w:color="auto"/>
            <w:right w:val="none" w:sz="0" w:space="0" w:color="auto"/>
          </w:divBdr>
        </w:div>
        <w:div w:id="1266306293">
          <w:marLeft w:val="0"/>
          <w:marRight w:val="0"/>
          <w:marTop w:val="0"/>
          <w:marBottom w:val="0"/>
          <w:divBdr>
            <w:top w:val="none" w:sz="0" w:space="0" w:color="auto"/>
            <w:left w:val="none" w:sz="0" w:space="0" w:color="auto"/>
            <w:bottom w:val="none" w:sz="0" w:space="0" w:color="auto"/>
            <w:right w:val="none" w:sz="0" w:space="0" w:color="auto"/>
          </w:divBdr>
        </w:div>
        <w:div w:id="1404332829">
          <w:marLeft w:val="0"/>
          <w:marRight w:val="0"/>
          <w:marTop w:val="0"/>
          <w:marBottom w:val="0"/>
          <w:divBdr>
            <w:top w:val="none" w:sz="0" w:space="0" w:color="auto"/>
            <w:left w:val="none" w:sz="0" w:space="0" w:color="auto"/>
            <w:bottom w:val="none" w:sz="0" w:space="0" w:color="auto"/>
            <w:right w:val="none" w:sz="0" w:space="0" w:color="auto"/>
          </w:divBdr>
        </w:div>
        <w:div w:id="1697848418">
          <w:marLeft w:val="0"/>
          <w:marRight w:val="0"/>
          <w:marTop w:val="0"/>
          <w:marBottom w:val="0"/>
          <w:divBdr>
            <w:top w:val="none" w:sz="0" w:space="0" w:color="auto"/>
            <w:left w:val="none" w:sz="0" w:space="0" w:color="auto"/>
            <w:bottom w:val="none" w:sz="0" w:space="0" w:color="auto"/>
            <w:right w:val="none" w:sz="0" w:space="0" w:color="auto"/>
          </w:divBdr>
        </w:div>
        <w:div w:id="1714648015">
          <w:marLeft w:val="0"/>
          <w:marRight w:val="0"/>
          <w:marTop w:val="0"/>
          <w:marBottom w:val="0"/>
          <w:divBdr>
            <w:top w:val="none" w:sz="0" w:space="0" w:color="auto"/>
            <w:left w:val="none" w:sz="0" w:space="0" w:color="auto"/>
            <w:bottom w:val="none" w:sz="0" w:space="0" w:color="auto"/>
            <w:right w:val="none" w:sz="0" w:space="0" w:color="auto"/>
          </w:divBdr>
        </w:div>
        <w:div w:id="2126269974">
          <w:marLeft w:val="0"/>
          <w:marRight w:val="0"/>
          <w:marTop w:val="0"/>
          <w:marBottom w:val="0"/>
          <w:divBdr>
            <w:top w:val="none" w:sz="0" w:space="0" w:color="auto"/>
            <w:left w:val="none" w:sz="0" w:space="0" w:color="auto"/>
            <w:bottom w:val="none" w:sz="0" w:space="0" w:color="auto"/>
            <w:right w:val="none" w:sz="0" w:space="0" w:color="auto"/>
          </w:divBdr>
        </w:div>
      </w:divsChild>
    </w:div>
    <w:div w:id="1458909429">
      <w:bodyDiv w:val="1"/>
      <w:marLeft w:val="0"/>
      <w:marRight w:val="0"/>
      <w:marTop w:val="0"/>
      <w:marBottom w:val="0"/>
      <w:divBdr>
        <w:top w:val="none" w:sz="0" w:space="0" w:color="auto"/>
        <w:left w:val="none" w:sz="0" w:space="0" w:color="auto"/>
        <w:bottom w:val="none" w:sz="0" w:space="0" w:color="auto"/>
        <w:right w:val="none" w:sz="0" w:space="0" w:color="auto"/>
      </w:divBdr>
    </w:div>
    <w:div w:id="1570193094">
      <w:bodyDiv w:val="1"/>
      <w:marLeft w:val="0"/>
      <w:marRight w:val="0"/>
      <w:marTop w:val="0"/>
      <w:marBottom w:val="0"/>
      <w:divBdr>
        <w:top w:val="none" w:sz="0" w:space="0" w:color="auto"/>
        <w:left w:val="none" w:sz="0" w:space="0" w:color="auto"/>
        <w:bottom w:val="none" w:sz="0" w:space="0" w:color="auto"/>
        <w:right w:val="none" w:sz="0" w:space="0" w:color="auto"/>
      </w:divBdr>
      <w:divsChild>
        <w:div w:id="618803363">
          <w:marLeft w:val="0"/>
          <w:marRight w:val="0"/>
          <w:marTop w:val="0"/>
          <w:marBottom w:val="0"/>
          <w:divBdr>
            <w:top w:val="none" w:sz="0" w:space="0" w:color="auto"/>
            <w:left w:val="none" w:sz="0" w:space="0" w:color="auto"/>
            <w:bottom w:val="none" w:sz="0" w:space="0" w:color="auto"/>
            <w:right w:val="none" w:sz="0" w:space="0" w:color="auto"/>
          </w:divBdr>
          <w:divsChild>
            <w:div w:id="468329846">
              <w:marLeft w:val="0"/>
              <w:marRight w:val="0"/>
              <w:marTop w:val="0"/>
              <w:marBottom w:val="0"/>
              <w:divBdr>
                <w:top w:val="none" w:sz="0" w:space="0" w:color="auto"/>
                <w:left w:val="none" w:sz="0" w:space="0" w:color="auto"/>
                <w:bottom w:val="none" w:sz="0" w:space="0" w:color="auto"/>
                <w:right w:val="none" w:sz="0" w:space="0" w:color="auto"/>
              </w:divBdr>
              <w:divsChild>
                <w:div w:id="17329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0914">
      <w:bodyDiv w:val="1"/>
      <w:marLeft w:val="0"/>
      <w:marRight w:val="0"/>
      <w:marTop w:val="0"/>
      <w:marBottom w:val="0"/>
      <w:divBdr>
        <w:top w:val="none" w:sz="0" w:space="0" w:color="auto"/>
        <w:left w:val="none" w:sz="0" w:space="0" w:color="auto"/>
        <w:bottom w:val="none" w:sz="0" w:space="0" w:color="auto"/>
        <w:right w:val="none" w:sz="0" w:space="0" w:color="auto"/>
      </w:divBdr>
    </w:div>
    <w:div w:id="1715226129">
      <w:bodyDiv w:val="1"/>
      <w:marLeft w:val="0"/>
      <w:marRight w:val="0"/>
      <w:marTop w:val="0"/>
      <w:marBottom w:val="0"/>
      <w:divBdr>
        <w:top w:val="none" w:sz="0" w:space="0" w:color="auto"/>
        <w:left w:val="none" w:sz="0" w:space="0" w:color="auto"/>
        <w:bottom w:val="none" w:sz="0" w:space="0" w:color="auto"/>
        <w:right w:val="none" w:sz="0" w:space="0" w:color="auto"/>
      </w:divBdr>
    </w:div>
    <w:div w:id="1800877993">
      <w:bodyDiv w:val="1"/>
      <w:marLeft w:val="0"/>
      <w:marRight w:val="0"/>
      <w:marTop w:val="0"/>
      <w:marBottom w:val="0"/>
      <w:divBdr>
        <w:top w:val="none" w:sz="0" w:space="0" w:color="auto"/>
        <w:left w:val="none" w:sz="0" w:space="0" w:color="auto"/>
        <w:bottom w:val="none" w:sz="0" w:space="0" w:color="auto"/>
        <w:right w:val="none" w:sz="0" w:space="0" w:color="auto"/>
      </w:divBdr>
      <w:divsChild>
        <w:div w:id="16589645">
          <w:marLeft w:val="0"/>
          <w:marRight w:val="0"/>
          <w:marTop w:val="0"/>
          <w:marBottom w:val="0"/>
          <w:divBdr>
            <w:top w:val="none" w:sz="0" w:space="0" w:color="auto"/>
            <w:left w:val="none" w:sz="0" w:space="0" w:color="auto"/>
            <w:bottom w:val="none" w:sz="0" w:space="0" w:color="auto"/>
            <w:right w:val="none" w:sz="0" w:space="0" w:color="auto"/>
          </w:divBdr>
        </w:div>
        <w:div w:id="28188767">
          <w:marLeft w:val="0"/>
          <w:marRight w:val="0"/>
          <w:marTop w:val="0"/>
          <w:marBottom w:val="0"/>
          <w:divBdr>
            <w:top w:val="none" w:sz="0" w:space="0" w:color="auto"/>
            <w:left w:val="none" w:sz="0" w:space="0" w:color="auto"/>
            <w:bottom w:val="none" w:sz="0" w:space="0" w:color="auto"/>
            <w:right w:val="none" w:sz="0" w:space="0" w:color="auto"/>
          </w:divBdr>
        </w:div>
        <w:div w:id="171340101">
          <w:marLeft w:val="0"/>
          <w:marRight w:val="0"/>
          <w:marTop w:val="0"/>
          <w:marBottom w:val="0"/>
          <w:divBdr>
            <w:top w:val="none" w:sz="0" w:space="0" w:color="auto"/>
            <w:left w:val="none" w:sz="0" w:space="0" w:color="auto"/>
            <w:bottom w:val="none" w:sz="0" w:space="0" w:color="auto"/>
            <w:right w:val="none" w:sz="0" w:space="0" w:color="auto"/>
          </w:divBdr>
        </w:div>
        <w:div w:id="185293932">
          <w:marLeft w:val="0"/>
          <w:marRight w:val="0"/>
          <w:marTop w:val="0"/>
          <w:marBottom w:val="0"/>
          <w:divBdr>
            <w:top w:val="none" w:sz="0" w:space="0" w:color="auto"/>
            <w:left w:val="none" w:sz="0" w:space="0" w:color="auto"/>
            <w:bottom w:val="none" w:sz="0" w:space="0" w:color="auto"/>
            <w:right w:val="none" w:sz="0" w:space="0" w:color="auto"/>
          </w:divBdr>
        </w:div>
        <w:div w:id="287707528">
          <w:marLeft w:val="0"/>
          <w:marRight w:val="0"/>
          <w:marTop w:val="0"/>
          <w:marBottom w:val="0"/>
          <w:divBdr>
            <w:top w:val="none" w:sz="0" w:space="0" w:color="auto"/>
            <w:left w:val="none" w:sz="0" w:space="0" w:color="auto"/>
            <w:bottom w:val="none" w:sz="0" w:space="0" w:color="auto"/>
            <w:right w:val="none" w:sz="0" w:space="0" w:color="auto"/>
          </w:divBdr>
        </w:div>
        <w:div w:id="329141429">
          <w:marLeft w:val="0"/>
          <w:marRight w:val="0"/>
          <w:marTop w:val="0"/>
          <w:marBottom w:val="0"/>
          <w:divBdr>
            <w:top w:val="none" w:sz="0" w:space="0" w:color="auto"/>
            <w:left w:val="none" w:sz="0" w:space="0" w:color="auto"/>
            <w:bottom w:val="none" w:sz="0" w:space="0" w:color="auto"/>
            <w:right w:val="none" w:sz="0" w:space="0" w:color="auto"/>
          </w:divBdr>
        </w:div>
        <w:div w:id="657616311">
          <w:marLeft w:val="0"/>
          <w:marRight w:val="0"/>
          <w:marTop w:val="0"/>
          <w:marBottom w:val="0"/>
          <w:divBdr>
            <w:top w:val="none" w:sz="0" w:space="0" w:color="auto"/>
            <w:left w:val="none" w:sz="0" w:space="0" w:color="auto"/>
            <w:bottom w:val="none" w:sz="0" w:space="0" w:color="auto"/>
            <w:right w:val="none" w:sz="0" w:space="0" w:color="auto"/>
          </w:divBdr>
        </w:div>
        <w:div w:id="690641127">
          <w:marLeft w:val="0"/>
          <w:marRight w:val="0"/>
          <w:marTop w:val="0"/>
          <w:marBottom w:val="0"/>
          <w:divBdr>
            <w:top w:val="none" w:sz="0" w:space="0" w:color="auto"/>
            <w:left w:val="none" w:sz="0" w:space="0" w:color="auto"/>
            <w:bottom w:val="none" w:sz="0" w:space="0" w:color="auto"/>
            <w:right w:val="none" w:sz="0" w:space="0" w:color="auto"/>
          </w:divBdr>
        </w:div>
        <w:div w:id="740640594">
          <w:marLeft w:val="0"/>
          <w:marRight w:val="0"/>
          <w:marTop w:val="0"/>
          <w:marBottom w:val="0"/>
          <w:divBdr>
            <w:top w:val="none" w:sz="0" w:space="0" w:color="auto"/>
            <w:left w:val="none" w:sz="0" w:space="0" w:color="auto"/>
            <w:bottom w:val="none" w:sz="0" w:space="0" w:color="auto"/>
            <w:right w:val="none" w:sz="0" w:space="0" w:color="auto"/>
          </w:divBdr>
        </w:div>
        <w:div w:id="806898832">
          <w:marLeft w:val="0"/>
          <w:marRight w:val="0"/>
          <w:marTop w:val="0"/>
          <w:marBottom w:val="0"/>
          <w:divBdr>
            <w:top w:val="none" w:sz="0" w:space="0" w:color="auto"/>
            <w:left w:val="none" w:sz="0" w:space="0" w:color="auto"/>
            <w:bottom w:val="none" w:sz="0" w:space="0" w:color="auto"/>
            <w:right w:val="none" w:sz="0" w:space="0" w:color="auto"/>
          </w:divBdr>
        </w:div>
        <w:div w:id="1090850058">
          <w:marLeft w:val="0"/>
          <w:marRight w:val="0"/>
          <w:marTop w:val="0"/>
          <w:marBottom w:val="0"/>
          <w:divBdr>
            <w:top w:val="none" w:sz="0" w:space="0" w:color="auto"/>
            <w:left w:val="none" w:sz="0" w:space="0" w:color="auto"/>
            <w:bottom w:val="none" w:sz="0" w:space="0" w:color="auto"/>
            <w:right w:val="none" w:sz="0" w:space="0" w:color="auto"/>
          </w:divBdr>
        </w:div>
        <w:div w:id="1113553505">
          <w:marLeft w:val="0"/>
          <w:marRight w:val="0"/>
          <w:marTop w:val="0"/>
          <w:marBottom w:val="0"/>
          <w:divBdr>
            <w:top w:val="none" w:sz="0" w:space="0" w:color="auto"/>
            <w:left w:val="none" w:sz="0" w:space="0" w:color="auto"/>
            <w:bottom w:val="none" w:sz="0" w:space="0" w:color="auto"/>
            <w:right w:val="none" w:sz="0" w:space="0" w:color="auto"/>
          </w:divBdr>
        </w:div>
        <w:div w:id="1440956063">
          <w:marLeft w:val="0"/>
          <w:marRight w:val="0"/>
          <w:marTop w:val="0"/>
          <w:marBottom w:val="0"/>
          <w:divBdr>
            <w:top w:val="none" w:sz="0" w:space="0" w:color="auto"/>
            <w:left w:val="none" w:sz="0" w:space="0" w:color="auto"/>
            <w:bottom w:val="none" w:sz="0" w:space="0" w:color="auto"/>
            <w:right w:val="none" w:sz="0" w:space="0" w:color="auto"/>
          </w:divBdr>
        </w:div>
        <w:div w:id="1522084803">
          <w:marLeft w:val="0"/>
          <w:marRight w:val="0"/>
          <w:marTop w:val="0"/>
          <w:marBottom w:val="0"/>
          <w:divBdr>
            <w:top w:val="none" w:sz="0" w:space="0" w:color="auto"/>
            <w:left w:val="none" w:sz="0" w:space="0" w:color="auto"/>
            <w:bottom w:val="none" w:sz="0" w:space="0" w:color="auto"/>
            <w:right w:val="none" w:sz="0" w:space="0" w:color="auto"/>
          </w:divBdr>
        </w:div>
        <w:div w:id="1622148374">
          <w:marLeft w:val="0"/>
          <w:marRight w:val="0"/>
          <w:marTop w:val="0"/>
          <w:marBottom w:val="0"/>
          <w:divBdr>
            <w:top w:val="none" w:sz="0" w:space="0" w:color="auto"/>
            <w:left w:val="none" w:sz="0" w:space="0" w:color="auto"/>
            <w:bottom w:val="none" w:sz="0" w:space="0" w:color="auto"/>
            <w:right w:val="none" w:sz="0" w:space="0" w:color="auto"/>
          </w:divBdr>
        </w:div>
        <w:div w:id="1828131047">
          <w:marLeft w:val="0"/>
          <w:marRight w:val="0"/>
          <w:marTop w:val="0"/>
          <w:marBottom w:val="0"/>
          <w:divBdr>
            <w:top w:val="none" w:sz="0" w:space="0" w:color="auto"/>
            <w:left w:val="none" w:sz="0" w:space="0" w:color="auto"/>
            <w:bottom w:val="none" w:sz="0" w:space="0" w:color="auto"/>
            <w:right w:val="none" w:sz="0" w:space="0" w:color="auto"/>
          </w:divBdr>
        </w:div>
        <w:div w:id="1896962562">
          <w:marLeft w:val="0"/>
          <w:marRight w:val="0"/>
          <w:marTop w:val="0"/>
          <w:marBottom w:val="0"/>
          <w:divBdr>
            <w:top w:val="none" w:sz="0" w:space="0" w:color="auto"/>
            <w:left w:val="none" w:sz="0" w:space="0" w:color="auto"/>
            <w:bottom w:val="none" w:sz="0" w:space="0" w:color="auto"/>
            <w:right w:val="none" w:sz="0" w:space="0" w:color="auto"/>
          </w:divBdr>
        </w:div>
        <w:div w:id="1948349915">
          <w:marLeft w:val="0"/>
          <w:marRight w:val="0"/>
          <w:marTop w:val="0"/>
          <w:marBottom w:val="0"/>
          <w:divBdr>
            <w:top w:val="none" w:sz="0" w:space="0" w:color="auto"/>
            <w:left w:val="none" w:sz="0" w:space="0" w:color="auto"/>
            <w:bottom w:val="none" w:sz="0" w:space="0" w:color="auto"/>
            <w:right w:val="none" w:sz="0" w:space="0" w:color="auto"/>
          </w:divBdr>
        </w:div>
        <w:div w:id="1967350724">
          <w:marLeft w:val="0"/>
          <w:marRight w:val="0"/>
          <w:marTop w:val="0"/>
          <w:marBottom w:val="0"/>
          <w:divBdr>
            <w:top w:val="none" w:sz="0" w:space="0" w:color="auto"/>
            <w:left w:val="none" w:sz="0" w:space="0" w:color="auto"/>
            <w:bottom w:val="none" w:sz="0" w:space="0" w:color="auto"/>
            <w:right w:val="none" w:sz="0" w:space="0" w:color="auto"/>
          </w:divBdr>
        </w:div>
        <w:div w:id="2068335969">
          <w:marLeft w:val="0"/>
          <w:marRight w:val="0"/>
          <w:marTop w:val="0"/>
          <w:marBottom w:val="0"/>
          <w:divBdr>
            <w:top w:val="none" w:sz="0" w:space="0" w:color="auto"/>
            <w:left w:val="none" w:sz="0" w:space="0" w:color="auto"/>
            <w:bottom w:val="none" w:sz="0" w:space="0" w:color="auto"/>
            <w:right w:val="none" w:sz="0" w:space="0" w:color="auto"/>
          </w:divBdr>
        </w:div>
        <w:div w:id="2109570874">
          <w:marLeft w:val="0"/>
          <w:marRight w:val="0"/>
          <w:marTop w:val="0"/>
          <w:marBottom w:val="0"/>
          <w:divBdr>
            <w:top w:val="none" w:sz="0" w:space="0" w:color="auto"/>
            <w:left w:val="none" w:sz="0" w:space="0" w:color="auto"/>
            <w:bottom w:val="none" w:sz="0" w:space="0" w:color="auto"/>
            <w:right w:val="none" w:sz="0" w:space="0" w:color="auto"/>
          </w:divBdr>
        </w:div>
        <w:div w:id="2125077132">
          <w:marLeft w:val="0"/>
          <w:marRight w:val="0"/>
          <w:marTop w:val="0"/>
          <w:marBottom w:val="0"/>
          <w:divBdr>
            <w:top w:val="none" w:sz="0" w:space="0" w:color="auto"/>
            <w:left w:val="none" w:sz="0" w:space="0" w:color="auto"/>
            <w:bottom w:val="none" w:sz="0" w:space="0" w:color="auto"/>
            <w:right w:val="none" w:sz="0" w:space="0" w:color="auto"/>
          </w:divBdr>
        </w:div>
      </w:divsChild>
    </w:div>
    <w:div w:id="1861430040">
      <w:bodyDiv w:val="1"/>
      <w:marLeft w:val="0"/>
      <w:marRight w:val="0"/>
      <w:marTop w:val="0"/>
      <w:marBottom w:val="0"/>
      <w:divBdr>
        <w:top w:val="none" w:sz="0" w:space="0" w:color="auto"/>
        <w:left w:val="none" w:sz="0" w:space="0" w:color="auto"/>
        <w:bottom w:val="none" w:sz="0" w:space="0" w:color="auto"/>
        <w:right w:val="none" w:sz="0" w:space="0" w:color="auto"/>
      </w:divBdr>
    </w:div>
    <w:div w:id="1883707493">
      <w:bodyDiv w:val="1"/>
      <w:marLeft w:val="0"/>
      <w:marRight w:val="0"/>
      <w:marTop w:val="0"/>
      <w:marBottom w:val="0"/>
      <w:divBdr>
        <w:top w:val="none" w:sz="0" w:space="0" w:color="auto"/>
        <w:left w:val="none" w:sz="0" w:space="0" w:color="auto"/>
        <w:bottom w:val="none" w:sz="0" w:space="0" w:color="auto"/>
        <w:right w:val="none" w:sz="0" w:space="0" w:color="auto"/>
      </w:divBdr>
      <w:divsChild>
        <w:div w:id="624190990">
          <w:marLeft w:val="0"/>
          <w:marRight w:val="0"/>
          <w:marTop w:val="0"/>
          <w:marBottom w:val="0"/>
          <w:divBdr>
            <w:top w:val="none" w:sz="0" w:space="0" w:color="auto"/>
            <w:left w:val="none" w:sz="0" w:space="0" w:color="auto"/>
            <w:bottom w:val="none" w:sz="0" w:space="0" w:color="auto"/>
            <w:right w:val="none" w:sz="0" w:space="0" w:color="auto"/>
          </w:divBdr>
        </w:div>
        <w:div w:id="971248666">
          <w:marLeft w:val="0"/>
          <w:marRight w:val="0"/>
          <w:marTop w:val="0"/>
          <w:marBottom w:val="0"/>
          <w:divBdr>
            <w:top w:val="none" w:sz="0" w:space="0" w:color="auto"/>
            <w:left w:val="none" w:sz="0" w:space="0" w:color="auto"/>
            <w:bottom w:val="none" w:sz="0" w:space="0" w:color="auto"/>
            <w:right w:val="none" w:sz="0" w:space="0" w:color="auto"/>
          </w:divBdr>
        </w:div>
        <w:div w:id="1194079022">
          <w:marLeft w:val="0"/>
          <w:marRight w:val="0"/>
          <w:marTop w:val="0"/>
          <w:marBottom w:val="0"/>
          <w:divBdr>
            <w:top w:val="none" w:sz="0" w:space="0" w:color="auto"/>
            <w:left w:val="none" w:sz="0" w:space="0" w:color="auto"/>
            <w:bottom w:val="none" w:sz="0" w:space="0" w:color="auto"/>
            <w:right w:val="none" w:sz="0" w:space="0" w:color="auto"/>
          </w:divBdr>
        </w:div>
      </w:divsChild>
    </w:div>
    <w:div w:id="1963732442">
      <w:bodyDiv w:val="1"/>
      <w:marLeft w:val="0"/>
      <w:marRight w:val="0"/>
      <w:marTop w:val="0"/>
      <w:marBottom w:val="0"/>
      <w:divBdr>
        <w:top w:val="none" w:sz="0" w:space="0" w:color="auto"/>
        <w:left w:val="none" w:sz="0" w:space="0" w:color="auto"/>
        <w:bottom w:val="none" w:sz="0" w:space="0" w:color="auto"/>
        <w:right w:val="none" w:sz="0" w:space="0" w:color="auto"/>
      </w:divBdr>
    </w:div>
    <w:div w:id="1969049096">
      <w:bodyDiv w:val="1"/>
      <w:marLeft w:val="0"/>
      <w:marRight w:val="0"/>
      <w:marTop w:val="0"/>
      <w:marBottom w:val="0"/>
      <w:divBdr>
        <w:top w:val="none" w:sz="0" w:space="0" w:color="auto"/>
        <w:left w:val="none" w:sz="0" w:space="0" w:color="auto"/>
        <w:bottom w:val="none" w:sz="0" w:space="0" w:color="auto"/>
        <w:right w:val="none" w:sz="0" w:space="0" w:color="auto"/>
      </w:divBdr>
    </w:div>
    <w:div w:id="1988583960">
      <w:bodyDiv w:val="1"/>
      <w:marLeft w:val="0"/>
      <w:marRight w:val="0"/>
      <w:marTop w:val="0"/>
      <w:marBottom w:val="0"/>
      <w:divBdr>
        <w:top w:val="none" w:sz="0" w:space="0" w:color="auto"/>
        <w:left w:val="none" w:sz="0" w:space="0" w:color="auto"/>
        <w:bottom w:val="none" w:sz="0" w:space="0" w:color="auto"/>
        <w:right w:val="none" w:sz="0" w:space="0" w:color="auto"/>
      </w:divBdr>
    </w:div>
    <w:div w:id="2132705068">
      <w:bodyDiv w:val="1"/>
      <w:marLeft w:val="0"/>
      <w:marRight w:val="0"/>
      <w:marTop w:val="0"/>
      <w:marBottom w:val="0"/>
      <w:divBdr>
        <w:top w:val="none" w:sz="0" w:space="0" w:color="auto"/>
        <w:left w:val="none" w:sz="0" w:space="0" w:color="auto"/>
        <w:bottom w:val="none" w:sz="0" w:space="0" w:color="auto"/>
        <w:right w:val="none" w:sz="0" w:space="0" w:color="auto"/>
      </w:divBdr>
      <w:divsChild>
        <w:div w:id="36049589">
          <w:marLeft w:val="0"/>
          <w:marRight w:val="0"/>
          <w:marTop w:val="0"/>
          <w:marBottom w:val="0"/>
          <w:divBdr>
            <w:top w:val="none" w:sz="0" w:space="0" w:color="auto"/>
            <w:left w:val="none" w:sz="0" w:space="0" w:color="auto"/>
            <w:bottom w:val="none" w:sz="0" w:space="0" w:color="auto"/>
            <w:right w:val="none" w:sz="0" w:space="0" w:color="auto"/>
          </w:divBdr>
        </w:div>
        <w:div w:id="508830038">
          <w:marLeft w:val="0"/>
          <w:marRight w:val="0"/>
          <w:marTop w:val="0"/>
          <w:marBottom w:val="0"/>
          <w:divBdr>
            <w:top w:val="none" w:sz="0" w:space="0" w:color="auto"/>
            <w:left w:val="none" w:sz="0" w:space="0" w:color="auto"/>
            <w:bottom w:val="none" w:sz="0" w:space="0" w:color="auto"/>
            <w:right w:val="none" w:sz="0" w:space="0" w:color="auto"/>
          </w:divBdr>
        </w:div>
        <w:div w:id="91570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np-mop-01/np-mop-01-dec-08-en.pdf" TargetMode="External"/><Relationship Id="rId18" Type="http://schemas.openxmlformats.org/officeDocument/2006/relationships/hyperlink" Target="https://www.cbd.int/doc/decisions/np-mop-02/np-mop-02-dec-12-en.pdf"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cbd.int/decision/cop/default.shtml?id=709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bd.int/doc/decisions/np-mop-01/np-mop-01-dec-02-en.pdf" TargetMode="External"/><Relationship Id="rId17" Type="http://schemas.openxmlformats.org/officeDocument/2006/relationships/hyperlink" Target="https://www.cbd.int/doc/decisions/np-mop-01/np-mop-01-dec-12-en.pdf" TargetMode="External"/><Relationship Id="rId25" Type="http://schemas.openxmlformats.org/officeDocument/2006/relationships/footer" Target="foot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2/cop-12-dec-13-en.pdf" TargetMode="External"/><Relationship Id="rId20" Type="http://schemas.openxmlformats.org/officeDocument/2006/relationships/hyperlink" Target="https://www.cbd.int/doc/decisions/cop-13/cop-13-dec-32-en.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bd.int/doc/decisions/cop-13/cop-13-dec-23-en.pdf"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yperlink" Target="https://www.cbd.int/doc/decisions/np-mop-02/np-mop-02-dec-13-en.pdf" TargetMode="External"/><Relationship Id="rId31" Type="http://schemas.openxmlformats.org/officeDocument/2006/relationships/hyperlink" Target="https://www.cbd.int/doc/recommendations/sbi-02/sbi-02-rec-02-en.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np-mop-02/np-mop-02-dec-08-en.pdf" TargetMode="External"/><Relationship Id="rId22" Type="http://schemas.openxmlformats.org/officeDocument/2006/relationships/hyperlink" Target="http://wedocs.unep.org/bitstream/handle/20.500.11822/11191/K1607203_UNEPEA2_RES18E.pdf?sequence=1&amp;isAllowed=y" TargetMode="External"/><Relationship Id="rId27" Type="http://schemas.openxmlformats.org/officeDocument/2006/relationships/header" Target="header3.xml"/><Relationship Id="rId30" Type="http://schemas.openxmlformats.org/officeDocument/2006/relationships/hyperlink" Target="https://www.cbd.int/doc/decisions/cop-13/cop-13-dec-33-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79ba/6183/4240ccbde5ed5327383388e5/np-mop-03-09-en.pdf" TargetMode="External"/><Relationship Id="rId13" Type="http://schemas.openxmlformats.org/officeDocument/2006/relationships/hyperlink" Target="https://www.cbd.int/doc/c/2a4e/4a1b/9aa23008d4af76c6e2cf4de8/sbi-02-16-add1-en.pdf" TargetMode="External"/><Relationship Id="rId3" Type="http://schemas.openxmlformats.org/officeDocument/2006/relationships/hyperlink" Target="https://www.cbd.int/doc/c/afcf/e758/607d3576342330cdc5eec723/np-mop-03-04-en.pdf" TargetMode="External"/><Relationship Id="rId7" Type="http://schemas.openxmlformats.org/officeDocument/2006/relationships/hyperlink" Target="https://www.cbd.int/doc/decisions/np-mop-01/np-mop-01-dec-08-en.pdf" TargetMode="External"/><Relationship Id="rId12" Type="http://schemas.openxmlformats.org/officeDocument/2006/relationships/hyperlink" Target="https://www.cbd.int/doc/c/c0ec/0c32/af301e7abc00c0ae92c2110e/sbi-02-16-en.pdf" TargetMode="External"/><Relationship Id="rId2" Type="http://schemas.openxmlformats.org/officeDocument/2006/relationships/hyperlink" Target="http://www.un.org/en/ga/search/view_doc.asp?symbol=A/RES/70/1" TargetMode="External"/><Relationship Id="rId1" Type="http://schemas.openxmlformats.org/officeDocument/2006/relationships/hyperlink" Target="https://www.cbd.int/doc/meetings/tk/wg8j-08/information/wg8j-08-inf-10-en.pdf" TargetMode="External"/><Relationship Id="rId6" Type="http://schemas.openxmlformats.org/officeDocument/2006/relationships/hyperlink" Target="https://www.cbd.int/doc/c/67d8/fbcc/5959eee804e9911314c058d0/cop-14-inf-10-en.pdf" TargetMode="External"/><Relationship Id="rId11" Type="http://schemas.openxmlformats.org/officeDocument/2006/relationships/hyperlink" Target="https://www.cbd.int/doc/c/05b3/3c25/2cc04a53ad3360ce1a1b940e/sbi-02-22-en.pdf" TargetMode="External"/><Relationship Id="rId5" Type="http://schemas.openxmlformats.org/officeDocument/2006/relationships/hyperlink" Target="https://www.cbd.int/doc/decisions/np-mop-01/np-mop-01-dec-08-en.pdf" TargetMode="External"/><Relationship Id="rId15" Type="http://schemas.openxmlformats.org/officeDocument/2006/relationships/hyperlink" Target="https://www.cbd.int/doc/notifications/2019/ntf-2019-017-budget-np-en.pdf" TargetMode="External"/><Relationship Id="rId10" Type="http://schemas.openxmlformats.org/officeDocument/2006/relationships/hyperlink" Target="https://www.thegef.org/sites/default/files/council-meeting-documents/GEF.A6.05.Rev_.01_Replenishment.pdf" TargetMode="External"/><Relationship Id="rId4" Type="http://schemas.openxmlformats.org/officeDocument/2006/relationships/hyperlink" Target="https://www.cbd.int/doc/c/379c/5415/6cc13342a976bc96440d18bb/abs-cbiac-2018-01-04-en.pdf" TargetMode="External"/><Relationship Id="rId9" Type="http://schemas.openxmlformats.org/officeDocument/2006/relationships/hyperlink" Target="https://www.cbd.int/doc/c/3472/c96b/138458108d1c7b45f9aeda96/np-mop-03-05-en.pdf" TargetMode="External"/><Relationship Id="rId14" Type="http://schemas.openxmlformats.org/officeDocument/2006/relationships/hyperlink" Target="https://www.cbd.int/doc/c/ae6c/05f2/805fea62acc7deee055850d0/sbi-02-05-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y\Application%20Data\Microsoft\Templates\COP-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A360793BC64D399A021CF8819C75E4"/>
        <w:category>
          <w:name w:val="General"/>
          <w:gallery w:val="placeholder"/>
        </w:category>
        <w:types>
          <w:type w:val="bbPlcHdr"/>
        </w:types>
        <w:behaviors>
          <w:behavior w:val="content"/>
        </w:behaviors>
        <w:guid w:val="{FE46B417-F4AE-41DD-AD67-11A5EE16560B}"/>
      </w:docPartPr>
      <w:docPartBody>
        <w:p w:rsidR="00141375" w:rsidRDefault="00141375" w:rsidP="00141375">
          <w:pPr>
            <w:pStyle w:val="C6A360793BC64D399A021CF8819C75E4"/>
          </w:pPr>
          <w:r w:rsidRPr="007E02EB">
            <w:rPr>
              <w:rStyle w:val="PlaceholderText"/>
            </w:rPr>
            <w:t>[Status]</w:t>
          </w:r>
        </w:p>
      </w:docPartBody>
    </w:docPart>
    <w:docPart>
      <w:docPartPr>
        <w:name w:val="DC00FD0B698B4096A87445AB89260D34"/>
        <w:category>
          <w:name w:val="General"/>
          <w:gallery w:val="placeholder"/>
        </w:category>
        <w:types>
          <w:type w:val="bbPlcHdr"/>
        </w:types>
        <w:behaviors>
          <w:behavior w:val="content"/>
        </w:behaviors>
        <w:guid w:val="{A9293B0E-6058-4542-8D8A-54AD43B2C04C}"/>
      </w:docPartPr>
      <w:docPartBody>
        <w:p w:rsidR="00141375" w:rsidRDefault="00141375" w:rsidP="00141375">
          <w:pPr>
            <w:pStyle w:val="DC00FD0B698B4096A87445AB89260D34"/>
          </w:pPr>
          <w:r w:rsidRPr="007E02EB">
            <w:rPr>
              <w:rStyle w:val="PlaceholderText"/>
            </w:rPr>
            <w:t>[Subject]</w:t>
          </w:r>
        </w:p>
      </w:docPartBody>
    </w:docPart>
    <w:docPart>
      <w:docPartPr>
        <w:name w:val="BC4C1ADF0E7940329B5D898FE3224885"/>
        <w:category>
          <w:name w:val="General"/>
          <w:gallery w:val="placeholder"/>
        </w:category>
        <w:types>
          <w:type w:val="bbPlcHdr"/>
        </w:types>
        <w:behaviors>
          <w:behavior w:val="content"/>
        </w:behaviors>
        <w:guid w:val="{49C3331E-4654-4555-8E67-714C85650414}"/>
      </w:docPartPr>
      <w:docPartBody>
        <w:p w:rsidR="002E2B58" w:rsidRDefault="00AA4517" w:rsidP="00AA4517">
          <w:pPr>
            <w:pStyle w:val="BC4C1ADF0E7940329B5D898FE3224885"/>
          </w:pPr>
          <w:r w:rsidRPr="007E02EB">
            <w:rPr>
              <w:rStyle w:val="PlaceholderText"/>
            </w:rPr>
            <w:t>[Status]</w:t>
          </w:r>
        </w:p>
      </w:docPartBody>
    </w:docPart>
    <w:docPart>
      <w:docPartPr>
        <w:name w:val="FACD5019A315438BBAB24F663071927D"/>
        <w:category>
          <w:name w:val="General"/>
          <w:gallery w:val="placeholder"/>
        </w:category>
        <w:types>
          <w:type w:val="bbPlcHdr"/>
        </w:types>
        <w:behaviors>
          <w:behavior w:val="content"/>
        </w:behaviors>
        <w:guid w:val="{6C97A240-2984-4136-A809-DCF48D884172}"/>
      </w:docPartPr>
      <w:docPartBody>
        <w:p w:rsidR="00214F2F" w:rsidRDefault="0021207B" w:rsidP="0021207B">
          <w:pPr>
            <w:pStyle w:val="FACD5019A315438BBAB24F663071927D"/>
          </w:pPr>
          <w:r w:rsidRPr="007E02EB">
            <w:rPr>
              <w:rStyle w:val="PlaceholderText"/>
            </w:rPr>
            <w:t>[Subject]</w:t>
          </w:r>
        </w:p>
      </w:docPartBody>
    </w:docPart>
    <w:docPart>
      <w:docPartPr>
        <w:name w:val="28B5361FFE95474E9916877774AE28E2"/>
        <w:category>
          <w:name w:val="General"/>
          <w:gallery w:val="placeholder"/>
        </w:category>
        <w:types>
          <w:type w:val="bbPlcHdr"/>
        </w:types>
        <w:behaviors>
          <w:behavior w:val="content"/>
        </w:behaviors>
        <w:guid w:val="{5395EFE4-E33D-40A0-86AA-5B30AD9C1AA2}"/>
      </w:docPartPr>
      <w:docPartBody>
        <w:p w:rsidR="00214F2F" w:rsidRDefault="0021207B" w:rsidP="0021207B">
          <w:pPr>
            <w:pStyle w:val="28B5361FFE95474E9916877774AE28E2"/>
          </w:pPr>
          <w:r w:rsidRPr="007E02EB">
            <w:rPr>
              <w:rStyle w:val="PlaceholderText"/>
            </w:rPr>
            <w:t>[Subject]</w:t>
          </w:r>
        </w:p>
      </w:docPartBody>
    </w:docPart>
    <w:docPart>
      <w:docPartPr>
        <w:name w:val="DD28AF7857EB4B129389B936E42A95D2"/>
        <w:category>
          <w:name w:val="General"/>
          <w:gallery w:val="placeholder"/>
        </w:category>
        <w:types>
          <w:type w:val="bbPlcHdr"/>
        </w:types>
        <w:behaviors>
          <w:behavior w:val="content"/>
        </w:behaviors>
        <w:guid w:val="{CABCC1AB-393D-4E58-85DD-9CB772D729D1}"/>
      </w:docPartPr>
      <w:docPartBody>
        <w:p w:rsidR="002344F9" w:rsidRDefault="00214F2F" w:rsidP="00214F2F">
          <w:pPr>
            <w:pStyle w:val="DD28AF7857EB4B129389B936E42A95D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D4D"/>
    <w:rsid w:val="00010785"/>
    <w:rsid w:val="00020603"/>
    <w:rsid w:val="001042E6"/>
    <w:rsid w:val="00141375"/>
    <w:rsid w:val="00161B05"/>
    <w:rsid w:val="0021207B"/>
    <w:rsid w:val="00214F2F"/>
    <w:rsid w:val="002344F9"/>
    <w:rsid w:val="00282B1A"/>
    <w:rsid w:val="002C4508"/>
    <w:rsid w:val="002E2B58"/>
    <w:rsid w:val="00331E39"/>
    <w:rsid w:val="00357425"/>
    <w:rsid w:val="003755F4"/>
    <w:rsid w:val="003A1B97"/>
    <w:rsid w:val="003F6786"/>
    <w:rsid w:val="004A2B7A"/>
    <w:rsid w:val="00525050"/>
    <w:rsid w:val="005A4150"/>
    <w:rsid w:val="006C5D4D"/>
    <w:rsid w:val="0074414D"/>
    <w:rsid w:val="0076355E"/>
    <w:rsid w:val="008422C8"/>
    <w:rsid w:val="00850CF0"/>
    <w:rsid w:val="00932166"/>
    <w:rsid w:val="00943E38"/>
    <w:rsid w:val="0096749D"/>
    <w:rsid w:val="00A316F8"/>
    <w:rsid w:val="00A31804"/>
    <w:rsid w:val="00A42B1E"/>
    <w:rsid w:val="00AA4517"/>
    <w:rsid w:val="00B459DA"/>
    <w:rsid w:val="00B544A5"/>
    <w:rsid w:val="00C44824"/>
    <w:rsid w:val="00C47E72"/>
    <w:rsid w:val="00CF1FC4"/>
    <w:rsid w:val="00D27436"/>
    <w:rsid w:val="00D56B4B"/>
    <w:rsid w:val="00D61593"/>
    <w:rsid w:val="00D71D1D"/>
    <w:rsid w:val="00ED2EDE"/>
    <w:rsid w:val="00F21F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4F2F"/>
  </w:style>
  <w:style w:type="paragraph" w:customStyle="1" w:styleId="393A1EB7C724476598B815DDCC3D0A87">
    <w:name w:val="393A1EB7C724476598B815DDCC3D0A87"/>
    <w:rsid w:val="006C5D4D"/>
  </w:style>
  <w:style w:type="paragraph" w:customStyle="1" w:styleId="003AEFA348234772A691A86113B4E232">
    <w:name w:val="003AEFA348234772A691A86113B4E232"/>
    <w:rsid w:val="006C5D4D"/>
  </w:style>
  <w:style w:type="paragraph" w:customStyle="1" w:styleId="242583F38B2F484086052ED8F2CEF48D">
    <w:name w:val="242583F38B2F484086052ED8F2CEF48D"/>
    <w:rsid w:val="006C5D4D"/>
  </w:style>
  <w:style w:type="paragraph" w:customStyle="1" w:styleId="BFD858A4350040EEB0D3C63414DBBD5D">
    <w:name w:val="BFD858A4350040EEB0D3C63414DBBD5D"/>
    <w:rsid w:val="006C5D4D"/>
  </w:style>
  <w:style w:type="paragraph" w:customStyle="1" w:styleId="C6A360793BC64D399A021CF8819C75E4">
    <w:name w:val="C6A360793BC64D399A021CF8819C75E4"/>
    <w:rsid w:val="00141375"/>
    <w:rPr>
      <w:lang w:val="en-CA" w:eastAsia="en-CA"/>
    </w:rPr>
  </w:style>
  <w:style w:type="paragraph" w:customStyle="1" w:styleId="DC00FD0B698B4096A87445AB89260D34">
    <w:name w:val="DC00FD0B698B4096A87445AB89260D34"/>
    <w:rsid w:val="00141375"/>
    <w:rPr>
      <w:lang w:val="en-CA" w:eastAsia="en-CA"/>
    </w:rPr>
  </w:style>
  <w:style w:type="paragraph" w:customStyle="1" w:styleId="0616ACEF845040C1B0462EB4AED4F1FC">
    <w:name w:val="0616ACEF845040C1B0462EB4AED4F1FC"/>
    <w:rsid w:val="00141375"/>
    <w:rPr>
      <w:lang w:val="en-CA" w:eastAsia="en-CA"/>
    </w:rPr>
  </w:style>
  <w:style w:type="paragraph" w:customStyle="1" w:styleId="47C967355E954A4094BAD1B297704055">
    <w:name w:val="47C967355E954A4094BAD1B297704055"/>
    <w:rsid w:val="00357425"/>
    <w:rPr>
      <w:lang w:val="en-CA" w:eastAsia="en-CA"/>
    </w:rPr>
  </w:style>
  <w:style w:type="paragraph" w:customStyle="1" w:styleId="460455E332CE4C63B5F164DB763A7643">
    <w:name w:val="460455E332CE4C63B5F164DB763A7643"/>
    <w:rsid w:val="00357425"/>
    <w:rPr>
      <w:lang w:val="en-CA" w:eastAsia="en-CA"/>
    </w:rPr>
  </w:style>
  <w:style w:type="paragraph" w:customStyle="1" w:styleId="BA63F60044EB4B46B6E7EDE258FF4671">
    <w:name w:val="BA63F60044EB4B46B6E7EDE258FF4671"/>
    <w:rsid w:val="00357425"/>
    <w:rPr>
      <w:lang w:val="en-CA" w:eastAsia="en-CA"/>
    </w:rPr>
  </w:style>
  <w:style w:type="paragraph" w:customStyle="1" w:styleId="932AD4DBC4B14804AE7FC24962C25D0A">
    <w:name w:val="932AD4DBC4B14804AE7FC24962C25D0A"/>
    <w:rsid w:val="00357425"/>
    <w:rPr>
      <w:lang w:val="en-CA" w:eastAsia="en-CA"/>
    </w:rPr>
  </w:style>
  <w:style w:type="paragraph" w:customStyle="1" w:styleId="E7E9B43504C847C38F9F498242615AFD">
    <w:name w:val="E7E9B43504C847C38F9F498242615AFD"/>
    <w:rsid w:val="00357425"/>
    <w:rPr>
      <w:lang w:val="en-CA" w:eastAsia="en-CA"/>
    </w:rPr>
  </w:style>
  <w:style w:type="paragraph" w:customStyle="1" w:styleId="DB4A818B91764D3FB4C56A6A565CE37B">
    <w:name w:val="DB4A818B91764D3FB4C56A6A565CE37B"/>
    <w:rsid w:val="00357425"/>
    <w:rPr>
      <w:lang w:val="en-CA" w:eastAsia="en-CA"/>
    </w:rPr>
  </w:style>
  <w:style w:type="paragraph" w:customStyle="1" w:styleId="C00DC7C4752A4055B31E736A74F6BE07">
    <w:name w:val="C00DC7C4752A4055B31E736A74F6BE07"/>
    <w:rsid w:val="00357425"/>
    <w:rPr>
      <w:lang w:val="en-CA" w:eastAsia="en-CA"/>
    </w:rPr>
  </w:style>
  <w:style w:type="paragraph" w:customStyle="1" w:styleId="26A1F03C8ABC41F19492FD465C4D0DFF">
    <w:name w:val="26A1F03C8ABC41F19492FD465C4D0DFF"/>
    <w:rsid w:val="00357425"/>
    <w:rPr>
      <w:lang w:val="en-CA" w:eastAsia="en-CA"/>
    </w:rPr>
  </w:style>
  <w:style w:type="paragraph" w:customStyle="1" w:styleId="ACAA2BB709D44010BDE5FE38167D7C33">
    <w:name w:val="ACAA2BB709D44010BDE5FE38167D7C33"/>
    <w:rsid w:val="00357425"/>
    <w:rPr>
      <w:lang w:val="en-CA" w:eastAsia="en-CA"/>
    </w:rPr>
  </w:style>
  <w:style w:type="paragraph" w:customStyle="1" w:styleId="FD40366098984522A80470753E1FB71E">
    <w:name w:val="FD40366098984522A80470753E1FB71E"/>
    <w:rsid w:val="00357425"/>
    <w:rPr>
      <w:lang w:val="en-CA" w:eastAsia="en-CA"/>
    </w:rPr>
  </w:style>
  <w:style w:type="paragraph" w:customStyle="1" w:styleId="F411D8BB4BD34321997FB2891651FA45">
    <w:name w:val="F411D8BB4BD34321997FB2891651FA45"/>
    <w:rsid w:val="00357425"/>
    <w:rPr>
      <w:lang w:val="en-CA" w:eastAsia="en-CA"/>
    </w:rPr>
  </w:style>
  <w:style w:type="paragraph" w:customStyle="1" w:styleId="C9E2E78F52B64979998D34BB15B3423B">
    <w:name w:val="C9E2E78F52B64979998D34BB15B3423B"/>
    <w:rsid w:val="00357425"/>
    <w:rPr>
      <w:lang w:val="en-CA" w:eastAsia="en-CA"/>
    </w:rPr>
  </w:style>
  <w:style w:type="paragraph" w:customStyle="1" w:styleId="0502E9B1C95E43829CE1E12ABF4316C7">
    <w:name w:val="0502E9B1C95E43829CE1E12ABF4316C7"/>
    <w:rsid w:val="00357425"/>
    <w:rPr>
      <w:lang w:val="en-CA" w:eastAsia="en-CA"/>
    </w:rPr>
  </w:style>
  <w:style w:type="paragraph" w:customStyle="1" w:styleId="300E11D673C5477C968BF9948C74FC4E">
    <w:name w:val="300E11D673C5477C968BF9948C74FC4E"/>
    <w:rsid w:val="00357425"/>
    <w:rPr>
      <w:lang w:val="en-CA" w:eastAsia="en-CA"/>
    </w:rPr>
  </w:style>
  <w:style w:type="paragraph" w:customStyle="1" w:styleId="D246CF3EEEF64E53906FB8FA9F3D44CC">
    <w:name w:val="D246CF3EEEF64E53906FB8FA9F3D44CC"/>
    <w:rsid w:val="00357425"/>
    <w:rPr>
      <w:lang w:val="en-CA" w:eastAsia="en-CA"/>
    </w:rPr>
  </w:style>
  <w:style w:type="paragraph" w:customStyle="1" w:styleId="E556E404CB1B4280B0740C40FE46938D">
    <w:name w:val="E556E404CB1B4280B0740C40FE46938D"/>
    <w:rsid w:val="00357425"/>
    <w:rPr>
      <w:lang w:val="en-CA" w:eastAsia="en-CA"/>
    </w:rPr>
  </w:style>
  <w:style w:type="paragraph" w:customStyle="1" w:styleId="1A776ECEC45C4AF2AC9236F07CF1E7EF">
    <w:name w:val="1A776ECEC45C4AF2AC9236F07CF1E7EF"/>
    <w:rsid w:val="00357425"/>
    <w:rPr>
      <w:lang w:val="en-CA" w:eastAsia="en-CA"/>
    </w:rPr>
  </w:style>
  <w:style w:type="paragraph" w:customStyle="1" w:styleId="A04DC71649354F8B85A02FB82968E72E">
    <w:name w:val="A04DC71649354F8B85A02FB82968E72E"/>
    <w:rsid w:val="00357425"/>
    <w:rPr>
      <w:lang w:val="en-CA" w:eastAsia="en-CA"/>
    </w:rPr>
  </w:style>
  <w:style w:type="paragraph" w:customStyle="1" w:styleId="C29BD31A91BF4FD5B4505CBB03004DF0">
    <w:name w:val="C29BD31A91BF4FD5B4505CBB03004DF0"/>
    <w:rsid w:val="00357425"/>
    <w:rPr>
      <w:lang w:val="en-CA" w:eastAsia="en-CA"/>
    </w:rPr>
  </w:style>
  <w:style w:type="paragraph" w:customStyle="1" w:styleId="1BD9CBCE071B45FE8A126060CE6248A7">
    <w:name w:val="1BD9CBCE071B45FE8A126060CE6248A7"/>
    <w:rsid w:val="00357425"/>
    <w:rPr>
      <w:lang w:val="en-CA" w:eastAsia="en-CA"/>
    </w:rPr>
  </w:style>
  <w:style w:type="paragraph" w:customStyle="1" w:styleId="894AFDE8B6E3467FB6AA576F35FB0024">
    <w:name w:val="894AFDE8B6E3467FB6AA576F35FB0024"/>
    <w:rsid w:val="00357425"/>
    <w:rPr>
      <w:lang w:val="en-CA" w:eastAsia="en-CA"/>
    </w:rPr>
  </w:style>
  <w:style w:type="paragraph" w:customStyle="1" w:styleId="27A88C4C4DF34EC8B237D7CB6246156A">
    <w:name w:val="27A88C4C4DF34EC8B237D7CB6246156A"/>
    <w:rsid w:val="00357425"/>
    <w:rPr>
      <w:lang w:val="en-CA" w:eastAsia="en-CA"/>
    </w:rPr>
  </w:style>
  <w:style w:type="paragraph" w:customStyle="1" w:styleId="38019441079C4E7FB3A42A82CB7A9B97">
    <w:name w:val="38019441079C4E7FB3A42A82CB7A9B97"/>
    <w:rsid w:val="00357425"/>
    <w:rPr>
      <w:lang w:val="en-CA" w:eastAsia="en-CA"/>
    </w:rPr>
  </w:style>
  <w:style w:type="paragraph" w:customStyle="1" w:styleId="B0404E2804F2453C978751B90278FA33">
    <w:name w:val="B0404E2804F2453C978751B90278FA33"/>
    <w:rsid w:val="00357425"/>
    <w:rPr>
      <w:lang w:val="en-CA" w:eastAsia="en-CA"/>
    </w:rPr>
  </w:style>
  <w:style w:type="paragraph" w:customStyle="1" w:styleId="2373A7CD98204216A46EC2CA5A4E2AEE">
    <w:name w:val="2373A7CD98204216A46EC2CA5A4E2AEE"/>
    <w:rsid w:val="00357425"/>
    <w:rPr>
      <w:lang w:val="en-CA" w:eastAsia="en-CA"/>
    </w:rPr>
  </w:style>
  <w:style w:type="paragraph" w:customStyle="1" w:styleId="A676BF29891340FFA8559F9E3A24F66B">
    <w:name w:val="A676BF29891340FFA8559F9E3A24F66B"/>
    <w:rsid w:val="00357425"/>
    <w:rPr>
      <w:lang w:val="en-CA" w:eastAsia="en-CA"/>
    </w:rPr>
  </w:style>
  <w:style w:type="paragraph" w:customStyle="1" w:styleId="3B5F9262A76A42B790F38D3D92510661">
    <w:name w:val="3B5F9262A76A42B790F38D3D92510661"/>
    <w:rsid w:val="00357425"/>
    <w:rPr>
      <w:lang w:val="en-CA" w:eastAsia="en-CA"/>
    </w:rPr>
  </w:style>
  <w:style w:type="paragraph" w:customStyle="1" w:styleId="AC07F920344E454A820043F54BC6C63B">
    <w:name w:val="AC07F920344E454A820043F54BC6C63B"/>
    <w:rsid w:val="00357425"/>
    <w:rPr>
      <w:lang w:val="en-CA" w:eastAsia="en-CA"/>
    </w:rPr>
  </w:style>
  <w:style w:type="paragraph" w:customStyle="1" w:styleId="F31C966BAC6E4B86925C02F133F40A35">
    <w:name w:val="F31C966BAC6E4B86925C02F133F40A35"/>
    <w:rsid w:val="00357425"/>
    <w:rPr>
      <w:lang w:val="en-CA" w:eastAsia="en-CA"/>
    </w:rPr>
  </w:style>
  <w:style w:type="paragraph" w:customStyle="1" w:styleId="2AA687CED7444F42BFB92AC805A8562D">
    <w:name w:val="2AA687CED7444F42BFB92AC805A8562D"/>
    <w:rsid w:val="00357425"/>
    <w:rPr>
      <w:lang w:val="en-CA" w:eastAsia="en-CA"/>
    </w:rPr>
  </w:style>
  <w:style w:type="paragraph" w:customStyle="1" w:styleId="C618E6C0A4124ABF9C354A2D5FC2ADED">
    <w:name w:val="C618E6C0A4124ABF9C354A2D5FC2ADED"/>
    <w:rsid w:val="00357425"/>
    <w:rPr>
      <w:lang w:val="en-CA" w:eastAsia="en-CA"/>
    </w:rPr>
  </w:style>
  <w:style w:type="paragraph" w:customStyle="1" w:styleId="A4AB3361FC5D4671A80508DC6C7C7227">
    <w:name w:val="A4AB3361FC5D4671A80508DC6C7C7227"/>
    <w:rsid w:val="00357425"/>
    <w:rPr>
      <w:lang w:val="en-CA" w:eastAsia="en-CA"/>
    </w:rPr>
  </w:style>
  <w:style w:type="paragraph" w:customStyle="1" w:styleId="510CE2DE20FF4BE4B31515B5C4994038">
    <w:name w:val="510CE2DE20FF4BE4B31515B5C4994038"/>
    <w:rsid w:val="00357425"/>
    <w:rPr>
      <w:lang w:val="en-CA" w:eastAsia="en-CA"/>
    </w:rPr>
  </w:style>
  <w:style w:type="paragraph" w:customStyle="1" w:styleId="6C0E6E8B639D4AEBB815E41CB8EED667">
    <w:name w:val="6C0E6E8B639D4AEBB815E41CB8EED667"/>
    <w:rsid w:val="00357425"/>
    <w:rPr>
      <w:lang w:val="en-CA" w:eastAsia="en-CA"/>
    </w:rPr>
  </w:style>
  <w:style w:type="paragraph" w:customStyle="1" w:styleId="1F5B574D48634FADBCA8665E0CE68996">
    <w:name w:val="1F5B574D48634FADBCA8665E0CE68996"/>
    <w:rsid w:val="00357425"/>
    <w:rPr>
      <w:lang w:val="en-CA" w:eastAsia="en-CA"/>
    </w:rPr>
  </w:style>
  <w:style w:type="paragraph" w:customStyle="1" w:styleId="6F0810722CCD47E389B6D4F7D7906537">
    <w:name w:val="6F0810722CCD47E389B6D4F7D7906537"/>
    <w:rsid w:val="00357425"/>
    <w:rPr>
      <w:lang w:val="en-CA" w:eastAsia="en-CA"/>
    </w:rPr>
  </w:style>
  <w:style w:type="paragraph" w:customStyle="1" w:styleId="867AFEDE0E37480E9EB912A6E5DC59CF">
    <w:name w:val="867AFEDE0E37480E9EB912A6E5DC59CF"/>
    <w:rsid w:val="00357425"/>
    <w:rPr>
      <w:lang w:val="en-CA" w:eastAsia="en-CA"/>
    </w:rPr>
  </w:style>
  <w:style w:type="paragraph" w:customStyle="1" w:styleId="BE47B00936F141688034D6621287A8D7">
    <w:name w:val="BE47B00936F141688034D6621287A8D7"/>
    <w:rsid w:val="00357425"/>
    <w:rPr>
      <w:lang w:val="en-CA" w:eastAsia="en-CA"/>
    </w:rPr>
  </w:style>
  <w:style w:type="paragraph" w:customStyle="1" w:styleId="FDFE5712CACD419A8FBE196064F8E415">
    <w:name w:val="FDFE5712CACD419A8FBE196064F8E415"/>
    <w:rsid w:val="00357425"/>
    <w:rPr>
      <w:lang w:val="en-CA" w:eastAsia="en-CA"/>
    </w:rPr>
  </w:style>
  <w:style w:type="paragraph" w:customStyle="1" w:styleId="FBE1E44B68EF438F9CFF4A0784936D82">
    <w:name w:val="FBE1E44B68EF438F9CFF4A0784936D82"/>
    <w:rsid w:val="00357425"/>
    <w:rPr>
      <w:lang w:val="en-CA" w:eastAsia="en-CA"/>
    </w:rPr>
  </w:style>
  <w:style w:type="paragraph" w:customStyle="1" w:styleId="52F65DD55C81462D9F396C4102B7F8F2">
    <w:name w:val="52F65DD55C81462D9F396C4102B7F8F2"/>
    <w:rsid w:val="00357425"/>
    <w:rPr>
      <w:lang w:val="en-CA" w:eastAsia="en-CA"/>
    </w:rPr>
  </w:style>
  <w:style w:type="paragraph" w:customStyle="1" w:styleId="29C9BADDD4B749A3827C78A7254E2050">
    <w:name w:val="29C9BADDD4B749A3827C78A7254E2050"/>
    <w:rsid w:val="00357425"/>
    <w:rPr>
      <w:lang w:val="en-CA" w:eastAsia="en-CA"/>
    </w:rPr>
  </w:style>
  <w:style w:type="paragraph" w:customStyle="1" w:styleId="C8EC4778E4ED41E99177388816E13B2E">
    <w:name w:val="C8EC4778E4ED41E99177388816E13B2E"/>
    <w:rsid w:val="00357425"/>
    <w:rPr>
      <w:lang w:val="en-CA" w:eastAsia="en-CA"/>
    </w:rPr>
  </w:style>
  <w:style w:type="paragraph" w:customStyle="1" w:styleId="23111CE88A544BDBBEF5170D130A32AC">
    <w:name w:val="23111CE88A544BDBBEF5170D130A32AC"/>
    <w:rsid w:val="00357425"/>
    <w:rPr>
      <w:lang w:val="en-CA" w:eastAsia="en-CA"/>
    </w:rPr>
  </w:style>
  <w:style w:type="paragraph" w:customStyle="1" w:styleId="C860F38C34324BCAB9FB7F7264ED6C7A">
    <w:name w:val="C860F38C34324BCAB9FB7F7264ED6C7A"/>
    <w:rsid w:val="00357425"/>
    <w:rPr>
      <w:lang w:val="en-CA" w:eastAsia="en-CA"/>
    </w:rPr>
  </w:style>
  <w:style w:type="paragraph" w:customStyle="1" w:styleId="D1D264F793274B6A9DAC2C6213179E01">
    <w:name w:val="D1D264F793274B6A9DAC2C6213179E01"/>
    <w:rsid w:val="00357425"/>
    <w:rPr>
      <w:lang w:val="en-CA" w:eastAsia="en-CA"/>
    </w:rPr>
  </w:style>
  <w:style w:type="paragraph" w:customStyle="1" w:styleId="EF28EE7D74DB470EAEB95A31AB0B33EB">
    <w:name w:val="EF28EE7D74DB470EAEB95A31AB0B33EB"/>
    <w:rsid w:val="00357425"/>
    <w:rPr>
      <w:lang w:val="en-CA" w:eastAsia="en-CA"/>
    </w:rPr>
  </w:style>
  <w:style w:type="paragraph" w:customStyle="1" w:styleId="2C7DE724DD4D47BEA58B77DB53B3C07C">
    <w:name w:val="2C7DE724DD4D47BEA58B77DB53B3C07C"/>
    <w:rsid w:val="00357425"/>
    <w:rPr>
      <w:lang w:val="en-CA" w:eastAsia="en-CA"/>
    </w:rPr>
  </w:style>
  <w:style w:type="paragraph" w:customStyle="1" w:styleId="FAAE8C274FE348C0A6DD2A5A8CC9BC52">
    <w:name w:val="FAAE8C274FE348C0A6DD2A5A8CC9BC52"/>
    <w:rsid w:val="00357425"/>
    <w:rPr>
      <w:lang w:val="en-CA" w:eastAsia="en-CA"/>
    </w:rPr>
  </w:style>
  <w:style w:type="paragraph" w:customStyle="1" w:styleId="BF45164CF77440A4A50D8954FF923E09">
    <w:name w:val="BF45164CF77440A4A50D8954FF923E09"/>
    <w:rsid w:val="00357425"/>
    <w:rPr>
      <w:lang w:val="en-CA" w:eastAsia="en-CA"/>
    </w:rPr>
  </w:style>
  <w:style w:type="paragraph" w:customStyle="1" w:styleId="F0AD6AD0464744D0A1658678C405BAB9">
    <w:name w:val="F0AD6AD0464744D0A1658678C405BAB9"/>
    <w:rsid w:val="00AA4517"/>
    <w:rPr>
      <w:lang w:val="en-CA" w:eastAsia="en-CA"/>
    </w:rPr>
  </w:style>
  <w:style w:type="paragraph" w:customStyle="1" w:styleId="21DEF58A95C14527AAAE5AB764886004">
    <w:name w:val="21DEF58A95C14527AAAE5AB764886004"/>
    <w:rsid w:val="00AA4517"/>
    <w:rPr>
      <w:lang w:val="en-CA" w:eastAsia="en-CA"/>
    </w:rPr>
  </w:style>
  <w:style w:type="paragraph" w:customStyle="1" w:styleId="AA22870854694DDA9B5E150A9E850BDB">
    <w:name w:val="AA22870854694DDA9B5E150A9E850BDB"/>
    <w:rsid w:val="00AA4517"/>
    <w:rPr>
      <w:lang w:val="en-CA" w:eastAsia="en-CA"/>
    </w:rPr>
  </w:style>
  <w:style w:type="paragraph" w:customStyle="1" w:styleId="BC4C1ADF0E7940329B5D898FE3224885">
    <w:name w:val="BC4C1ADF0E7940329B5D898FE3224885"/>
    <w:rsid w:val="00AA4517"/>
    <w:rPr>
      <w:lang w:val="en-CA" w:eastAsia="en-CA"/>
    </w:rPr>
  </w:style>
  <w:style w:type="paragraph" w:customStyle="1" w:styleId="FACD5019A315438BBAB24F663071927D">
    <w:name w:val="FACD5019A315438BBAB24F663071927D"/>
    <w:rsid w:val="0021207B"/>
    <w:rPr>
      <w:lang w:val="en-GB" w:eastAsia="en-GB"/>
    </w:rPr>
  </w:style>
  <w:style w:type="paragraph" w:customStyle="1" w:styleId="28B5361FFE95474E9916877774AE28E2">
    <w:name w:val="28B5361FFE95474E9916877774AE28E2"/>
    <w:rsid w:val="0021207B"/>
    <w:rPr>
      <w:lang w:val="en-GB" w:eastAsia="en-GB"/>
    </w:rPr>
  </w:style>
  <w:style w:type="paragraph" w:customStyle="1" w:styleId="DD28AF7857EB4B129389B936E42A95D2">
    <w:name w:val="DD28AF7857EB4B129389B936E42A95D2"/>
    <w:rsid w:val="00214F2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F58AAB-5FD3-4FFD-8BBA-C890F530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COP-6.dot</Template>
  <TotalTime>196</TotalTime>
  <Pages>2</Pages>
  <Words>24467</Words>
  <Characters>139466</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Report of the Conference of the Parties to the Convention on Biological Diversity serving as the meeting of the Parties to the Nagoya Protocol on Access to Genetic Resources and the Fair and Equitable Sharing of Benefits Arising from their Utilization on </vt:lpstr>
    </vt:vector>
  </TitlesOfParts>
  <Company>Hewlett-Packard Company</Company>
  <LinksUpToDate>false</LinksUpToDate>
  <CharactersWithSpaces>163606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Conference of the Parties to the Convention on Biological Diversity serving as the meeting of the Parties to the Nagoya Protocol on Access to Genetic Resources and the Fair and Equitable Sharing of Benefits Arising from their Utilization on its third meeting</dc:title>
  <dc:subject>CBD/NP/MOP/3/10</dc:subject>
  <dc:creator>NP MOP 3</dc:creator>
  <cp:keywords>Convention on Biological Diversity, Nagoya Protocol on Access to Genetic Resources and the Fair and Equitable Sharing of Benefits Arising from their Utilization</cp:keywords>
  <dc:description/>
  <cp:lastModifiedBy>Veronique Lefebvre</cp:lastModifiedBy>
  <cp:revision>4</cp:revision>
  <cp:lastPrinted>2019-02-08T19:07:00Z</cp:lastPrinted>
  <dcterms:created xsi:type="dcterms:W3CDTF">2019-03-27T13:32:00Z</dcterms:created>
  <dcterms:modified xsi:type="dcterms:W3CDTF">2019-04-03T16:41:00Z</dcterms:modified>
  <cp:contentStatus>GENERAL</cp:contentStatus>
</cp:coreProperties>
</file>