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454C2A">
        <w:trPr>
          <w:trHeight w:val="851"/>
        </w:trPr>
        <w:tc>
          <w:tcPr>
            <w:tcW w:w="465" w:type="pct"/>
            <w:tcBorders>
              <w:bottom w:val="single" w:sz="8" w:space="0" w:color="auto"/>
            </w:tcBorders>
            <w:vAlign w:val="bottom"/>
          </w:tcPr>
          <w:p w14:paraId="7BE82539" w14:textId="77777777" w:rsidR="00A96B21" w:rsidRPr="00550DCE" w:rsidRDefault="00A96B21" w:rsidP="00454C2A">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rsidP="00454C2A">
            <w:pPr>
              <w:spacing w:after="120"/>
              <w:jc w:val="left"/>
            </w:pPr>
            <w:r w:rsidRPr="007A7F22">
              <w:rPr>
                <w:noProof/>
              </w:rPr>
              <w:drawing>
                <wp:inline distT="0" distB="0" distL="0" distR="0" wp14:anchorId="1C6A83D5" wp14:editId="7E63679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60717333" w:rsidR="00A96B21" w:rsidRPr="00550DCE" w:rsidRDefault="00A96B21" w:rsidP="00F6660F">
            <w:pPr>
              <w:pStyle w:val="ABSymbol"/>
            </w:pPr>
            <w:r w:rsidRPr="00550DCE">
              <w:rPr>
                <w:sz w:val="40"/>
                <w:szCs w:val="40"/>
              </w:rPr>
              <w:t>CBD</w:t>
            </w:r>
            <w:r w:rsidRPr="00550DCE">
              <w:t>/</w:t>
            </w:r>
            <w:r w:rsidR="00D23F1E">
              <w:t>NP/MOP/5/</w:t>
            </w:r>
            <w:r w:rsidR="00D86368">
              <w:t>L.5</w:t>
            </w:r>
          </w:p>
        </w:tc>
      </w:tr>
      <w:tr w:rsidR="00A96B21" w:rsidRPr="00EA442C" w14:paraId="1819DB77" w14:textId="77777777" w:rsidTr="00454C2A">
        <w:tc>
          <w:tcPr>
            <w:tcW w:w="2297" w:type="pct"/>
            <w:gridSpan w:val="2"/>
            <w:tcBorders>
              <w:top w:val="single" w:sz="8" w:space="0" w:color="auto"/>
              <w:bottom w:val="single" w:sz="12" w:space="0" w:color="auto"/>
            </w:tcBorders>
          </w:tcPr>
          <w:p w14:paraId="445EC18F" w14:textId="77777777" w:rsidR="00A96B21" w:rsidRPr="00550DCE" w:rsidRDefault="00A96B21" w:rsidP="00454C2A">
            <w:pPr>
              <w:pStyle w:val="Cornernotation"/>
              <w:suppressLineNumbers/>
              <w:suppressAutoHyphens/>
              <w:spacing w:before="120" w:after="120"/>
              <w:ind w:left="0" w:right="0" w:firstLine="0"/>
            </w:pPr>
            <w:r w:rsidRPr="00550DCE">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7B5D5B2B" w:rsidR="00A96B21" w:rsidRPr="003C6F10" w:rsidRDefault="00363AAE" w:rsidP="003C6F10">
            <w:pPr>
              <w:ind w:left="2584"/>
              <w:rPr>
                <w:sz w:val="22"/>
                <w:szCs w:val="22"/>
              </w:rPr>
            </w:pPr>
            <w:r>
              <w:rPr>
                <w:sz w:val="22"/>
                <w:szCs w:val="22"/>
              </w:rPr>
              <w:t>2</w:t>
            </w:r>
            <w:r w:rsidR="00D86368">
              <w:rPr>
                <w:sz w:val="22"/>
                <w:szCs w:val="22"/>
              </w:rPr>
              <w:t>4</w:t>
            </w:r>
            <w:r w:rsidR="007A7F22">
              <w:rPr>
                <w:sz w:val="22"/>
                <w:szCs w:val="22"/>
              </w:rPr>
              <w:t xml:space="preserve"> October</w:t>
            </w:r>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454C2A"/>
        </w:tc>
      </w:tr>
    </w:tbl>
    <w:p w14:paraId="26B5CCCC" w14:textId="77777777" w:rsidR="00317EA5" w:rsidRDefault="00317EA5" w:rsidP="00317EA5">
      <w:pPr>
        <w:pStyle w:val="Cornernotation"/>
        <w:ind w:left="0" w:right="4257" w:firstLine="0"/>
        <w:rPr>
          <w:bCs/>
        </w:rPr>
      </w:pPr>
      <w:r w:rsidRPr="00D23F1E">
        <w:rPr>
          <w:bCs/>
        </w:rPr>
        <w:t xml:space="preserve">Conference of the Parties </w:t>
      </w:r>
      <w:r>
        <w:rPr>
          <w:bCs/>
        </w:rPr>
        <w:t xml:space="preserve">to the Convention </w:t>
      </w:r>
      <w:r>
        <w:rPr>
          <w:bCs/>
        </w:rPr>
        <w:br/>
        <w:t xml:space="preserve">on Biological Diversity </w:t>
      </w:r>
      <w:r w:rsidRPr="00D23F1E">
        <w:rPr>
          <w:bCs/>
        </w:rPr>
        <w:t xml:space="preserve">serving as the meeting of the Parties to the Nagoya Protocol on Access </w:t>
      </w:r>
      <w:r>
        <w:rPr>
          <w:bCs/>
        </w:rPr>
        <w:t>to Genetic Resources and the Fair and Equitable Sharing of Benefits Arising from their Utilization</w:t>
      </w:r>
    </w:p>
    <w:p w14:paraId="646B77EF" w14:textId="77777777" w:rsidR="00A96B21" w:rsidRDefault="00D23F1E" w:rsidP="00A96B21">
      <w:pPr>
        <w:pStyle w:val="Cornernotation"/>
        <w:rPr>
          <w:bCs/>
          <w:sz w:val="22"/>
        </w:rPr>
      </w:pPr>
      <w:r>
        <w:rPr>
          <w:bCs/>
          <w:sz w:val="22"/>
        </w:rPr>
        <w:t>Fifth</w:t>
      </w:r>
      <w:r w:rsidR="00A96B21" w:rsidRPr="00A96B21">
        <w:rPr>
          <w:bCs/>
          <w:sz w:val="22"/>
        </w:rPr>
        <w:t xml:space="preserve"> meeting </w:t>
      </w:r>
    </w:p>
    <w:p w14:paraId="09E4FAB9" w14:textId="77777777" w:rsidR="00A96B21" w:rsidRPr="00935461" w:rsidRDefault="00D23F1E" w:rsidP="00A96B21">
      <w:pPr>
        <w:pStyle w:val="Venuedate"/>
        <w:rPr>
          <w:lang w:val="en-CA"/>
        </w:rPr>
      </w:pPr>
      <w:r>
        <w:rPr>
          <w:lang w:val="en-CA"/>
        </w:rPr>
        <w:t>Cali, Colombia, 21 October–1 November 2024</w:t>
      </w:r>
    </w:p>
    <w:p w14:paraId="30733817" w14:textId="7FBFB291" w:rsidR="00A96B21" w:rsidRPr="00441498" w:rsidRDefault="007A7F22" w:rsidP="00A96B21">
      <w:pPr>
        <w:pStyle w:val="Cornernotation-Item"/>
        <w:rPr>
          <w:b w:val="0"/>
          <w:bCs w:val="0"/>
        </w:rPr>
      </w:pPr>
      <w:r>
        <w:rPr>
          <w:b w:val="0"/>
          <w:bCs w:val="0"/>
        </w:rPr>
        <w:t>Agenda i</w:t>
      </w:r>
      <w:r w:rsidR="00A96B21" w:rsidRPr="00441498">
        <w:rPr>
          <w:b w:val="0"/>
          <w:bCs w:val="0"/>
        </w:rPr>
        <w:t xml:space="preserve">tem </w:t>
      </w:r>
      <w:r w:rsidR="00924267">
        <w:rPr>
          <w:b w:val="0"/>
          <w:bCs w:val="0"/>
        </w:rPr>
        <w:t>10</w:t>
      </w:r>
      <w:r w:rsidR="00A96B21" w:rsidRPr="00441498">
        <w:rPr>
          <w:b w:val="0"/>
          <w:bCs w:val="0"/>
        </w:rPr>
        <w:t xml:space="preserve"> </w:t>
      </w:r>
    </w:p>
    <w:p w14:paraId="4F3B9CA0" w14:textId="7A73F985" w:rsidR="00A96B21" w:rsidRDefault="003E1569" w:rsidP="005E139E">
      <w:pPr>
        <w:pStyle w:val="AFCorNotBold"/>
        <w:jc w:val="left"/>
      </w:pPr>
      <w:r w:rsidRPr="003E1569">
        <w:t xml:space="preserve">Assessment and review of the effectiveness </w:t>
      </w:r>
      <w:r>
        <w:br/>
      </w:r>
      <w:r w:rsidRPr="003E1569">
        <w:t>of the Protocol</w:t>
      </w:r>
    </w:p>
    <w:p w14:paraId="11AD0D22" w14:textId="20F7DFFE" w:rsidR="007A7F22" w:rsidRPr="007A7F22" w:rsidRDefault="007A7F22" w:rsidP="00A96B21">
      <w:pPr>
        <w:pStyle w:val="Cornernotation-Item"/>
        <w:rPr>
          <w:b w:val="0"/>
          <w:bCs w:val="0"/>
        </w:rPr>
      </w:pPr>
      <w:r w:rsidRPr="007A7F22">
        <w:rPr>
          <w:b w:val="0"/>
          <w:bCs w:val="0"/>
        </w:rPr>
        <w:t>Working Group I</w:t>
      </w:r>
      <w:r w:rsidR="00E15315">
        <w:rPr>
          <w:b w:val="0"/>
          <w:bCs w:val="0"/>
        </w:rPr>
        <w:t>I</w:t>
      </w:r>
    </w:p>
    <w:bookmarkEnd w:id="0"/>
    <w:p w14:paraId="3CF490E6" w14:textId="62DDC028" w:rsidR="00A96B21" w:rsidRDefault="0002124D" w:rsidP="00924267">
      <w:pPr>
        <w:pStyle w:val="CBDTitle"/>
      </w:pPr>
      <w:sdt>
        <w:sdtPr>
          <w:rPr>
            <w:sz w:val="24"/>
            <w:szCs w:val="24"/>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Pr="0002124D">
            <w:rPr>
              <w:sz w:val="24"/>
              <w:szCs w:val="24"/>
            </w:rPr>
            <w:t>Development of the methodology for the second assessment and review of the effectiveness of the Nagoya Protocol</w:t>
          </w:r>
        </w:sdtContent>
      </w:sdt>
    </w:p>
    <w:p w14:paraId="0D679B2E" w14:textId="254200AA" w:rsidR="00A96B21" w:rsidRDefault="00FC0705"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decision submitted by the Chair of Working Group I</w:t>
      </w:r>
      <w:r w:rsidR="00E15315">
        <w:rPr>
          <w:rFonts w:ascii="Times New Roman" w:hAnsi="Times New Roman" w:cs="Times New Roman"/>
          <w:color w:val="auto"/>
        </w:rPr>
        <w:t>I</w:t>
      </w:r>
    </w:p>
    <w:p w14:paraId="55A7FF0D" w14:textId="077D2BED" w:rsidR="0030798D" w:rsidRPr="00991AE4" w:rsidRDefault="0030798D" w:rsidP="0030798D">
      <w:pPr>
        <w:pStyle w:val="Para2"/>
        <w:tabs>
          <w:tab w:val="clear" w:pos="1701"/>
        </w:tabs>
        <w:ind w:left="567" w:firstLine="567"/>
        <w:rPr>
          <w:i/>
          <w:iCs/>
          <w:lang w:val="en-GB"/>
        </w:rPr>
      </w:pPr>
      <w:r w:rsidRPr="00991AE4">
        <w:rPr>
          <w:i/>
          <w:iCs/>
          <w:lang w:val="en-GB"/>
        </w:rPr>
        <w:t>The Conference of the Parties serving as the meeting of the Parties to the Nagoya Protocol</w:t>
      </w:r>
      <w:r w:rsidRPr="00991AE4">
        <w:rPr>
          <w:lang w:val="en-GB"/>
        </w:rPr>
        <w:t>,</w:t>
      </w:r>
    </w:p>
    <w:p w14:paraId="28F07329" w14:textId="77777777" w:rsidR="0030798D" w:rsidRPr="00374B10" w:rsidRDefault="0030798D" w:rsidP="0030798D">
      <w:pPr>
        <w:pStyle w:val="Para2"/>
        <w:tabs>
          <w:tab w:val="clear" w:pos="1701"/>
        </w:tabs>
        <w:ind w:left="567" w:firstLine="567"/>
        <w:rPr>
          <w:lang w:val="en-GB"/>
        </w:rPr>
      </w:pPr>
      <w:r w:rsidRPr="00C507AE">
        <w:rPr>
          <w:i/>
          <w:iCs/>
          <w:lang w:val="en-GB"/>
        </w:rPr>
        <w:t>Recalling</w:t>
      </w:r>
      <w:r w:rsidRPr="00C507AE">
        <w:rPr>
          <w:lang w:val="en-GB"/>
        </w:rPr>
        <w:t xml:space="preserve"> </w:t>
      </w:r>
      <w:hyperlink r:id="rId14" w:history="1">
        <w:r w:rsidRPr="00C507AE">
          <w:rPr>
            <w:lang w:val="en-GB"/>
          </w:rPr>
          <w:t>Article 31</w:t>
        </w:r>
      </w:hyperlink>
      <w:r w:rsidRPr="00C507AE">
        <w:rPr>
          <w:lang w:val="en-GB"/>
        </w:rPr>
        <w:t xml:space="preserve"> of the Nagoya Protocol on Access to Genetic Resources and the Fair and Equitable Sharing of Benefits Arising from Their Utilization to the Convention on Biological Diversity,</w:t>
      </w:r>
      <w:r w:rsidRPr="00C507AE">
        <w:rPr>
          <w:rStyle w:val="FootnoteReference"/>
          <w:lang w:val="en-GB"/>
        </w:rPr>
        <w:footnoteReference w:id="2"/>
      </w:r>
    </w:p>
    <w:p w14:paraId="2B7EB2C7" w14:textId="39C6B64F" w:rsidR="0030798D" w:rsidRPr="00C507AE" w:rsidRDefault="0030798D" w:rsidP="0030798D">
      <w:pPr>
        <w:pStyle w:val="Para2"/>
        <w:tabs>
          <w:tab w:val="clear" w:pos="1701"/>
        </w:tabs>
        <w:ind w:left="567" w:firstLine="567"/>
        <w:rPr>
          <w:iCs/>
          <w:lang w:val="en-GB"/>
        </w:rPr>
      </w:pPr>
      <w:r w:rsidRPr="00C507AE">
        <w:rPr>
          <w:i/>
          <w:lang w:val="en-GB"/>
        </w:rPr>
        <w:t>Recalling also</w:t>
      </w:r>
      <w:r w:rsidRPr="00C507AE">
        <w:rPr>
          <w:iCs/>
          <w:lang w:val="en-GB"/>
        </w:rPr>
        <w:t xml:space="preserve"> decision NP-2/4 of 17 December 2016, in which the Conference of the Parties serving as the meeting of the Parties to the </w:t>
      </w:r>
      <w:bookmarkStart w:id="1" w:name="_Hlk180439856"/>
      <w:r w:rsidR="00202FDF">
        <w:rPr>
          <w:iCs/>
          <w:lang w:val="en-US"/>
        </w:rPr>
        <w:t xml:space="preserve">Nagoya </w:t>
      </w:r>
      <w:bookmarkEnd w:id="1"/>
      <w:r w:rsidRPr="00C507AE">
        <w:rPr>
          <w:iCs/>
          <w:lang w:val="en-GB"/>
        </w:rPr>
        <w:t xml:space="preserve">Protocol decided to conduct the first assessment and review of the Protocol </w:t>
      </w:r>
      <w:proofErr w:type="gramStart"/>
      <w:r w:rsidRPr="00C507AE">
        <w:rPr>
          <w:iCs/>
          <w:lang w:val="en-GB"/>
        </w:rPr>
        <w:t>on the basis of</w:t>
      </w:r>
      <w:proofErr w:type="gramEnd"/>
      <w:r w:rsidRPr="00C507AE">
        <w:rPr>
          <w:iCs/>
          <w:lang w:val="en-GB"/>
        </w:rPr>
        <w:t xml:space="preserve"> the elements in the annex to that decision, and the importance of continuity in approaches in order to ensure comparability of results,</w:t>
      </w:r>
    </w:p>
    <w:p w14:paraId="369D4FB0" w14:textId="32443183" w:rsidR="0030798D" w:rsidRPr="00374B10" w:rsidRDefault="0030798D" w:rsidP="0030798D">
      <w:pPr>
        <w:pStyle w:val="Para2"/>
        <w:tabs>
          <w:tab w:val="clear" w:pos="1701"/>
        </w:tabs>
        <w:ind w:left="567" w:firstLine="567"/>
        <w:rPr>
          <w:lang w:val="en-GB"/>
        </w:rPr>
      </w:pPr>
      <w:r w:rsidRPr="00374B10">
        <w:rPr>
          <w:i/>
          <w:iCs/>
          <w:lang w:val="en-GB"/>
        </w:rPr>
        <w:t>Recalling further</w:t>
      </w:r>
      <w:r w:rsidRPr="00374B10">
        <w:rPr>
          <w:lang w:val="en-GB"/>
        </w:rPr>
        <w:t xml:space="preserve"> decision NP-3/1 A of 25 November 2018, in which the </w:t>
      </w:r>
      <w:bookmarkStart w:id="2" w:name="_Hlk163362197"/>
      <w:r w:rsidRPr="00374B10">
        <w:rPr>
          <w:lang w:val="en-GB"/>
        </w:rPr>
        <w:t xml:space="preserve">Conference of the Parties serving as the meeting of the Parties to the </w:t>
      </w:r>
      <w:r w:rsidR="00202FDF">
        <w:rPr>
          <w:iCs/>
          <w:lang w:val="en-US"/>
        </w:rPr>
        <w:t xml:space="preserve">Nagoya </w:t>
      </w:r>
      <w:r w:rsidRPr="00374B10">
        <w:rPr>
          <w:lang w:val="en-GB"/>
        </w:rPr>
        <w:t xml:space="preserve">Protocol </w:t>
      </w:r>
      <w:bookmarkEnd w:id="2"/>
      <w:r w:rsidRPr="00374B10">
        <w:rPr>
          <w:lang w:val="en-GB"/>
        </w:rPr>
        <w:t>identified additional elements to consider for the second assessment and review of the effectiveness of the Protocol and requested the Executive Secretary to carry out a targeted survey on challenges related to the implementation of the Protocol and to seek feedback from all types of users of the Access and Benefit-sharing Clearing-House on its implementation and operation,</w:t>
      </w:r>
    </w:p>
    <w:p w14:paraId="4C06F325" w14:textId="037CD51E" w:rsidR="0030798D" w:rsidRPr="00374B10" w:rsidRDefault="0030798D" w:rsidP="0030798D">
      <w:pPr>
        <w:pStyle w:val="Para2"/>
        <w:tabs>
          <w:tab w:val="clear" w:pos="1701"/>
        </w:tabs>
        <w:ind w:left="567" w:firstLine="567"/>
        <w:rPr>
          <w:lang w:val="en-GB"/>
        </w:rPr>
      </w:pPr>
      <w:r w:rsidRPr="00374B10">
        <w:rPr>
          <w:i/>
          <w:iCs/>
          <w:lang w:val="en-GB"/>
        </w:rPr>
        <w:t xml:space="preserve">Recalling </w:t>
      </w:r>
      <w:r w:rsidRPr="00374B10">
        <w:rPr>
          <w:lang w:val="en-GB"/>
        </w:rPr>
        <w:t xml:space="preserve">decision NP-4/3 of 10 December 2022, by which the Conference of the Parties serving as the meeting of the Parties to the </w:t>
      </w:r>
      <w:r w:rsidR="00202FDF">
        <w:rPr>
          <w:iCs/>
          <w:lang w:val="en-US"/>
        </w:rPr>
        <w:t xml:space="preserve">Nagoya </w:t>
      </w:r>
      <w:r w:rsidRPr="00374B10">
        <w:rPr>
          <w:lang w:val="en-GB"/>
        </w:rPr>
        <w:t>Protocol adopted the guidelines and format for the first national report on the implementation of the Protocol,</w:t>
      </w:r>
    </w:p>
    <w:p w14:paraId="41AAB4F9" w14:textId="1879C3C1" w:rsidR="0030798D" w:rsidRPr="00C507AE" w:rsidRDefault="0030798D" w:rsidP="0030798D">
      <w:pPr>
        <w:pStyle w:val="Para2"/>
        <w:tabs>
          <w:tab w:val="clear" w:pos="1701"/>
        </w:tabs>
        <w:ind w:left="567" w:firstLine="567"/>
        <w:rPr>
          <w:lang w:val="en-GB"/>
        </w:rPr>
      </w:pPr>
      <w:r w:rsidRPr="00C507AE">
        <w:rPr>
          <w:i/>
          <w:lang w:val="en-GB"/>
        </w:rPr>
        <w:t>Recalling</w:t>
      </w:r>
      <w:r w:rsidRPr="00C507AE">
        <w:rPr>
          <w:lang w:val="en-GB"/>
        </w:rPr>
        <w:t xml:space="preserve"> </w:t>
      </w:r>
      <w:r w:rsidRPr="00C507AE">
        <w:rPr>
          <w:i/>
          <w:lang w:val="en-GB"/>
        </w:rPr>
        <w:t>also</w:t>
      </w:r>
      <w:r w:rsidRPr="00C507AE">
        <w:rPr>
          <w:lang w:val="en-GB"/>
        </w:rPr>
        <w:t xml:space="preserve"> decisions 15/9 of 19 December 2022 of </w:t>
      </w:r>
      <w:r w:rsidRPr="00374B10">
        <w:rPr>
          <w:lang w:val="en-GB"/>
        </w:rPr>
        <w:t xml:space="preserve">the Conference of the Parties to the Convention on Biological Diversity </w:t>
      </w:r>
      <w:r w:rsidRPr="00C507AE">
        <w:rPr>
          <w:lang w:val="en-GB"/>
        </w:rPr>
        <w:t xml:space="preserve">and </w:t>
      </w:r>
      <w:r w:rsidRPr="00374B10">
        <w:rPr>
          <w:szCs w:val="22"/>
          <w:lang w:val="en-GB"/>
        </w:rPr>
        <w:t xml:space="preserve">NP-4/6 of 19 December 2022 of </w:t>
      </w:r>
      <w:r w:rsidRPr="00374B10">
        <w:rPr>
          <w:lang w:val="en-GB"/>
        </w:rPr>
        <w:t xml:space="preserve">the Conference of the Parties serving as the meeting of the Parties to the </w:t>
      </w:r>
      <w:r w:rsidR="00202FDF">
        <w:rPr>
          <w:iCs/>
          <w:lang w:val="en-US"/>
        </w:rPr>
        <w:t xml:space="preserve">Nagoya </w:t>
      </w:r>
      <w:r w:rsidRPr="00374B10">
        <w:rPr>
          <w:lang w:val="en-GB"/>
        </w:rPr>
        <w:t>Protocol</w:t>
      </w:r>
      <w:r w:rsidRPr="00374B10">
        <w:rPr>
          <w:szCs w:val="22"/>
          <w:lang w:val="en-GB"/>
        </w:rPr>
        <w:t xml:space="preserve"> on digital sequence information on genetic resources</w:t>
      </w:r>
      <w:bookmarkStart w:id="3" w:name="_Hlk167636360"/>
      <w:r w:rsidRPr="00C507AE">
        <w:rPr>
          <w:lang w:val="en-GB"/>
        </w:rPr>
        <w:t>,</w:t>
      </w:r>
      <w:bookmarkEnd w:id="3"/>
    </w:p>
    <w:p w14:paraId="4FA6F4B9" w14:textId="77777777" w:rsidR="0030798D" w:rsidRPr="00374B10" w:rsidRDefault="0030798D" w:rsidP="0030798D">
      <w:pPr>
        <w:pStyle w:val="Para1"/>
        <w:numPr>
          <w:ilvl w:val="0"/>
          <w:numId w:val="0"/>
        </w:numPr>
        <w:tabs>
          <w:tab w:val="clear" w:pos="1134"/>
        </w:tabs>
        <w:ind w:left="567" w:firstLine="567"/>
        <w:rPr>
          <w:lang w:val="en-GB"/>
        </w:rPr>
      </w:pPr>
      <w:r w:rsidRPr="00374B10">
        <w:rPr>
          <w:lang w:val="en-GB"/>
        </w:rPr>
        <w:lastRenderedPageBreak/>
        <w:t>1.</w:t>
      </w:r>
      <w:r w:rsidRPr="00374B10">
        <w:rPr>
          <w:lang w:val="en-GB"/>
        </w:rPr>
        <w:tab/>
      </w:r>
      <w:r w:rsidRPr="00374B10">
        <w:rPr>
          <w:i/>
          <w:lang w:val="en-GB"/>
        </w:rPr>
        <w:t>Decides</w:t>
      </w:r>
      <w:r w:rsidRPr="00374B10">
        <w:rPr>
          <w:lang w:val="en-GB"/>
        </w:rPr>
        <w:t xml:space="preserve"> to conduct the second assessment and review of the effectiveness of the Nagoya Protocol </w:t>
      </w:r>
      <w:r w:rsidRPr="00C507AE">
        <w:rPr>
          <w:lang w:val="en-GB"/>
        </w:rPr>
        <w:t>on Access to Genetic Resources and the Fair and Equitable Sharing of Benefits Arising from Their Utilization to the Convention on Biological Diversity</w:t>
      </w:r>
      <w:r w:rsidRPr="00374B10">
        <w:rPr>
          <w:lang w:val="en-GB"/>
        </w:rPr>
        <w:t xml:space="preserve"> on the basis of the elements in the annex to the present </w:t>
      </w:r>
      <w:proofErr w:type="gramStart"/>
      <w:r w:rsidRPr="00374B10">
        <w:rPr>
          <w:lang w:val="en-GB"/>
        </w:rPr>
        <w:t>decision;</w:t>
      </w:r>
      <w:proofErr w:type="gramEnd"/>
    </w:p>
    <w:p w14:paraId="53073087" w14:textId="0AB46AF3" w:rsidR="0030798D" w:rsidRPr="00374B10" w:rsidRDefault="0030798D" w:rsidP="0030798D">
      <w:pPr>
        <w:pStyle w:val="Para1"/>
        <w:numPr>
          <w:ilvl w:val="0"/>
          <w:numId w:val="0"/>
        </w:numPr>
        <w:tabs>
          <w:tab w:val="clear" w:pos="1134"/>
        </w:tabs>
        <w:ind w:left="567" w:firstLine="567"/>
        <w:rPr>
          <w:lang w:val="en-GB"/>
        </w:rPr>
      </w:pPr>
      <w:r w:rsidRPr="00374B10">
        <w:rPr>
          <w:lang w:val="en-GB"/>
        </w:rPr>
        <w:t>2.</w:t>
      </w:r>
      <w:r w:rsidRPr="00374B10">
        <w:rPr>
          <w:lang w:val="en-GB"/>
        </w:rPr>
        <w:tab/>
      </w:r>
      <w:r w:rsidRPr="00374B10">
        <w:rPr>
          <w:i/>
          <w:iCs/>
          <w:lang w:val="en-GB"/>
        </w:rPr>
        <w:t>Urges</w:t>
      </w:r>
      <w:r w:rsidRPr="00374B10">
        <w:rPr>
          <w:lang w:val="en-GB"/>
        </w:rPr>
        <w:t xml:space="preserve"> Parties and encourages other Governments, relevant organizations, indigenous peoples and local communities and women and youth representatives to publish information on the Access and Benefit-sharing Clearing-House so </w:t>
      </w:r>
      <w:r w:rsidRPr="00374B10" w:rsidDel="00FD2763">
        <w:rPr>
          <w:lang w:val="en-GB"/>
        </w:rPr>
        <w:t xml:space="preserve">that </w:t>
      </w:r>
      <w:r w:rsidRPr="00374B10">
        <w:rPr>
          <w:lang w:val="en-GB"/>
        </w:rPr>
        <w:t xml:space="preserve">it is available for the second assessment and review of the effectiveness of the </w:t>
      </w:r>
      <w:r w:rsidR="00862B8D">
        <w:rPr>
          <w:iCs/>
          <w:lang w:val="en-US"/>
        </w:rPr>
        <w:t xml:space="preserve">Nagoya </w:t>
      </w:r>
      <w:r w:rsidRPr="00374B10">
        <w:rPr>
          <w:lang w:val="en-GB"/>
        </w:rPr>
        <w:t>Protocol;</w:t>
      </w:r>
    </w:p>
    <w:p w14:paraId="55DD8448" w14:textId="30B23843" w:rsidR="0030798D" w:rsidRPr="00374B10" w:rsidRDefault="0030798D" w:rsidP="0030798D">
      <w:pPr>
        <w:pStyle w:val="Para1"/>
        <w:numPr>
          <w:ilvl w:val="0"/>
          <w:numId w:val="0"/>
        </w:numPr>
        <w:tabs>
          <w:tab w:val="clear" w:pos="1134"/>
        </w:tabs>
        <w:ind w:left="567" w:firstLine="567"/>
        <w:rPr>
          <w:lang w:val="en-GB"/>
        </w:rPr>
      </w:pPr>
      <w:r w:rsidRPr="00374B10">
        <w:rPr>
          <w:lang w:val="en-GB"/>
        </w:rPr>
        <w:t>3.</w:t>
      </w:r>
      <w:r w:rsidRPr="00374B10">
        <w:rPr>
          <w:lang w:val="en-GB"/>
        </w:rPr>
        <w:tab/>
      </w:r>
      <w:r w:rsidRPr="00374B10">
        <w:rPr>
          <w:i/>
          <w:iCs/>
          <w:lang w:val="en-GB"/>
        </w:rPr>
        <w:t xml:space="preserve">Emphasizes </w:t>
      </w:r>
      <w:r w:rsidRPr="00374B10">
        <w:rPr>
          <w:lang w:val="en-GB"/>
        </w:rPr>
        <w:t xml:space="preserve">that Parties should submit their first national reports on the implementation of the </w:t>
      </w:r>
      <w:r w:rsidR="00862B8D">
        <w:rPr>
          <w:iCs/>
          <w:lang w:val="en-US"/>
        </w:rPr>
        <w:t xml:space="preserve">Nagoya </w:t>
      </w:r>
      <w:r w:rsidRPr="00374B10">
        <w:rPr>
          <w:lang w:val="en-GB"/>
        </w:rPr>
        <w:t xml:space="preserve">Protocol by 28 February 2026 in order to facilitate the analysis for the second assessment and review of the effectiveness of the </w:t>
      </w:r>
      <w:proofErr w:type="gramStart"/>
      <w:r w:rsidRPr="00374B10">
        <w:rPr>
          <w:lang w:val="en-GB"/>
        </w:rPr>
        <w:t>Protocol;</w:t>
      </w:r>
      <w:proofErr w:type="gramEnd"/>
    </w:p>
    <w:p w14:paraId="2E28A4CF" w14:textId="77777777" w:rsidR="0030798D" w:rsidRPr="00374B10" w:rsidRDefault="0030798D" w:rsidP="0030798D">
      <w:pPr>
        <w:pStyle w:val="Para1"/>
        <w:numPr>
          <w:ilvl w:val="0"/>
          <w:numId w:val="0"/>
        </w:numPr>
        <w:tabs>
          <w:tab w:val="clear" w:pos="1134"/>
        </w:tabs>
        <w:ind w:left="567" w:firstLine="567"/>
        <w:rPr>
          <w:lang w:val="en-GB"/>
        </w:rPr>
      </w:pPr>
      <w:r w:rsidRPr="00374B10">
        <w:rPr>
          <w:iCs/>
          <w:lang w:val="en-GB"/>
        </w:rPr>
        <w:t>4.</w:t>
      </w:r>
      <w:r w:rsidRPr="00374B10">
        <w:rPr>
          <w:i/>
          <w:lang w:val="en-GB"/>
        </w:rPr>
        <w:tab/>
        <w:t xml:space="preserve">Urges </w:t>
      </w:r>
      <w:r w:rsidRPr="00374B10">
        <w:rPr>
          <w:lang w:val="en-GB"/>
        </w:rPr>
        <w:t xml:space="preserve">eligible Parties to submit their letters of commitment to the implementing agency in a timely manner to ensure that projects to support the preparation of </w:t>
      </w:r>
      <w:r>
        <w:rPr>
          <w:lang w:val="en-GB"/>
        </w:rPr>
        <w:t xml:space="preserve">their </w:t>
      </w:r>
      <w:r w:rsidRPr="00374B10">
        <w:rPr>
          <w:lang w:val="en-GB"/>
        </w:rPr>
        <w:t>first national reports are submitted to the Global Environment Facility for approval well before the deadline for the submission of the reports;</w:t>
      </w:r>
    </w:p>
    <w:p w14:paraId="68476D31" w14:textId="40252028" w:rsidR="0030798D" w:rsidRPr="00374B10" w:rsidRDefault="0030798D" w:rsidP="0030798D">
      <w:pPr>
        <w:pStyle w:val="Para1"/>
        <w:numPr>
          <w:ilvl w:val="0"/>
          <w:numId w:val="0"/>
        </w:numPr>
        <w:tabs>
          <w:tab w:val="clear" w:pos="1134"/>
        </w:tabs>
        <w:ind w:left="567" w:firstLine="567"/>
        <w:rPr>
          <w:lang w:val="en-GB"/>
        </w:rPr>
      </w:pPr>
      <w:r w:rsidRPr="00374B10">
        <w:rPr>
          <w:iCs/>
          <w:lang w:val="en-GB"/>
        </w:rPr>
        <w:t>5.</w:t>
      </w:r>
      <w:r w:rsidRPr="00374B10">
        <w:rPr>
          <w:i/>
          <w:lang w:val="en-GB"/>
        </w:rPr>
        <w:tab/>
      </w:r>
      <w:r w:rsidR="00037D7B">
        <w:rPr>
          <w:i/>
          <w:lang w:val="en-GB"/>
        </w:rPr>
        <w:t>Requests</w:t>
      </w:r>
      <w:r w:rsidRPr="00374B10">
        <w:rPr>
          <w:i/>
          <w:lang w:val="en-GB"/>
        </w:rPr>
        <w:t xml:space="preserve"> </w:t>
      </w:r>
      <w:r w:rsidRPr="00374B10">
        <w:rPr>
          <w:iCs/>
          <w:lang w:val="en-GB"/>
        </w:rPr>
        <w:t>the Global Environment Facility and the</w:t>
      </w:r>
      <w:r w:rsidRPr="00374B10">
        <w:rPr>
          <w:i/>
          <w:lang w:val="en-GB"/>
        </w:rPr>
        <w:t xml:space="preserve"> </w:t>
      </w:r>
      <w:r w:rsidRPr="00374B10">
        <w:rPr>
          <w:lang w:val="en-GB"/>
        </w:rPr>
        <w:t xml:space="preserve">implementing agencies to facilitate the </w:t>
      </w:r>
      <w:r w:rsidRPr="00374B10">
        <w:rPr>
          <w:iCs/>
          <w:lang w:val="en-GB"/>
        </w:rPr>
        <w:t>relevant processes</w:t>
      </w:r>
      <w:r w:rsidRPr="00374B10">
        <w:rPr>
          <w:lang w:val="en-GB"/>
        </w:rPr>
        <w:t xml:space="preserve"> in a timely manner in order to ensure that support is provided to Parties that submit their letters of </w:t>
      </w:r>
      <w:proofErr w:type="gramStart"/>
      <w:r w:rsidRPr="00374B10">
        <w:rPr>
          <w:lang w:val="en-GB"/>
        </w:rPr>
        <w:t>commitment;</w:t>
      </w:r>
      <w:proofErr w:type="gramEnd"/>
    </w:p>
    <w:p w14:paraId="1734E265" w14:textId="77777777" w:rsidR="0030798D" w:rsidRPr="00374B10" w:rsidRDefault="0030798D" w:rsidP="0030798D">
      <w:pPr>
        <w:pStyle w:val="Para1"/>
        <w:numPr>
          <w:ilvl w:val="0"/>
          <w:numId w:val="0"/>
        </w:numPr>
        <w:tabs>
          <w:tab w:val="clear" w:pos="1134"/>
        </w:tabs>
        <w:ind w:left="567" w:firstLine="567"/>
        <w:rPr>
          <w:lang w:val="en-GB"/>
        </w:rPr>
      </w:pPr>
      <w:r w:rsidRPr="00374B10">
        <w:rPr>
          <w:lang w:val="en-GB"/>
        </w:rPr>
        <w:t>6.</w:t>
      </w:r>
      <w:r w:rsidRPr="00374B10">
        <w:rPr>
          <w:lang w:val="en-GB"/>
        </w:rPr>
        <w:tab/>
      </w:r>
      <w:r w:rsidRPr="00374B10">
        <w:rPr>
          <w:i/>
          <w:iCs/>
          <w:lang w:val="en-GB"/>
        </w:rPr>
        <w:t>Invites</w:t>
      </w:r>
      <w:r w:rsidRPr="00374B10">
        <w:rPr>
          <w:lang w:val="en-GB"/>
        </w:rPr>
        <w:t xml:space="preserve"> Parties, other Governments, indigenous peoples and local communities, women and youth representatives and relevant stakeholders and other organizations to respond to the targeted surveys to be carried out by the Executive Secretary pursuant to paragraphs 18 (a) and 20 (c) of decision NP</w:t>
      </w:r>
      <w:r w:rsidRPr="00374B10">
        <w:rPr>
          <w:lang w:val="en-GB"/>
        </w:rPr>
        <w:noBreakHyphen/>
        <w:t>3/1 A and to submit their views in order to inform a preliminary review of the compliance procedures and mechanisms set out in the annex to decision NP-1/4 of 17 October 2014;</w:t>
      </w:r>
    </w:p>
    <w:p w14:paraId="62DDFE40" w14:textId="77777777" w:rsidR="0030798D" w:rsidRPr="00374B10" w:rsidRDefault="0030798D" w:rsidP="0030798D">
      <w:pPr>
        <w:pStyle w:val="Para1"/>
        <w:numPr>
          <w:ilvl w:val="0"/>
          <w:numId w:val="0"/>
        </w:numPr>
        <w:tabs>
          <w:tab w:val="clear" w:pos="1134"/>
        </w:tabs>
        <w:ind w:left="567" w:firstLine="567"/>
        <w:rPr>
          <w:lang w:val="en-GB"/>
        </w:rPr>
      </w:pPr>
      <w:r w:rsidRPr="00374B10">
        <w:rPr>
          <w:lang w:val="en-GB"/>
        </w:rPr>
        <w:t>7.</w:t>
      </w:r>
      <w:r w:rsidRPr="00374B10">
        <w:rPr>
          <w:lang w:val="en-GB"/>
        </w:rPr>
        <w:tab/>
      </w:r>
      <w:r w:rsidRPr="00374B10">
        <w:rPr>
          <w:i/>
          <w:lang w:val="en-GB"/>
        </w:rPr>
        <w:t>Requests</w:t>
      </w:r>
      <w:r w:rsidRPr="00374B10">
        <w:rPr>
          <w:lang w:val="en-GB"/>
        </w:rPr>
        <w:t xml:space="preserve"> the Executive Secretary:</w:t>
      </w:r>
    </w:p>
    <w:p w14:paraId="796FDAFA" w14:textId="7661BD91" w:rsidR="0030798D" w:rsidRPr="00C507AE" w:rsidRDefault="0030798D" w:rsidP="0030798D">
      <w:pPr>
        <w:pStyle w:val="Para2"/>
        <w:ind w:left="567" w:firstLine="567"/>
        <w:rPr>
          <w:lang w:val="en-GB"/>
        </w:rPr>
      </w:pPr>
      <w:r w:rsidRPr="00374B10">
        <w:rPr>
          <w:lang w:val="en-GB"/>
        </w:rPr>
        <w:t>(a)</w:t>
      </w:r>
      <w:r w:rsidRPr="00374B10">
        <w:rPr>
          <w:lang w:val="en-GB"/>
        </w:rPr>
        <w:tab/>
        <w:t xml:space="preserve">To analyse and synthesize information on the implementation of the </w:t>
      </w:r>
      <w:r w:rsidR="00862B8D">
        <w:rPr>
          <w:iCs/>
          <w:lang w:val="en-US"/>
        </w:rPr>
        <w:t xml:space="preserve">Nagoya </w:t>
      </w:r>
      <w:r w:rsidRPr="00374B10">
        <w:rPr>
          <w:lang w:val="en-GB"/>
        </w:rPr>
        <w:t>Protocol using the sources of information listed in the annex to the present decision, measure the indicators in the framework of indicators presented in annex II to decision NP-3/1 A and make the information available to the Informal Advisory Committee on Capacity-building for the Implementation of the Nagoya Protocol, the Compliance Committee under the Nagoya Protocol and the Subsidiary Body on Implementation;</w:t>
      </w:r>
    </w:p>
    <w:p w14:paraId="5330A114" w14:textId="77777777" w:rsidR="0030798D" w:rsidRPr="00C507AE" w:rsidRDefault="0030798D" w:rsidP="0030798D">
      <w:pPr>
        <w:pStyle w:val="Para2"/>
        <w:ind w:left="567" w:firstLine="567"/>
        <w:rPr>
          <w:lang w:val="en-GB"/>
        </w:rPr>
      </w:pPr>
      <w:r w:rsidRPr="00C507AE">
        <w:rPr>
          <w:lang w:val="en-GB"/>
        </w:rPr>
        <w:t>(b)</w:t>
      </w:r>
      <w:r w:rsidRPr="00C507AE">
        <w:rPr>
          <w:lang w:val="en-GB"/>
        </w:rPr>
        <w:tab/>
        <w:t>To commission a scoping study, subject to the availability of resources, on the possible reasons and underlying root causes for the challenges to effective implementation and compliance</w:t>
      </w:r>
      <w:r w:rsidRPr="00374B10">
        <w:rPr>
          <w:lang w:val="en-GB"/>
        </w:rPr>
        <w:t xml:space="preserve"> and on </w:t>
      </w:r>
      <w:r w:rsidRPr="00C507AE">
        <w:rPr>
          <w:lang w:val="en-GB"/>
        </w:rPr>
        <w:t>possible ways to enhance implementation,</w:t>
      </w:r>
      <w:r w:rsidRPr="00374B10">
        <w:rPr>
          <w:lang w:val="en-GB"/>
        </w:rPr>
        <w:t xml:space="preserve"> taking into account </w:t>
      </w:r>
      <w:r w:rsidRPr="00C507AE">
        <w:rPr>
          <w:lang w:val="en-GB"/>
        </w:rPr>
        <w:t xml:space="preserve">the specific challenges faced by developing country Parties, including those related to means of </w:t>
      </w:r>
      <w:proofErr w:type="gramStart"/>
      <w:r w:rsidRPr="00C507AE">
        <w:rPr>
          <w:lang w:val="en-GB"/>
        </w:rPr>
        <w:t>implementation;</w:t>
      </w:r>
      <w:proofErr w:type="gramEnd"/>
    </w:p>
    <w:p w14:paraId="0BA06AA3" w14:textId="0307CD5D" w:rsidR="0030798D" w:rsidRPr="00C507AE" w:rsidRDefault="0030798D" w:rsidP="0030798D">
      <w:pPr>
        <w:pStyle w:val="Para2"/>
        <w:ind w:left="567" w:firstLine="567"/>
        <w:rPr>
          <w:lang w:val="en-GB"/>
        </w:rPr>
      </w:pPr>
      <w:r w:rsidRPr="00C507AE">
        <w:rPr>
          <w:lang w:val="en-GB"/>
        </w:rPr>
        <w:t>(c)</w:t>
      </w:r>
      <w:r w:rsidRPr="00C507AE">
        <w:rPr>
          <w:lang w:val="en-GB"/>
        </w:rPr>
        <w:tab/>
        <w:t xml:space="preserve">To include the main conclusions of the study within the context of the elements for the second assessment and review of the effectiveness of the </w:t>
      </w:r>
      <w:r w:rsidR="00862B8D">
        <w:rPr>
          <w:iCs/>
          <w:lang w:val="en-US"/>
        </w:rPr>
        <w:t xml:space="preserve">Nagoya </w:t>
      </w:r>
      <w:r w:rsidRPr="00C507AE">
        <w:rPr>
          <w:lang w:val="en-GB"/>
        </w:rPr>
        <w:t>Protocol as a complementary source of information, as relevant;</w:t>
      </w:r>
    </w:p>
    <w:p w14:paraId="2427B80C" w14:textId="0FAD970B" w:rsidR="0030798D" w:rsidRPr="00374B10" w:rsidRDefault="0030798D" w:rsidP="0030798D">
      <w:pPr>
        <w:pStyle w:val="Para1"/>
        <w:numPr>
          <w:ilvl w:val="0"/>
          <w:numId w:val="0"/>
        </w:numPr>
        <w:tabs>
          <w:tab w:val="clear" w:pos="1134"/>
        </w:tabs>
        <w:ind w:left="567" w:firstLine="567"/>
        <w:rPr>
          <w:lang w:val="en-GB"/>
        </w:rPr>
      </w:pPr>
      <w:r w:rsidRPr="00374B10">
        <w:rPr>
          <w:lang w:val="en-GB"/>
        </w:rPr>
        <w:t>8.</w:t>
      </w:r>
      <w:r w:rsidRPr="00374B10">
        <w:rPr>
          <w:lang w:val="en-GB"/>
        </w:rPr>
        <w:tab/>
      </w:r>
      <w:r w:rsidRPr="00374B10">
        <w:rPr>
          <w:i/>
          <w:lang w:val="en-GB"/>
        </w:rPr>
        <w:t>Requests</w:t>
      </w:r>
      <w:r w:rsidRPr="00374B10">
        <w:rPr>
          <w:lang w:val="en-GB"/>
        </w:rPr>
        <w:t xml:space="preserve"> the Informal Advisory Committee on Capacity-building for the Implementation of the </w:t>
      </w:r>
      <w:r w:rsidR="00862B8D">
        <w:rPr>
          <w:iCs/>
          <w:lang w:val="en-US"/>
        </w:rPr>
        <w:t xml:space="preserve">Nagoya </w:t>
      </w:r>
      <w:r w:rsidRPr="00374B10">
        <w:rPr>
          <w:lang w:val="en-GB"/>
        </w:rPr>
        <w:t>Protocol</w:t>
      </w:r>
      <w:r w:rsidRPr="00374B10">
        <w:rPr>
          <w:rStyle w:val="FootnoteReference"/>
          <w:lang w:val="en-GB"/>
        </w:rPr>
        <w:footnoteReference w:id="3"/>
      </w:r>
      <w:r w:rsidRPr="00374B10">
        <w:rPr>
          <w:lang w:val="en-GB"/>
        </w:rPr>
        <w:t xml:space="preserve"> and the Compliance Committee under the Nagoya Protocol, working in a complementary and non-duplicative manner, to contribute to the second assessment and review of the effectiveness of the Protocol and to submit their conclusions for consideration by the Subsidiary Body on Implementation at its sixth meeting.</w:t>
      </w:r>
    </w:p>
    <w:p w14:paraId="22CC6D1E" w14:textId="77777777" w:rsidR="0030798D" w:rsidRPr="00374B10" w:rsidRDefault="0030798D" w:rsidP="0030798D">
      <w:pPr>
        <w:pStyle w:val="CBDDesicionAnnex"/>
        <w:keepNext w:val="0"/>
        <w:keepLines w:val="0"/>
        <w:rPr>
          <w:b/>
          <w:szCs w:val="24"/>
          <w:lang w:val="en-GB"/>
        </w:rPr>
      </w:pPr>
      <w:r w:rsidRPr="00374B10">
        <w:rPr>
          <w:rFonts w:hint="eastAsia"/>
          <w:lang w:val="en-GB"/>
        </w:rPr>
        <w:lastRenderedPageBreak/>
        <w:t xml:space="preserve">Annex </w:t>
      </w:r>
      <w:r w:rsidRPr="00374B10">
        <w:rPr>
          <w:rFonts w:hint="eastAsia"/>
          <w:lang w:val="en-GB"/>
        </w:rPr>
        <w:br/>
        <w:t>Elements</w:t>
      </w:r>
      <w:r w:rsidRPr="00374B10">
        <w:rPr>
          <w:rFonts w:hint="eastAsia"/>
          <w:szCs w:val="24"/>
          <w:lang w:val="en-GB"/>
        </w:rPr>
        <w:t xml:space="preserve"> and sources of information for the second assessment and review of the effectiveness of the Nagoya Protocol</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4765"/>
      </w:tblGrid>
      <w:tr w:rsidR="0030798D" w:rsidRPr="00374B10" w14:paraId="3ED51C5E" w14:textId="77777777" w:rsidTr="00454C2A">
        <w:trPr>
          <w:tblHeader/>
          <w:jc w:val="right"/>
        </w:trPr>
        <w:tc>
          <w:tcPr>
            <w:tcW w:w="4390" w:type="dxa"/>
            <w:tcBorders>
              <w:top w:val="single" w:sz="4" w:space="0" w:color="auto"/>
              <w:left w:val="single" w:sz="4" w:space="0" w:color="auto"/>
              <w:bottom w:val="single" w:sz="4" w:space="0" w:color="auto"/>
              <w:right w:val="single" w:sz="4" w:space="0" w:color="auto"/>
            </w:tcBorders>
            <w:hideMark/>
          </w:tcPr>
          <w:p w14:paraId="1782D9B0" w14:textId="77777777" w:rsidR="0030798D" w:rsidRPr="00374B10" w:rsidRDefault="0030798D" w:rsidP="00454C2A">
            <w:pPr>
              <w:spacing w:before="40" w:after="40"/>
              <w:ind w:left="40" w:right="40"/>
              <w:jc w:val="left"/>
              <w:rPr>
                <w:i/>
                <w:iCs/>
                <w:snapToGrid w:val="0"/>
                <w:kern w:val="22"/>
                <w:sz w:val="20"/>
                <w:szCs w:val="20"/>
                <w:lang w:val="en-GB"/>
              </w:rPr>
            </w:pPr>
            <w:r w:rsidRPr="00374B10">
              <w:rPr>
                <w:i/>
                <w:iCs/>
                <w:snapToGrid w:val="0"/>
                <w:kern w:val="22"/>
                <w:sz w:val="20"/>
                <w:szCs w:val="20"/>
                <w:lang w:val="en-GB"/>
              </w:rPr>
              <w:t>Element</w:t>
            </w:r>
          </w:p>
        </w:tc>
        <w:tc>
          <w:tcPr>
            <w:tcW w:w="4765" w:type="dxa"/>
            <w:tcBorders>
              <w:top w:val="single" w:sz="4" w:space="0" w:color="auto"/>
              <w:left w:val="single" w:sz="4" w:space="0" w:color="auto"/>
              <w:bottom w:val="single" w:sz="4" w:space="0" w:color="auto"/>
              <w:right w:val="single" w:sz="4" w:space="0" w:color="auto"/>
            </w:tcBorders>
            <w:hideMark/>
          </w:tcPr>
          <w:p w14:paraId="11E5FAD9" w14:textId="77777777" w:rsidR="0030798D" w:rsidRPr="00374B10" w:rsidRDefault="0030798D" w:rsidP="00454C2A">
            <w:pPr>
              <w:spacing w:before="40" w:after="40"/>
              <w:ind w:left="40" w:right="40"/>
              <w:jc w:val="left"/>
              <w:rPr>
                <w:i/>
                <w:iCs/>
                <w:snapToGrid w:val="0"/>
                <w:kern w:val="22"/>
                <w:sz w:val="20"/>
                <w:szCs w:val="20"/>
                <w:lang w:val="en-GB"/>
              </w:rPr>
            </w:pPr>
            <w:r w:rsidRPr="00374B10">
              <w:rPr>
                <w:i/>
                <w:iCs/>
                <w:snapToGrid w:val="0"/>
                <w:kern w:val="22"/>
                <w:sz w:val="20"/>
                <w:szCs w:val="20"/>
                <w:lang w:val="en-GB"/>
              </w:rPr>
              <w:t>Sources of information</w:t>
            </w:r>
          </w:p>
        </w:tc>
      </w:tr>
      <w:tr w:rsidR="0030798D" w:rsidRPr="00374B10" w14:paraId="4F4514C1"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14:paraId="10AE0B35" w14:textId="77777777" w:rsidR="0030798D" w:rsidRPr="00374B10" w:rsidRDefault="0030798D" w:rsidP="00454C2A">
            <w:pPr>
              <w:pStyle w:val="ListParagraph"/>
              <w:spacing w:before="40" w:after="40"/>
              <w:ind w:left="0" w:right="40"/>
              <w:rPr>
                <w:snapToGrid w:val="0"/>
                <w:kern w:val="22"/>
                <w:sz w:val="20"/>
                <w:szCs w:val="20"/>
                <w:lang w:val="en-GB"/>
              </w:rPr>
            </w:pPr>
            <w:r w:rsidRPr="00374B10">
              <w:rPr>
                <w:snapToGrid w:val="0"/>
                <w:kern w:val="22"/>
                <w:sz w:val="20"/>
                <w:szCs w:val="20"/>
                <w:lang w:val="en-GB"/>
              </w:rPr>
              <w:t>(a) Extent of implementation of the provisions of the Nagoya Protocol and related obligations of Parties, including assessment of progress by Parties in establishing institutional structures and access and benefit-sharing measures to implement the Protocol</w:t>
            </w:r>
            <w:r w:rsidRPr="00374B10">
              <w:rPr>
                <w:sz w:val="20"/>
                <w:szCs w:val="20"/>
                <w:lang w:val="en-GB"/>
              </w:rPr>
              <w:t xml:space="preserve"> (this includes Articles 4</w:t>
            </w:r>
            <w:r w:rsidRPr="00374B10">
              <w:rPr>
                <w:rFonts w:ascii="Symbol" w:eastAsia="Symbol" w:hAnsi="Symbol" w:cs="Symbol"/>
                <w:sz w:val="20"/>
                <w:szCs w:val="20"/>
                <w:lang w:val="en-GB"/>
              </w:rPr>
              <w:t>-</w:t>
            </w:r>
            <w:r w:rsidRPr="00374B10">
              <w:rPr>
                <w:sz w:val="20"/>
                <w:szCs w:val="20"/>
                <w:lang w:val="en-GB"/>
              </w:rPr>
              <w:t>8, 11</w:t>
            </w:r>
            <w:r w:rsidRPr="00374B10">
              <w:rPr>
                <w:rFonts w:ascii="Symbol" w:eastAsia="Symbol" w:hAnsi="Symbol" w:cs="Symbol"/>
                <w:sz w:val="20"/>
                <w:szCs w:val="20"/>
                <w:lang w:val="en-GB"/>
              </w:rPr>
              <w:t>-</w:t>
            </w:r>
            <w:r w:rsidRPr="00374B10">
              <w:rPr>
                <w:sz w:val="20"/>
                <w:szCs w:val="20"/>
                <w:lang w:val="en-GB"/>
              </w:rPr>
              <w:t xml:space="preserve">13, 15, 17 and </w:t>
            </w:r>
            <w:proofErr w:type="gramStart"/>
            <w:r w:rsidRPr="00374B10">
              <w:rPr>
                <w:sz w:val="20"/>
                <w:szCs w:val="20"/>
                <w:lang w:val="en-GB"/>
              </w:rPr>
              <w:t>21)</w:t>
            </w:r>
            <w:r w:rsidRPr="00374B10">
              <w:rPr>
                <w:i/>
                <w:iCs/>
                <w:snapToGrid w:val="0"/>
                <w:kern w:val="22"/>
                <w:sz w:val="20"/>
                <w:szCs w:val="20"/>
                <w:vertAlign w:val="superscript"/>
                <w:lang w:val="en-GB"/>
              </w:rPr>
              <w:t>b</w:t>
            </w:r>
            <w:proofErr w:type="gramEnd"/>
            <w:r w:rsidRPr="00374B10">
              <w:rPr>
                <w:snapToGrid w:val="0"/>
                <w:kern w:val="22"/>
                <w:sz w:val="20"/>
                <w:szCs w:val="20"/>
                <w:lang w:val="en-GB"/>
              </w:rPr>
              <w:t xml:space="preserve"> </w:t>
            </w:r>
          </w:p>
        </w:tc>
        <w:tc>
          <w:tcPr>
            <w:tcW w:w="4765" w:type="dxa"/>
            <w:tcBorders>
              <w:top w:val="single" w:sz="4" w:space="0" w:color="auto"/>
              <w:left w:val="single" w:sz="4" w:space="0" w:color="auto"/>
              <w:bottom w:val="single" w:sz="4" w:space="0" w:color="auto"/>
              <w:right w:val="single" w:sz="4" w:space="0" w:color="auto"/>
            </w:tcBorders>
            <w:hideMark/>
          </w:tcPr>
          <w:p w14:paraId="7FF0A78C"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 xml:space="preserve">First national </w:t>
            </w:r>
            <w:proofErr w:type="spellStart"/>
            <w:r w:rsidRPr="00C507AE">
              <w:rPr>
                <w:snapToGrid w:val="0"/>
                <w:kern w:val="22"/>
                <w:sz w:val="20"/>
                <w:szCs w:val="20"/>
                <w:lang w:val="en-GB"/>
              </w:rPr>
              <w:t>reports</w:t>
            </w:r>
            <w:r w:rsidRPr="00374B10">
              <w:rPr>
                <w:i/>
                <w:iCs/>
                <w:snapToGrid w:val="0"/>
                <w:kern w:val="22"/>
                <w:sz w:val="20"/>
                <w:szCs w:val="20"/>
                <w:vertAlign w:val="superscript"/>
                <w:lang w:val="en-GB"/>
              </w:rPr>
              <w:t>a</w:t>
            </w:r>
            <w:proofErr w:type="spellEnd"/>
          </w:p>
          <w:p w14:paraId="4E58A802"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Access and Benefit-sharing Clearing-House</w:t>
            </w:r>
          </w:p>
          <w:p w14:paraId="3A324233"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National reports submitted under the Convention</w:t>
            </w:r>
          </w:p>
          <w:p w14:paraId="35226077"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National biodiversity strategies and action plans</w:t>
            </w:r>
          </w:p>
          <w:p w14:paraId="02DB8914"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374B10">
              <w:rPr>
                <w:snapToGrid w:val="0"/>
                <w:kern w:val="22"/>
                <w:sz w:val="20"/>
                <w:szCs w:val="20"/>
                <w:lang w:val="en-GB"/>
              </w:rPr>
              <w:t xml:space="preserve">Targeted </w:t>
            </w:r>
            <w:proofErr w:type="spellStart"/>
            <w:r w:rsidRPr="00374B10">
              <w:rPr>
                <w:snapToGrid w:val="0"/>
                <w:kern w:val="22"/>
                <w:sz w:val="20"/>
                <w:szCs w:val="20"/>
                <w:lang w:val="en-GB"/>
              </w:rPr>
              <w:t>survey</w:t>
            </w:r>
            <w:r w:rsidRPr="00374B10">
              <w:rPr>
                <w:i/>
                <w:iCs/>
                <w:snapToGrid w:val="0"/>
                <w:kern w:val="22"/>
                <w:sz w:val="20"/>
                <w:szCs w:val="20"/>
                <w:vertAlign w:val="superscript"/>
                <w:lang w:val="en-GB"/>
              </w:rPr>
              <w:t>c</w:t>
            </w:r>
            <w:proofErr w:type="spellEnd"/>
          </w:p>
          <w:p w14:paraId="3B26818F" w14:textId="432C1BF8"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374B10">
              <w:rPr>
                <w:snapToGrid w:val="0"/>
                <w:kern w:val="22"/>
                <w:sz w:val="20"/>
                <w:szCs w:val="20"/>
                <w:lang w:val="en-GB"/>
              </w:rPr>
              <w:t xml:space="preserve"> Relevant documents on cooperation with other conventions, international organizations and initiatives submitted to the Conference of the Parties serving as the meeting of the Parties to the </w:t>
            </w:r>
            <w:r w:rsidR="00A401C5" w:rsidRPr="00A401C5">
              <w:rPr>
                <w:snapToGrid w:val="0"/>
                <w:kern w:val="22"/>
                <w:sz w:val="20"/>
                <w:szCs w:val="20"/>
                <w:lang w:val="en-GB"/>
              </w:rPr>
              <w:t xml:space="preserve">Nagoya </w:t>
            </w:r>
            <w:r w:rsidRPr="00374B10">
              <w:rPr>
                <w:snapToGrid w:val="0"/>
                <w:kern w:val="22"/>
                <w:sz w:val="20"/>
                <w:szCs w:val="20"/>
                <w:lang w:val="en-GB"/>
              </w:rPr>
              <w:t>Protocol</w:t>
            </w:r>
          </w:p>
        </w:tc>
      </w:tr>
      <w:tr w:rsidR="0030798D" w:rsidRPr="00374B10" w14:paraId="1BB35B33"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14:paraId="283A1DBC"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t>(b) Assessment of effectiveness (this includes Article 9)</w:t>
            </w:r>
          </w:p>
        </w:tc>
        <w:tc>
          <w:tcPr>
            <w:tcW w:w="4765" w:type="dxa"/>
            <w:tcBorders>
              <w:top w:val="single" w:sz="4" w:space="0" w:color="auto"/>
              <w:left w:val="single" w:sz="4" w:space="0" w:color="auto"/>
              <w:bottom w:val="single" w:sz="4" w:space="0" w:color="auto"/>
              <w:right w:val="single" w:sz="4" w:space="0" w:color="auto"/>
            </w:tcBorders>
            <w:hideMark/>
          </w:tcPr>
          <w:p w14:paraId="5893852B" w14:textId="77777777" w:rsidR="0030798D" w:rsidRPr="00374B10" w:rsidRDefault="0030798D" w:rsidP="0030798D">
            <w:pPr>
              <w:pStyle w:val="ListParagraph"/>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C507AE">
              <w:rPr>
                <w:snapToGrid w:val="0"/>
                <w:kern w:val="22"/>
                <w:sz w:val="20"/>
                <w:szCs w:val="20"/>
                <w:lang w:val="en-GB"/>
              </w:rPr>
              <w:t>First national reports (questions 10, 12, 19, 30–32 and</w:t>
            </w:r>
            <w:r w:rsidRPr="00C507AE" w:rsidDel="00843AB1">
              <w:rPr>
                <w:snapToGrid w:val="0"/>
                <w:kern w:val="22"/>
                <w:sz w:val="20"/>
                <w:szCs w:val="20"/>
                <w:lang w:val="en-GB"/>
              </w:rPr>
              <w:t xml:space="preserve"> </w:t>
            </w:r>
            <w:r w:rsidRPr="00C507AE">
              <w:rPr>
                <w:snapToGrid w:val="0"/>
                <w:kern w:val="22"/>
                <w:sz w:val="20"/>
                <w:szCs w:val="20"/>
                <w:lang w:val="en-GB"/>
              </w:rPr>
              <w:t>43–45 of the format)</w:t>
            </w:r>
          </w:p>
          <w:p w14:paraId="2E68B497" w14:textId="77777777" w:rsidR="0030798D" w:rsidRPr="00374B10" w:rsidRDefault="0030798D" w:rsidP="0030798D">
            <w:pPr>
              <w:pStyle w:val="ListParagraph"/>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C507AE">
              <w:rPr>
                <w:snapToGrid w:val="0"/>
                <w:kern w:val="22"/>
                <w:sz w:val="20"/>
                <w:szCs w:val="20"/>
                <w:lang w:val="en-GB"/>
              </w:rPr>
              <w:t>Access and Benefit-sharing Clearing-House</w:t>
            </w:r>
          </w:p>
          <w:p w14:paraId="01E4C2E6" w14:textId="77777777" w:rsidR="0030798D" w:rsidRPr="00374B10" w:rsidRDefault="0030798D" w:rsidP="0030798D">
            <w:pPr>
              <w:pStyle w:val="ListParagraph"/>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C507AE">
              <w:rPr>
                <w:snapToGrid w:val="0"/>
                <w:kern w:val="22"/>
                <w:sz w:val="20"/>
                <w:szCs w:val="20"/>
                <w:lang w:val="en-GB"/>
              </w:rPr>
              <w:t>Targeted survey</w:t>
            </w:r>
          </w:p>
          <w:p w14:paraId="4015B451" w14:textId="51E2A28A" w:rsidR="0030798D" w:rsidRPr="00374B10" w:rsidRDefault="0030798D" w:rsidP="0030798D">
            <w:pPr>
              <w:pStyle w:val="ListParagraph"/>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C507AE">
              <w:rPr>
                <w:snapToGrid w:val="0"/>
                <w:kern w:val="22"/>
                <w:sz w:val="20"/>
                <w:szCs w:val="20"/>
                <w:lang w:val="en-GB"/>
              </w:rPr>
              <w:t xml:space="preserve">National reports submitted under the Convention as they refer to Goal C and Target 13 of the Kunming-Montreal Global Biodiversity </w:t>
            </w:r>
            <w:proofErr w:type="spellStart"/>
            <w:r w:rsidRPr="00C507AE">
              <w:rPr>
                <w:snapToGrid w:val="0"/>
                <w:kern w:val="22"/>
                <w:sz w:val="20"/>
                <w:szCs w:val="20"/>
                <w:lang w:val="en-GB"/>
              </w:rPr>
              <w:t>Framework</w:t>
            </w:r>
            <w:r w:rsidRPr="00C507AE">
              <w:rPr>
                <w:i/>
                <w:iCs/>
                <w:snapToGrid w:val="0"/>
                <w:kern w:val="22"/>
                <w:sz w:val="20"/>
                <w:szCs w:val="20"/>
                <w:vertAlign w:val="superscript"/>
                <w:lang w:val="en-GB"/>
              </w:rPr>
              <w:t>d</w:t>
            </w:r>
            <w:proofErr w:type="spellEnd"/>
            <w:r w:rsidR="00A772A2">
              <w:rPr>
                <w:i/>
                <w:iCs/>
                <w:snapToGrid w:val="0"/>
                <w:kern w:val="22"/>
                <w:sz w:val="20"/>
                <w:szCs w:val="20"/>
                <w:vertAlign w:val="superscript"/>
                <w:lang w:val="en-GB"/>
              </w:rPr>
              <w:t xml:space="preserve"> </w:t>
            </w:r>
            <w:r w:rsidR="00037D7B">
              <w:rPr>
                <w:snapToGrid w:val="0"/>
                <w:kern w:val="22"/>
                <w:sz w:val="20"/>
                <w:szCs w:val="20"/>
                <w:lang w:val="en-GB"/>
              </w:rPr>
              <w:t>a</w:t>
            </w:r>
            <w:r w:rsidR="0042541F">
              <w:rPr>
                <w:snapToGrid w:val="0"/>
                <w:kern w:val="22"/>
                <w:sz w:val="20"/>
                <w:szCs w:val="20"/>
                <w:lang w:val="en-GB"/>
              </w:rPr>
              <w:t>nd</w:t>
            </w:r>
            <w:r w:rsidR="00037D7B">
              <w:rPr>
                <w:snapToGrid w:val="0"/>
                <w:kern w:val="22"/>
                <w:sz w:val="20"/>
                <w:szCs w:val="20"/>
                <w:lang w:val="en-GB"/>
              </w:rPr>
              <w:t xml:space="preserve"> relate to the implementation of the Nagoya Protocol</w:t>
            </w:r>
          </w:p>
        </w:tc>
      </w:tr>
      <w:tr w:rsidR="0030798D" w:rsidRPr="00374B10" w14:paraId="38C437A7"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14:paraId="4ABE80DA"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t>(c) Assessment of support available for implementation (Articles 22 and 25)</w:t>
            </w:r>
          </w:p>
        </w:tc>
        <w:tc>
          <w:tcPr>
            <w:tcW w:w="4765" w:type="dxa"/>
            <w:tcBorders>
              <w:top w:val="single" w:sz="4" w:space="0" w:color="auto"/>
              <w:left w:val="single" w:sz="4" w:space="0" w:color="auto"/>
              <w:bottom w:val="single" w:sz="4" w:space="0" w:color="auto"/>
              <w:right w:val="single" w:sz="4" w:space="0" w:color="auto"/>
            </w:tcBorders>
            <w:hideMark/>
          </w:tcPr>
          <w:p w14:paraId="0962166C"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First national reports (questions 54, 55 and 59–64)</w:t>
            </w:r>
          </w:p>
          <w:p w14:paraId="1302DDF1"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Access and Benefit-sharing Clearing-House</w:t>
            </w:r>
          </w:p>
          <w:p w14:paraId="70091C92"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Information on capacity-building projects and resources</w:t>
            </w:r>
          </w:p>
          <w:p w14:paraId="289A0BD2"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Targeted</w:t>
            </w:r>
            <w:r w:rsidRPr="00374B10">
              <w:rPr>
                <w:snapToGrid w:val="0"/>
                <w:kern w:val="22"/>
                <w:sz w:val="20"/>
                <w:szCs w:val="20"/>
                <w:lang w:val="en-GB"/>
              </w:rPr>
              <w:t xml:space="preserve"> survey</w:t>
            </w:r>
          </w:p>
        </w:tc>
      </w:tr>
      <w:tr w:rsidR="0030798D" w:rsidRPr="00374B10" w14:paraId="7440C82E"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14:paraId="5A97DCA1"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t>(d) Assessment of effectiveness of Article 18 (extent of implementation)</w:t>
            </w:r>
          </w:p>
        </w:tc>
        <w:tc>
          <w:tcPr>
            <w:tcW w:w="4765" w:type="dxa"/>
            <w:tcBorders>
              <w:top w:val="single" w:sz="4" w:space="0" w:color="auto"/>
              <w:left w:val="single" w:sz="4" w:space="0" w:color="auto"/>
              <w:bottom w:val="single" w:sz="4" w:space="0" w:color="auto"/>
              <w:right w:val="single" w:sz="4" w:space="0" w:color="auto"/>
            </w:tcBorders>
            <w:hideMark/>
          </w:tcPr>
          <w:p w14:paraId="0EF7F9F6" w14:textId="77777777" w:rsidR="0030798D" w:rsidRPr="00374B10" w:rsidRDefault="0030798D" w:rsidP="0030798D">
            <w:pPr>
              <w:pStyle w:val="ListParagraph"/>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n-GB"/>
              </w:rPr>
            </w:pPr>
            <w:r w:rsidRPr="00374B10">
              <w:rPr>
                <w:snapToGrid w:val="0"/>
                <w:kern w:val="22"/>
                <w:sz w:val="20"/>
                <w:szCs w:val="20"/>
                <w:lang w:val="en-GB"/>
              </w:rPr>
              <w:t xml:space="preserve">First </w:t>
            </w:r>
            <w:r w:rsidRPr="00C507AE">
              <w:rPr>
                <w:snapToGrid w:val="0"/>
                <w:kern w:val="22"/>
                <w:sz w:val="20"/>
                <w:szCs w:val="20"/>
                <w:lang w:val="en-GB"/>
              </w:rPr>
              <w:t>national</w:t>
            </w:r>
            <w:r w:rsidRPr="00374B10">
              <w:rPr>
                <w:snapToGrid w:val="0"/>
                <w:kern w:val="22"/>
                <w:sz w:val="20"/>
                <w:szCs w:val="20"/>
                <w:lang w:val="en-GB"/>
              </w:rPr>
              <w:t xml:space="preserve"> reports (questions 25–28)</w:t>
            </w:r>
          </w:p>
          <w:p w14:paraId="5A3D144E"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374B10">
              <w:rPr>
                <w:snapToGrid w:val="0"/>
                <w:kern w:val="22"/>
                <w:sz w:val="20"/>
                <w:szCs w:val="20"/>
                <w:lang w:val="en-GB"/>
              </w:rPr>
              <w:t>Targeted survey</w:t>
            </w:r>
          </w:p>
        </w:tc>
      </w:tr>
      <w:tr w:rsidR="0030798D" w:rsidRPr="00374B10" w14:paraId="7A9D2291"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14:paraId="744C705D"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t xml:space="preserve">(e) Assessment of implementation of Article 16 in the light of developments in other relevant international organizations, including the World Intellectual Property Organization </w:t>
            </w:r>
          </w:p>
        </w:tc>
        <w:tc>
          <w:tcPr>
            <w:tcW w:w="4765" w:type="dxa"/>
            <w:tcBorders>
              <w:top w:val="single" w:sz="4" w:space="0" w:color="auto"/>
              <w:left w:val="single" w:sz="4" w:space="0" w:color="auto"/>
              <w:bottom w:val="single" w:sz="4" w:space="0" w:color="auto"/>
              <w:right w:val="single" w:sz="4" w:space="0" w:color="auto"/>
            </w:tcBorders>
            <w:hideMark/>
          </w:tcPr>
          <w:p w14:paraId="337F901B"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First national reports (question 20)</w:t>
            </w:r>
          </w:p>
          <w:p w14:paraId="3FC81A13"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 xml:space="preserve">Reports of, inter alia, the Intergovernmental Committee on Intellectual Property and Genetic Resources, Traditional Knowledge and Folklore of the World Intellectual Property Organization </w:t>
            </w:r>
          </w:p>
        </w:tc>
      </w:tr>
      <w:tr w:rsidR="0030798D" w:rsidRPr="00374B10" w14:paraId="3CF3A6B6"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14:paraId="79440271"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t>(f) Stocktaking of the use of model contractual clauses, codes of conduct, guidelines, best practices and standards, as well as the customary laws, community protocols and procedures of indigenous peoples and local communities (Articles 12, 19 and 20)</w:t>
            </w:r>
          </w:p>
        </w:tc>
        <w:tc>
          <w:tcPr>
            <w:tcW w:w="4765" w:type="dxa"/>
            <w:tcBorders>
              <w:top w:val="single" w:sz="4" w:space="0" w:color="auto"/>
              <w:left w:val="single" w:sz="4" w:space="0" w:color="auto"/>
              <w:bottom w:val="single" w:sz="4" w:space="0" w:color="auto"/>
              <w:right w:val="single" w:sz="4" w:space="0" w:color="auto"/>
            </w:tcBorders>
            <w:hideMark/>
          </w:tcPr>
          <w:p w14:paraId="411EAD4D"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First national reports (questions 39, 50 and–51)</w:t>
            </w:r>
          </w:p>
          <w:p w14:paraId="50EB2D60" w14:textId="77777777" w:rsidR="0030798D" w:rsidRPr="00C507AE"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Access and Benefit-sharing Clearing-House</w:t>
            </w:r>
          </w:p>
          <w:p w14:paraId="6938A3E0"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Targeted survey</w:t>
            </w:r>
          </w:p>
        </w:tc>
      </w:tr>
      <w:tr w:rsidR="0030798D" w:rsidRPr="00374B10" w14:paraId="49990433"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14:paraId="6A4F61E4"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t>(g) Review of implementation and operation of the Access and Benefit-sharing Clearing-House, including number of access and benefit-sharing measures made available; number of countries that have published information on their competent national authorities; number of internationally recognized certificates of compliance that have been published; and number of checkpoint communiqués published (Article 14)</w:t>
            </w:r>
          </w:p>
        </w:tc>
        <w:tc>
          <w:tcPr>
            <w:tcW w:w="4765" w:type="dxa"/>
            <w:tcBorders>
              <w:top w:val="single" w:sz="4" w:space="0" w:color="auto"/>
              <w:left w:val="single" w:sz="4" w:space="0" w:color="auto"/>
              <w:bottom w:val="single" w:sz="4" w:space="0" w:color="auto"/>
              <w:right w:val="single" w:sz="4" w:space="0" w:color="auto"/>
            </w:tcBorders>
            <w:hideMark/>
          </w:tcPr>
          <w:p w14:paraId="026B5680"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First national reports (questions 4, 5, 7, 12, 13 and 21)</w:t>
            </w:r>
          </w:p>
          <w:p w14:paraId="6AE22AD7"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Access and Benefit-sharing Clearing-House</w:t>
            </w:r>
          </w:p>
          <w:p w14:paraId="019258BF"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Reports of meetings relevant to the Access and Benefit-sharing Clearing-House</w:t>
            </w:r>
          </w:p>
          <w:p w14:paraId="66634B4F"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 xml:space="preserve">Targeted survey </w:t>
            </w:r>
          </w:p>
          <w:p w14:paraId="0A4D1130"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374B10">
              <w:rPr>
                <w:sz w:val="20"/>
                <w:szCs w:val="20"/>
                <w:lang w:val="en-GB"/>
              </w:rPr>
              <w:t>Statistics on the Access and Benefit-sharing</w:t>
            </w:r>
            <w:r w:rsidRPr="00374B10" w:rsidDel="00B97F86">
              <w:rPr>
                <w:sz w:val="20"/>
                <w:szCs w:val="20"/>
                <w:lang w:val="en-GB"/>
              </w:rPr>
              <w:t xml:space="preserve"> </w:t>
            </w:r>
            <w:r w:rsidRPr="00374B10">
              <w:rPr>
                <w:sz w:val="20"/>
                <w:szCs w:val="20"/>
                <w:lang w:val="en-GB"/>
              </w:rPr>
              <w:t xml:space="preserve">Clearing-House website </w:t>
            </w:r>
            <w:proofErr w:type="spellStart"/>
            <w:r w:rsidRPr="00374B10">
              <w:rPr>
                <w:sz w:val="20"/>
                <w:szCs w:val="20"/>
                <w:lang w:val="en-GB"/>
              </w:rPr>
              <w:t>traffic</w:t>
            </w:r>
            <w:r w:rsidRPr="00374B10">
              <w:rPr>
                <w:i/>
                <w:iCs/>
                <w:sz w:val="20"/>
                <w:szCs w:val="20"/>
                <w:vertAlign w:val="superscript"/>
                <w:lang w:val="en-GB"/>
              </w:rPr>
              <w:t>e</w:t>
            </w:r>
            <w:proofErr w:type="spellEnd"/>
          </w:p>
        </w:tc>
      </w:tr>
      <w:tr w:rsidR="0030798D" w:rsidRPr="00374B10" w14:paraId="3C7A1011"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tcPr>
          <w:p w14:paraId="0E43075A"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t>(h) Progress on the implementation of Article 10</w:t>
            </w:r>
            <w:r w:rsidRPr="00374B10" w:rsidDel="00B42AA3">
              <w:rPr>
                <w:snapToGrid w:val="0"/>
                <w:kern w:val="22"/>
                <w:sz w:val="20"/>
                <w:szCs w:val="20"/>
                <w:lang w:val="en-GB"/>
              </w:rPr>
              <w:t>, on a global multilateral benefit-sharing mechanism</w:t>
            </w:r>
          </w:p>
        </w:tc>
        <w:tc>
          <w:tcPr>
            <w:tcW w:w="4765" w:type="dxa"/>
            <w:tcBorders>
              <w:top w:val="single" w:sz="4" w:space="0" w:color="auto"/>
              <w:left w:val="single" w:sz="4" w:space="0" w:color="auto"/>
              <w:bottom w:val="single" w:sz="4" w:space="0" w:color="auto"/>
              <w:right w:val="single" w:sz="4" w:space="0" w:color="auto"/>
            </w:tcBorders>
          </w:tcPr>
          <w:p w14:paraId="3C7DAD9C" w14:textId="788E8A32"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n-GB"/>
              </w:rPr>
            </w:pPr>
            <w:r w:rsidRPr="00C507AE">
              <w:rPr>
                <w:snapToGrid w:val="0"/>
                <w:kern w:val="22"/>
                <w:sz w:val="20"/>
                <w:szCs w:val="20"/>
                <w:lang w:val="en-GB"/>
              </w:rPr>
              <w:t xml:space="preserve">Relevant </w:t>
            </w:r>
            <w:r w:rsidRPr="00374B10">
              <w:rPr>
                <w:snapToGrid w:val="0"/>
                <w:kern w:val="22"/>
                <w:sz w:val="20"/>
                <w:szCs w:val="20"/>
                <w:lang w:val="en-GB"/>
              </w:rPr>
              <w:t>documents prepared for the consideration of</w:t>
            </w:r>
            <w:r w:rsidRPr="00C507AE">
              <w:rPr>
                <w:snapToGrid w:val="0"/>
                <w:kern w:val="22"/>
                <w:sz w:val="20"/>
                <w:szCs w:val="20"/>
                <w:lang w:val="en-GB"/>
              </w:rPr>
              <w:t xml:space="preserve"> the Conference of the Parties serving as the meeting of the Parties to the </w:t>
            </w:r>
            <w:r w:rsidR="00A401C5" w:rsidRPr="00A401C5">
              <w:rPr>
                <w:snapToGrid w:val="0"/>
                <w:kern w:val="22"/>
                <w:sz w:val="20"/>
                <w:szCs w:val="20"/>
                <w:lang w:val="en-GB"/>
              </w:rPr>
              <w:t xml:space="preserve">Nagoya </w:t>
            </w:r>
            <w:r w:rsidRPr="00C507AE">
              <w:rPr>
                <w:snapToGrid w:val="0"/>
                <w:kern w:val="22"/>
                <w:sz w:val="20"/>
                <w:szCs w:val="20"/>
                <w:lang w:val="en-GB"/>
              </w:rPr>
              <w:t>Protocol</w:t>
            </w:r>
          </w:p>
        </w:tc>
      </w:tr>
      <w:tr w:rsidR="0030798D" w:rsidRPr="00374B10" w14:paraId="045E3397"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tcPr>
          <w:p w14:paraId="31C72036"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lastRenderedPageBreak/>
              <w:t>(</w:t>
            </w:r>
            <w:proofErr w:type="spellStart"/>
            <w:r w:rsidRPr="00374B10">
              <w:rPr>
                <w:snapToGrid w:val="0"/>
                <w:kern w:val="22"/>
                <w:sz w:val="20"/>
                <w:szCs w:val="20"/>
                <w:lang w:val="en-GB"/>
              </w:rPr>
              <w:t>i</w:t>
            </w:r>
            <w:proofErr w:type="spellEnd"/>
            <w:r w:rsidRPr="00374B10">
              <w:rPr>
                <w:snapToGrid w:val="0"/>
                <w:kern w:val="22"/>
                <w:sz w:val="20"/>
                <w:szCs w:val="20"/>
                <w:lang w:val="en-GB"/>
              </w:rPr>
              <w:t>) Progress on the implementation of Article 23</w:t>
            </w:r>
            <w:r w:rsidRPr="00374B10" w:rsidDel="00B42AA3">
              <w:rPr>
                <w:snapToGrid w:val="0"/>
                <w:kern w:val="22"/>
                <w:sz w:val="20"/>
                <w:szCs w:val="20"/>
                <w:lang w:val="en-GB"/>
              </w:rPr>
              <w:t>, on technology transfer, collaboration and cooperation.</w:t>
            </w:r>
          </w:p>
        </w:tc>
        <w:tc>
          <w:tcPr>
            <w:tcW w:w="4765" w:type="dxa"/>
            <w:tcBorders>
              <w:top w:val="single" w:sz="4" w:space="0" w:color="auto"/>
              <w:left w:val="single" w:sz="4" w:space="0" w:color="auto"/>
              <w:bottom w:val="single" w:sz="4" w:space="0" w:color="auto"/>
              <w:right w:val="single" w:sz="4" w:space="0" w:color="auto"/>
            </w:tcBorders>
          </w:tcPr>
          <w:p w14:paraId="3F2B8EC2" w14:textId="77777777" w:rsidR="0030798D" w:rsidRPr="00374B10"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First national reports (question 57)</w:t>
            </w:r>
          </w:p>
          <w:p w14:paraId="05108BD6" w14:textId="77777777" w:rsidR="0030798D" w:rsidRPr="00C507AE"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Targeted survey</w:t>
            </w:r>
          </w:p>
          <w:p w14:paraId="66D13EAC" w14:textId="77777777" w:rsidR="0030798D" w:rsidRPr="00374B10" w:rsidRDefault="0030798D" w:rsidP="00454C2A">
            <w:pPr>
              <w:tabs>
                <w:tab w:val="left" w:pos="329"/>
              </w:tabs>
              <w:spacing w:before="40" w:after="40"/>
              <w:ind w:left="34" w:right="40"/>
              <w:rPr>
                <w:snapToGrid w:val="0"/>
                <w:kern w:val="22"/>
                <w:sz w:val="20"/>
                <w:szCs w:val="20"/>
                <w:lang w:val="en-GB"/>
              </w:rPr>
            </w:pPr>
          </w:p>
        </w:tc>
      </w:tr>
      <w:tr w:rsidR="0030798D" w:rsidRPr="00374B10" w14:paraId="3AC8A649" w14:textId="77777777" w:rsidTr="00454C2A">
        <w:trPr>
          <w:jc w:val="right"/>
        </w:trPr>
        <w:tc>
          <w:tcPr>
            <w:tcW w:w="4390" w:type="dxa"/>
            <w:tcBorders>
              <w:top w:val="single" w:sz="4" w:space="0" w:color="auto"/>
              <w:left w:val="single" w:sz="4" w:space="0" w:color="auto"/>
              <w:bottom w:val="single" w:sz="4" w:space="0" w:color="auto"/>
              <w:right w:val="single" w:sz="4" w:space="0" w:color="auto"/>
            </w:tcBorders>
          </w:tcPr>
          <w:p w14:paraId="2CEDD8EF" w14:textId="77777777" w:rsidR="0030798D" w:rsidRPr="00374B10" w:rsidRDefault="0030798D" w:rsidP="00454C2A">
            <w:pPr>
              <w:spacing w:before="40" w:after="40"/>
              <w:ind w:left="40" w:right="40"/>
              <w:jc w:val="left"/>
              <w:rPr>
                <w:snapToGrid w:val="0"/>
                <w:kern w:val="22"/>
                <w:sz w:val="20"/>
                <w:szCs w:val="20"/>
                <w:lang w:val="en-GB"/>
              </w:rPr>
            </w:pPr>
            <w:r w:rsidRPr="00374B10">
              <w:rPr>
                <w:snapToGrid w:val="0"/>
                <w:kern w:val="22"/>
                <w:sz w:val="20"/>
                <w:szCs w:val="20"/>
                <w:lang w:val="en-GB"/>
              </w:rPr>
              <w:t xml:space="preserve">(j) Preliminary review of the compliance procedures and mechanisms (see </w:t>
            </w:r>
            <w:hyperlink r:id="rId15" w:history="1">
              <w:r w:rsidRPr="00374B10">
                <w:rPr>
                  <w:snapToGrid w:val="0"/>
                  <w:kern w:val="22"/>
                  <w:sz w:val="20"/>
                  <w:szCs w:val="20"/>
                  <w:lang w:val="en-GB"/>
                </w:rPr>
                <w:t>decision NP-1/4</w:t>
              </w:r>
            </w:hyperlink>
            <w:r w:rsidRPr="00374B10">
              <w:rPr>
                <w:snapToGrid w:val="0"/>
                <w:kern w:val="22"/>
                <w:sz w:val="20"/>
                <w:szCs w:val="20"/>
                <w:lang w:val="en-GB"/>
              </w:rPr>
              <w:t>, annex) (Article 30)</w:t>
            </w:r>
          </w:p>
        </w:tc>
        <w:tc>
          <w:tcPr>
            <w:tcW w:w="4765" w:type="dxa"/>
            <w:tcBorders>
              <w:top w:val="single" w:sz="4" w:space="0" w:color="auto"/>
              <w:left w:val="single" w:sz="4" w:space="0" w:color="auto"/>
              <w:bottom w:val="single" w:sz="4" w:space="0" w:color="auto"/>
              <w:right w:val="single" w:sz="4" w:space="0" w:color="auto"/>
            </w:tcBorders>
          </w:tcPr>
          <w:p w14:paraId="3BA821B1" w14:textId="77777777" w:rsidR="0030798D" w:rsidRPr="00C507AE"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Submission of views</w:t>
            </w:r>
          </w:p>
          <w:p w14:paraId="3C21471D" w14:textId="77777777" w:rsidR="0030798D" w:rsidRPr="00C507AE" w:rsidRDefault="0030798D" w:rsidP="0030798D">
            <w:pPr>
              <w:pStyle w:val="ListParagraph"/>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n-GB"/>
              </w:rPr>
            </w:pPr>
            <w:r w:rsidRPr="00C507AE">
              <w:rPr>
                <w:snapToGrid w:val="0"/>
                <w:kern w:val="22"/>
                <w:sz w:val="20"/>
                <w:szCs w:val="20"/>
                <w:lang w:val="en-GB"/>
              </w:rPr>
              <w:t>Report of the Compliance Committee</w:t>
            </w:r>
          </w:p>
          <w:p w14:paraId="63B1E5C5" w14:textId="77777777" w:rsidR="0030798D" w:rsidRPr="00374B10" w:rsidRDefault="0030798D" w:rsidP="00454C2A">
            <w:pPr>
              <w:tabs>
                <w:tab w:val="left" w:pos="329"/>
              </w:tabs>
              <w:spacing w:before="40" w:after="40"/>
              <w:ind w:left="34" w:right="40"/>
              <w:rPr>
                <w:snapToGrid w:val="0"/>
                <w:kern w:val="22"/>
                <w:sz w:val="20"/>
                <w:szCs w:val="20"/>
                <w:lang w:val="en-GB"/>
              </w:rPr>
            </w:pPr>
          </w:p>
        </w:tc>
      </w:tr>
    </w:tbl>
    <w:p w14:paraId="3EA011B1" w14:textId="77777777" w:rsidR="0030798D" w:rsidRPr="00374B10" w:rsidRDefault="0030798D" w:rsidP="0030798D">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n-GB"/>
        </w:rPr>
      </w:pPr>
      <w:r w:rsidRPr="00374B10">
        <w:rPr>
          <w:rFonts w:eastAsia="Malgun Gothic"/>
          <w:i/>
          <w:iCs/>
          <w:kern w:val="22"/>
          <w:sz w:val="18"/>
          <w:szCs w:val="18"/>
          <w:vertAlign w:val="superscript"/>
          <w:lang w:val="en-GB"/>
        </w:rPr>
        <w:t>a</w:t>
      </w:r>
      <w:r w:rsidRPr="00374B10">
        <w:rPr>
          <w:rFonts w:eastAsia="Malgun Gothic"/>
          <w:kern w:val="22"/>
          <w:sz w:val="18"/>
          <w:szCs w:val="18"/>
          <w:lang w:val="en-GB"/>
        </w:rPr>
        <w:tab/>
      </w:r>
      <w:r w:rsidRPr="00374B10">
        <w:rPr>
          <w:sz w:val="18"/>
          <w:szCs w:val="18"/>
          <w:lang w:val="en-GB"/>
        </w:rPr>
        <w:t xml:space="preserve">The format for the first national report is available at </w:t>
      </w:r>
      <w:hyperlink r:id="rId16" w:history="1">
        <w:r w:rsidRPr="00374B10">
          <w:rPr>
            <w:rStyle w:val="Hyperlink"/>
            <w:sz w:val="18"/>
            <w:szCs w:val="18"/>
            <w:lang w:val="en-GB"/>
          </w:rPr>
          <w:t>https://absch.cbd.int/en/kb/tags/abs/First-National-Report-on-the-Implementation-of-the-Nagoya-Protocol/66199bba4defc2994ae886d7</w:t>
        </w:r>
      </w:hyperlink>
      <w:r w:rsidRPr="00374B10">
        <w:rPr>
          <w:sz w:val="18"/>
          <w:szCs w:val="18"/>
          <w:lang w:val="en-GB"/>
        </w:rPr>
        <w:t>.</w:t>
      </w:r>
    </w:p>
    <w:p w14:paraId="1DD37E9B" w14:textId="51FA6B49" w:rsidR="0030798D" w:rsidRPr="00374B10" w:rsidRDefault="0030798D" w:rsidP="0030798D">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n-GB"/>
        </w:rPr>
      </w:pPr>
      <w:r w:rsidRPr="00374B10">
        <w:rPr>
          <w:rFonts w:eastAsia="Malgun Gothic"/>
          <w:i/>
          <w:iCs/>
          <w:kern w:val="22"/>
          <w:sz w:val="18"/>
          <w:szCs w:val="18"/>
          <w:vertAlign w:val="superscript"/>
          <w:lang w:val="en-GB"/>
        </w:rPr>
        <w:t>b</w:t>
      </w:r>
      <w:r w:rsidRPr="00374B10">
        <w:rPr>
          <w:rFonts w:eastAsia="Malgun Gothic"/>
          <w:i/>
          <w:iCs/>
          <w:kern w:val="22"/>
          <w:sz w:val="18"/>
          <w:szCs w:val="18"/>
          <w:vertAlign w:val="superscript"/>
          <w:lang w:val="en-GB"/>
        </w:rPr>
        <w:tab/>
      </w:r>
      <w:r w:rsidRPr="00374B10">
        <w:rPr>
          <w:sz w:val="18"/>
          <w:szCs w:val="18"/>
          <w:lang w:val="en-GB"/>
        </w:rPr>
        <w:t xml:space="preserve">Element (a) addresses all relevant Articles of the </w:t>
      </w:r>
      <w:r w:rsidR="00A401C5" w:rsidRPr="00A401C5">
        <w:rPr>
          <w:sz w:val="18"/>
          <w:szCs w:val="18"/>
          <w:lang w:val="en-GB"/>
        </w:rPr>
        <w:t xml:space="preserve">Nagoya </w:t>
      </w:r>
      <w:r w:rsidRPr="00374B10">
        <w:rPr>
          <w:sz w:val="18"/>
          <w:szCs w:val="18"/>
          <w:lang w:val="en-GB"/>
        </w:rPr>
        <w:t>Protocol covered by the first national report</w:t>
      </w:r>
      <w:r>
        <w:rPr>
          <w:sz w:val="18"/>
          <w:szCs w:val="18"/>
          <w:lang w:val="en-GB"/>
        </w:rPr>
        <w:t>s</w:t>
      </w:r>
      <w:r w:rsidRPr="00374B10">
        <w:rPr>
          <w:sz w:val="18"/>
          <w:szCs w:val="18"/>
          <w:lang w:val="en-GB"/>
        </w:rPr>
        <w:t xml:space="preserve"> that are not addressed under other elements.</w:t>
      </w:r>
    </w:p>
    <w:p w14:paraId="55ACC8D7" w14:textId="3FDB5F2C" w:rsidR="0030798D" w:rsidRPr="00374B10" w:rsidRDefault="0030798D" w:rsidP="0030798D">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n-GB"/>
        </w:rPr>
      </w:pPr>
      <w:r w:rsidRPr="00374B10">
        <w:rPr>
          <w:rFonts w:eastAsia="Malgun Gothic"/>
          <w:i/>
          <w:iCs/>
          <w:kern w:val="22"/>
          <w:sz w:val="18"/>
          <w:szCs w:val="18"/>
          <w:vertAlign w:val="superscript"/>
          <w:lang w:val="en-GB"/>
        </w:rPr>
        <w:t>c</w:t>
      </w:r>
      <w:r w:rsidRPr="00374B10">
        <w:rPr>
          <w:rFonts w:eastAsia="Malgun Gothic"/>
          <w:i/>
          <w:iCs/>
          <w:kern w:val="22"/>
          <w:sz w:val="18"/>
          <w:szCs w:val="18"/>
          <w:vertAlign w:val="superscript"/>
          <w:lang w:val="en-GB"/>
        </w:rPr>
        <w:tab/>
      </w:r>
      <w:r w:rsidRPr="00374B10">
        <w:rPr>
          <w:rFonts w:eastAsia="Malgun Gothic"/>
          <w:kern w:val="22"/>
          <w:sz w:val="18"/>
          <w:szCs w:val="18"/>
          <w:lang w:val="en-GB"/>
        </w:rPr>
        <w:t xml:space="preserve">In paragraph 18 (a) of its decision NP-3/1 A, the Conference of the Parties serving as the meeting of the Parties to the </w:t>
      </w:r>
      <w:r w:rsidR="00A401C5" w:rsidRPr="00A401C5">
        <w:rPr>
          <w:rFonts w:eastAsia="Malgun Gothic"/>
          <w:kern w:val="22"/>
          <w:sz w:val="18"/>
          <w:szCs w:val="18"/>
          <w:lang w:val="en-GB"/>
        </w:rPr>
        <w:t xml:space="preserve">Nagoya </w:t>
      </w:r>
      <w:r w:rsidRPr="00374B10">
        <w:rPr>
          <w:rFonts w:eastAsia="Malgun Gothic"/>
          <w:kern w:val="22"/>
          <w:sz w:val="18"/>
          <w:szCs w:val="18"/>
          <w:lang w:val="en-GB"/>
        </w:rPr>
        <w:t>Protocol requested the Executive Secretary to carry out a targeted survey of access and benefit-sharing national focal points, competent national authorities, and users and providers of genetic resources and/or associated traditional knowledge on challenges related to the implementation of the Protocol to provide an additional source of information in future processes for the assessment and review of the effectiveness of the Protocol.</w:t>
      </w:r>
    </w:p>
    <w:p w14:paraId="60A1B359" w14:textId="77777777" w:rsidR="0030798D" w:rsidRPr="00374B10" w:rsidRDefault="0030798D" w:rsidP="0030798D">
      <w:pPr>
        <w:suppressLineNumbers/>
        <w:tabs>
          <w:tab w:val="left" w:pos="851"/>
        </w:tabs>
        <w:suppressAutoHyphens/>
        <w:kinsoku w:val="0"/>
        <w:overflowPunct w:val="0"/>
        <w:autoSpaceDE w:val="0"/>
        <w:autoSpaceDN w:val="0"/>
        <w:adjustRightInd w:val="0"/>
        <w:snapToGrid w:val="0"/>
        <w:spacing w:before="120" w:after="120"/>
        <w:ind w:left="567"/>
        <w:rPr>
          <w:sz w:val="18"/>
          <w:szCs w:val="18"/>
          <w:lang w:val="en-GB"/>
        </w:rPr>
      </w:pPr>
      <w:r w:rsidRPr="00374B10">
        <w:rPr>
          <w:rFonts w:eastAsia="Malgun Gothic"/>
          <w:i/>
          <w:iCs/>
          <w:kern w:val="22"/>
          <w:sz w:val="18"/>
          <w:szCs w:val="18"/>
          <w:vertAlign w:val="superscript"/>
          <w:lang w:val="en-GB"/>
        </w:rPr>
        <w:t>d</w:t>
      </w:r>
      <w:r w:rsidRPr="00374B10">
        <w:rPr>
          <w:rFonts w:eastAsia="Malgun Gothic"/>
          <w:kern w:val="22"/>
          <w:sz w:val="18"/>
          <w:szCs w:val="18"/>
          <w:lang w:val="en-GB"/>
        </w:rPr>
        <w:tab/>
      </w:r>
      <w:r w:rsidRPr="00374B10">
        <w:rPr>
          <w:sz w:val="18"/>
          <w:szCs w:val="18"/>
          <w:lang w:val="en-GB"/>
        </w:rPr>
        <w:t>Decision 15/4, annex.</w:t>
      </w:r>
    </w:p>
    <w:p w14:paraId="366A55F8" w14:textId="77777777" w:rsidR="0030798D" w:rsidRPr="00374B10" w:rsidRDefault="0030798D" w:rsidP="0030798D">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n-GB"/>
        </w:rPr>
      </w:pPr>
      <w:r w:rsidRPr="00374B10">
        <w:rPr>
          <w:rFonts w:eastAsia="Malgun Gothic"/>
          <w:i/>
          <w:iCs/>
          <w:kern w:val="22"/>
          <w:sz w:val="18"/>
          <w:szCs w:val="18"/>
          <w:vertAlign w:val="superscript"/>
          <w:lang w:val="en-GB"/>
        </w:rPr>
        <w:t>e</w:t>
      </w:r>
      <w:r w:rsidRPr="00374B10">
        <w:rPr>
          <w:rFonts w:eastAsia="Malgun Gothic"/>
          <w:i/>
          <w:iCs/>
          <w:kern w:val="22"/>
          <w:sz w:val="18"/>
          <w:szCs w:val="18"/>
          <w:vertAlign w:val="superscript"/>
          <w:lang w:val="en-GB"/>
        </w:rPr>
        <w:tab/>
      </w:r>
      <w:r w:rsidRPr="00374B10">
        <w:rPr>
          <w:rFonts w:eastAsia="Malgun Gothic"/>
          <w:kern w:val="22"/>
          <w:sz w:val="18"/>
          <w:szCs w:val="18"/>
          <w:lang w:val="en-GB"/>
        </w:rPr>
        <w:t xml:space="preserve">Encompassing number of visitors, country of visitor and average duration on a web page. </w:t>
      </w:r>
    </w:p>
    <w:p w14:paraId="36CE006D" w14:textId="77777777" w:rsidR="00537248" w:rsidRPr="005858BB" w:rsidRDefault="00537248" w:rsidP="00966BEE">
      <w:pPr>
        <w:pStyle w:val="Para2"/>
        <w:ind w:left="0"/>
        <w:rPr>
          <w:lang w:val="en-GB"/>
        </w:rPr>
      </w:pP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7"/>
      <w:headerReference w:type="default" r:id="rId18"/>
      <w:footerReference w:type="even" r:id="rId19"/>
      <w:footerReference w:type="defaul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563FC8" w14:textId="77777777" w:rsidR="00B42D6E" w:rsidRDefault="00B42D6E" w:rsidP="00A96B21">
      <w:r>
        <w:separator/>
      </w:r>
    </w:p>
  </w:endnote>
  <w:endnote w:type="continuationSeparator" w:id="0">
    <w:p w14:paraId="60AFD3D3" w14:textId="77777777" w:rsidR="00B42D6E" w:rsidRDefault="00B42D6E" w:rsidP="00A96B21">
      <w:r>
        <w:continuationSeparator/>
      </w:r>
    </w:p>
  </w:endnote>
  <w:endnote w:type="continuationNotice" w:id="1">
    <w:p w14:paraId="3AFEEA08" w14:textId="77777777" w:rsidR="00B42D6E" w:rsidRDefault="00B42D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705B81" w14:textId="77777777" w:rsidR="00B42D6E" w:rsidRDefault="00B42D6E" w:rsidP="00A96B21">
      <w:r>
        <w:separator/>
      </w:r>
    </w:p>
  </w:footnote>
  <w:footnote w:type="continuationSeparator" w:id="0">
    <w:p w14:paraId="437B48F5" w14:textId="77777777" w:rsidR="00B42D6E" w:rsidRDefault="00B42D6E" w:rsidP="00A96B21">
      <w:r>
        <w:continuationSeparator/>
      </w:r>
    </w:p>
  </w:footnote>
  <w:footnote w:type="continuationNotice" w:id="1">
    <w:p w14:paraId="0F11ED30" w14:textId="77777777" w:rsidR="00B42D6E" w:rsidRDefault="00B42D6E"/>
  </w:footnote>
  <w:footnote w:id="2">
    <w:p w14:paraId="08F7D248" w14:textId="77777777" w:rsidR="0030798D" w:rsidRPr="00374B10" w:rsidRDefault="0030798D" w:rsidP="0030798D">
      <w:pPr>
        <w:pStyle w:val="FootnoteText"/>
        <w:rPr>
          <w:szCs w:val="18"/>
          <w:lang w:val="en-GB"/>
        </w:rPr>
      </w:pPr>
      <w:r w:rsidRPr="00374B10">
        <w:rPr>
          <w:rStyle w:val="FootnoteReference"/>
          <w:szCs w:val="18"/>
          <w:lang w:val="en-GB"/>
        </w:rPr>
        <w:footnoteRef/>
      </w:r>
      <w:r w:rsidRPr="00374B10">
        <w:rPr>
          <w:szCs w:val="18"/>
          <w:lang w:val="en-GB"/>
        </w:rPr>
        <w:t xml:space="preserve"> United Nations, </w:t>
      </w:r>
      <w:r w:rsidRPr="00374B10">
        <w:rPr>
          <w:i/>
          <w:iCs/>
          <w:szCs w:val="18"/>
          <w:lang w:val="en-GB"/>
        </w:rPr>
        <w:t>Treaty Series</w:t>
      </w:r>
      <w:r w:rsidRPr="00374B10">
        <w:rPr>
          <w:szCs w:val="18"/>
          <w:lang w:val="en-GB"/>
        </w:rPr>
        <w:t>, vol. 3008, No. 30619.</w:t>
      </w:r>
    </w:p>
  </w:footnote>
  <w:footnote w:id="3">
    <w:p w14:paraId="264AC34A" w14:textId="77777777" w:rsidR="0030798D" w:rsidRPr="00AF4883" w:rsidRDefault="0030798D" w:rsidP="0030798D">
      <w:pPr>
        <w:pStyle w:val="Para2"/>
        <w:spacing w:before="0" w:after="0"/>
        <w:ind w:left="0"/>
        <w:rPr>
          <w:sz w:val="18"/>
          <w:szCs w:val="18"/>
          <w:lang w:val="en-GB"/>
        </w:rPr>
      </w:pPr>
      <w:r w:rsidRPr="00374B10">
        <w:rPr>
          <w:rStyle w:val="FootnoteReference"/>
          <w:sz w:val="18"/>
          <w:szCs w:val="18"/>
          <w:lang w:val="en-GB"/>
        </w:rPr>
        <w:footnoteRef/>
      </w:r>
      <w:r w:rsidRPr="00374B10">
        <w:rPr>
          <w:sz w:val="18"/>
          <w:szCs w:val="18"/>
          <w:lang w:val="en-GB"/>
        </w:rPr>
        <w:t xml:space="preserve"> </w:t>
      </w:r>
      <w:r w:rsidRPr="00AF4883">
        <w:rPr>
          <w:sz w:val="18"/>
          <w:szCs w:val="18"/>
          <w:lang w:val="en-GB"/>
        </w:rPr>
        <w:t>See recommendation 4/7 of the Subsidiary Body on Implementation, in which the Subsidiary Body</w:t>
      </w:r>
      <w:r w:rsidRPr="00AF4883" w:rsidDel="008C6D09">
        <w:rPr>
          <w:sz w:val="18"/>
          <w:szCs w:val="18"/>
          <w:lang w:val="en-GB"/>
        </w:rPr>
        <w:t xml:space="preserve"> </w:t>
      </w:r>
      <w:r w:rsidRPr="00AF4883">
        <w:rPr>
          <w:sz w:val="18"/>
          <w:szCs w:val="18"/>
          <w:lang w:val="en-GB"/>
        </w:rPr>
        <w:t>recommended that the mandate of the Informal Advisory Committee on Capacity-building for the Implementation of the Nagoya Protocol be expanded to include the provision of advice on issues more generally related to the implementation of the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5AEBBB67" w14:textId="562B1E79"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86368" w:rsidRPr="005858BB">
          <w:rPr>
            <w:szCs w:val="20"/>
            <w:lang w:val="fr-FR"/>
          </w:rPr>
          <w:t>CBD</w:t>
        </w:r>
        <w:r w:rsidR="00D86368">
          <w:rPr>
            <w:szCs w:val="20"/>
            <w:lang w:val="fr-FR"/>
          </w:rPr>
          <w:t>/</w:t>
        </w:r>
        <w:r w:rsidR="00D86368" w:rsidRPr="005858BB">
          <w:rPr>
            <w:szCs w:val="20"/>
            <w:lang w:val="fr-FR"/>
          </w:rPr>
          <w:t>NP/MOP/5/</w:t>
        </w:r>
        <w:r w:rsidR="00D86368">
          <w:rPr>
            <w:szCs w:val="20"/>
            <w:lang w:val="fr-FR"/>
          </w:rPr>
          <w:t>L.5</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4F3CDF2C" w:rsidR="002B559C" w:rsidRPr="002B559C" w:rsidRDefault="00D86368" w:rsidP="002B559C">
        <w:pPr>
          <w:pStyle w:val="Header"/>
          <w:spacing w:after="240"/>
          <w:jc w:val="right"/>
          <w:rPr>
            <w:szCs w:val="20"/>
            <w:lang w:val="fr-FR"/>
          </w:rPr>
        </w:pPr>
        <w:r>
          <w:rPr>
            <w:szCs w:val="20"/>
            <w:lang w:val="fr-FR"/>
          </w:rPr>
          <w:t>CBD/NP/MOP/5/L.5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7"/>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 w:numId="33" w16cid:durableId="7591833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01BE5"/>
    <w:rsid w:val="00020F0C"/>
    <w:rsid w:val="0002124D"/>
    <w:rsid w:val="00037D7B"/>
    <w:rsid w:val="00040598"/>
    <w:rsid w:val="00087E1A"/>
    <w:rsid w:val="000B0607"/>
    <w:rsid w:val="000C04BB"/>
    <w:rsid w:val="000D11FE"/>
    <w:rsid w:val="000D3DC1"/>
    <w:rsid w:val="00132581"/>
    <w:rsid w:val="00156442"/>
    <w:rsid w:val="00165426"/>
    <w:rsid w:val="00173C53"/>
    <w:rsid w:val="00184909"/>
    <w:rsid w:val="001D7501"/>
    <w:rsid w:val="001E76CD"/>
    <w:rsid w:val="00202FDF"/>
    <w:rsid w:val="0021066C"/>
    <w:rsid w:val="00265BFA"/>
    <w:rsid w:val="002B00CA"/>
    <w:rsid w:val="002B559C"/>
    <w:rsid w:val="002D4858"/>
    <w:rsid w:val="00303F0B"/>
    <w:rsid w:val="0030798D"/>
    <w:rsid w:val="00310608"/>
    <w:rsid w:val="00317EA5"/>
    <w:rsid w:val="00323F22"/>
    <w:rsid w:val="00343445"/>
    <w:rsid w:val="003476A9"/>
    <w:rsid w:val="003619FF"/>
    <w:rsid w:val="00363AAE"/>
    <w:rsid w:val="00394E74"/>
    <w:rsid w:val="003A5182"/>
    <w:rsid w:val="003C6F10"/>
    <w:rsid w:val="003E1569"/>
    <w:rsid w:val="004202A4"/>
    <w:rsid w:val="0042541F"/>
    <w:rsid w:val="00434349"/>
    <w:rsid w:val="00441498"/>
    <w:rsid w:val="00445AE3"/>
    <w:rsid w:val="004503B0"/>
    <w:rsid w:val="00454C2A"/>
    <w:rsid w:val="00457C5E"/>
    <w:rsid w:val="004701EE"/>
    <w:rsid w:val="00471250"/>
    <w:rsid w:val="00480A8D"/>
    <w:rsid w:val="00484025"/>
    <w:rsid w:val="004A2A2D"/>
    <w:rsid w:val="004F01D1"/>
    <w:rsid w:val="005277E5"/>
    <w:rsid w:val="005343CE"/>
    <w:rsid w:val="00537248"/>
    <w:rsid w:val="005858BB"/>
    <w:rsid w:val="0058598A"/>
    <w:rsid w:val="00597AE9"/>
    <w:rsid w:val="005A206E"/>
    <w:rsid w:val="005A2608"/>
    <w:rsid w:val="005C0058"/>
    <w:rsid w:val="005D02AF"/>
    <w:rsid w:val="005E139E"/>
    <w:rsid w:val="005E2605"/>
    <w:rsid w:val="00657ED6"/>
    <w:rsid w:val="00675A60"/>
    <w:rsid w:val="006849D8"/>
    <w:rsid w:val="006878A1"/>
    <w:rsid w:val="00695A2A"/>
    <w:rsid w:val="006B293D"/>
    <w:rsid w:val="00722D66"/>
    <w:rsid w:val="0076622F"/>
    <w:rsid w:val="00772E16"/>
    <w:rsid w:val="007730F5"/>
    <w:rsid w:val="007A7F22"/>
    <w:rsid w:val="007C4D38"/>
    <w:rsid w:val="007C77BC"/>
    <w:rsid w:val="007D48FD"/>
    <w:rsid w:val="008072DA"/>
    <w:rsid w:val="00851C72"/>
    <w:rsid w:val="00855E32"/>
    <w:rsid w:val="00862B8D"/>
    <w:rsid w:val="00874541"/>
    <w:rsid w:val="00874ED5"/>
    <w:rsid w:val="008E0581"/>
    <w:rsid w:val="00924267"/>
    <w:rsid w:val="00935461"/>
    <w:rsid w:val="009459E3"/>
    <w:rsid w:val="00966BEE"/>
    <w:rsid w:val="00995DDC"/>
    <w:rsid w:val="009C1114"/>
    <w:rsid w:val="009F38C5"/>
    <w:rsid w:val="00A15E68"/>
    <w:rsid w:val="00A401C5"/>
    <w:rsid w:val="00A54FA0"/>
    <w:rsid w:val="00A772A2"/>
    <w:rsid w:val="00A82178"/>
    <w:rsid w:val="00A96B21"/>
    <w:rsid w:val="00AE1A95"/>
    <w:rsid w:val="00AF6747"/>
    <w:rsid w:val="00B36EA9"/>
    <w:rsid w:val="00B42D6E"/>
    <w:rsid w:val="00B75168"/>
    <w:rsid w:val="00BA6663"/>
    <w:rsid w:val="00BC1DDF"/>
    <w:rsid w:val="00BF1608"/>
    <w:rsid w:val="00BF7CBB"/>
    <w:rsid w:val="00C04FD3"/>
    <w:rsid w:val="00C2354A"/>
    <w:rsid w:val="00C35912"/>
    <w:rsid w:val="00C35EE0"/>
    <w:rsid w:val="00C9277A"/>
    <w:rsid w:val="00CB1C90"/>
    <w:rsid w:val="00CC1DC0"/>
    <w:rsid w:val="00CF0099"/>
    <w:rsid w:val="00CF68FD"/>
    <w:rsid w:val="00CF70AB"/>
    <w:rsid w:val="00D154E8"/>
    <w:rsid w:val="00D23F1E"/>
    <w:rsid w:val="00D3059B"/>
    <w:rsid w:val="00D60046"/>
    <w:rsid w:val="00D71EAB"/>
    <w:rsid w:val="00D71FFB"/>
    <w:rsid w:val="00D7462A"/>
    <w:rsid w:val="00D86368"/>
    <w:rsid w:val="00DB3E36"/>
    <w:rsid w:val="00DD74C2"/>
    <w:rsid w:val="00E15315"/>
    <w:rsid w:val="00E1597C"/>
    <w:rsid w:val="00E92058"/>
    <w:rsid w:val="00EC6AB6"/>
    <w:rsid w:val="00ED01FF"/>
    <w:rsid w:val="00ED3849"/>
    <w:rsid w:val="00F258FB"/>
    <w:rsid w:val="00F6660F"/>
    <w:rsid w:val="00F7593A"/>
    <w:rsid w:val="00F75F90"/>
    <w:rsid w:val="00FA18C9"/>
    <w:rsid w:val="00FA79F1"/>
    <w:rsid w:val="00FC0705"/>
    <w:rsid w:val="00FC615C"/>
    <w:rsid w:val="00FF01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C5293ECB-2C4E-4274-8A71-7A2C9D39C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858BB"/>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858BB"/>
    <w:rPr>
      <w:rFonts w:ascii="Times New Roman" w:eastAsia="SimSun" w:hAnsi="Times New Roman" w:cs="Times New Roman"/>
      <w:kern w:val="0"/>
      <w:lang w:val="en-US"/>
      <w14:ligatures w14:val="none"/>
    </w:rPr>
  </w:style>
  <w:style w:type="paragraph" w:styleId="Revision">
    <w:name w:val="Revision"/>
    <w:hidden/>
    <w:uiPriority w:val="99"/>
    <w:semiHidden/>
    <w:rsid w:val="00363AAE"/>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bsch.cbd.int/en/kb/tags/abs/First-National-Report-on-the-Implementation-of-the-Nagoya-Protocol/66199bba4defc2994ae886d7"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ecisions/?id=1340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bs/text/articles?sec=abs-21"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F2607"/>
    <w:rsid w:val="0020793B"/>
    <w:rsid w:val="00256B12"/>
    <w:rsid w:val="002C3162"/>
    <w:rsid w:val="00303F0B"/>
    <w:rsid w:val="003619FF"/>
    <w:rsid w:val="00367FE9"/>
    <w:rsid w:val="003C2939"/>
    <w:rsid w:val="004202A4"/>
    <w:rsid w:val="00445AE3"/>
    <w:rsid w:val="00484025"/>
    <w:rsid w:val="0058270C"/>
    <w:rsid w:val="00760256"/>
    <w:rsid w:val="007D48FD"/>
    <w:rsid w:val="00851C72"/>
    <w:rsid w:val="008970A5"/>
    <w:rsid w:val="00926059"/>
    <w:rsid w:val="00967CF3"/>
    <w:rsid w:val="00986A85"/>
    <w:rsid w:val="00A82178"/>
    <w:rsid w:val="00C05839"/>
    <w:rsid w:val="00C9277A"/>
    <w:rsid w:val="00D154E8"/>
    <w:rsid w:val="00D34932"/>
    <w:rsid w:val="00DC2AEA"/>
    <w:rsid w:val="00E7239C"/>
    <w:rsid w:val="00F66FD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C81F47C6-A489-44EC-89FC-60EF69199BE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D96AC77F-4C8B-463E-83DE-E7294DDA3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9</TotalTime>
  <Pages>4</Pages>
  <Words>1608</Words>
  <Characters>9171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Assessment and review of the effectiveness of the Protocol</vt:lpstr>
    </vt:vector>
  </TitlesOfParts>
  <Company/>
  <LinksUpToDate>false</LinksUpToDate>
  <CharactersWithSpaces>10758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methodology for the second assessment and review of the effectiveness of the Nagoya Protocol</dc:title>
  <dc:subject>CBD/NP/MOP/5/L.5</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7</cp:revision>
  <dcterms:created xsi:type="dcterms:W3CDTF">2024-10-25T02:51:00Z</dcterms:created>
  <dcterms:modified xsi:type="dcterms:W3CDTF">2024-10-25T03:00:00Z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