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C3CEC" w14:paraId="207F35AA" w14:textId="77777777" w:rsidTr="00D9044B">
        <w:trPr>
          <w:trHeight w:val="851"/>
        </w:trPr>
        <w:tc>
          <w:tcPr>
            <w:tcW w:w="465" w:type="pct"/>
            <w:tcBorders>
              <w:bottom w:val="single" w:sz="8" w:space="0" w:color="auto"/>
            </w:tcBorders>
            <w:vAlign w:val="bottom"/>
          </w:tcPr>
          <w:p w14:paraId="3A8C768C" w14:textId="77777777" w:rsidR="00A96B21" w:rsidRPr="00615E50" w:rsidRDefault="00A96B21" w:rsidP="00D9044B">
            <w:pPr>
              <w:spacing w:after="120"/>
              <w:jc w:val="left"/>
              <w:rPr>
                <w:lang w:val="es-419"/>
              </w:rPr>
            </w:pPr>
            <w:bookmarkStart w:id="0" w:name="_Hlk137651738"/>
            <w:r w:rsidRPr="00615E50">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5DDD18" w:rsidR="00A96B21" w:rsidRPr="00615E50" w:rsidRDefault="00EA4B40" w:rsidP="00D9044B">
            <w:pPr>
              <w:spacing w:after="120"/>
              <w:jc w:val="left"/>
              <w:rPr>
                <w:lang w:val="es-419"/>
              </w:rPr>
            </w:pPr>
            <w:r w:rsidRPr="00615E50">
              <w:rPr>
                <w:noProof/>
                <w:lang w:val="en-US"/>
              </w:rPr>
              <w:drawing>
                <wp:inline distT="0" distB="0" distL="0" distR="0" wp14:anchorId="25F7AE13" wp14:editId="29DDC5E7">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6EEADFFB" w:rsidR="00A96B21" w:rsidRPr="000B2190" w:rsidRDefault="00A96B21" w:rsidP="00184909">
            <w:pPr>
              <w:spacing w:after="120"/>
              <w:ind w:left="2021"/>
              <w:jc w:val="right"/>
              <w:rPr>
                <w:szCs w:val="22"/>
                <w:lang w:val="en-US"/>
              </w:rPr>
            </w:pPr>
            <w:r w:rsidRPr="000B2190">
              <w:rPr>
                <w:sz w:val="40"/>
                <w:lang w:val="en-US"/>
              </w:rPr>
              <w:t>CBD</w:t>
            </w:r>
            <w:r w:rsidRPr="000B2190">
              <w:rPr>
                <w:lang w:val="en-US"/>
              </w:rPr>
              <w:t>/CP/MOP/11/L.1/Rev.1</w:t>
            </w:r>
          </w:p>
        </w:tc>
      </w:tr>
      <w:tr w:rsidR="00A96B21" w:rsidRPr="00615E50" w14:paraId="49604A68" w14:textId="77777777" w:rsidTr="00D9044B">
        <w:tc>
          <w:tcPr>
            <w:tcW w:w="2297" w:type="pct"/>
            <w:gridSpan w:val="2"/>
            <w:tcBorders>
              <w:top w:val="single" w:sz="8" w:space="0" w:color="auto"/>
              <w:bottom w:val="single" w:sz="12" w:space="0" w:color="auto"/>
            </w:tcBorders>
          </w:tcPr>
          <w:p w14:paraId="4B3A6D69" w14:textId="15EDD534" w:rsidR="00A96B21" w:rsidRPr="00615E50" w:rsidRDefault="00EA4B40" w:rsidP="00D9044B">
            <w:pPr>
              <w:pStyle w:val="Cornernotation"/>
              <w:suppressLineNumbers/>
              <w:suppressAutoHyphens/>
              <w:spacing w:before="120" w:after="120"/>
              <w:ind w:right="0"/>
              <w:rPr>
                <w:lang w:val="es-419"/>
              </w:rPr>
            </w:pPr>
            <w:r w:rsidRPr="00615E50">
              <w:rPr>
                <w:b w:val="0"/>
                <w:bCs/>
                <w:noProof/>
                <w:lang w:val="en-US"/>
              </w:rPr>
              <w:drawing>
                <wp:inline distT="0" distB="0" distL="0" distR="0" wp14:anchorId="6018F804" wp14:editId="38EFA046">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BB644A5" w:rsidR="00A96B21" w:rsidRPr="00615E50" w:rsidRDefault="00A96B21" w:rsidP="007F7E8B">
            <w:pPr>
              <w:ind w:left="2584"/>
              <w:jc w:val="left"/>
              <w:rPr>
                <w:lang w:val="es-419"/>
              </w:rPr>
            </w:pPr>
            <w:r w:rsidRPr="00615E50">
              <w:rPr>
                <w:lang w:val="es-419"/>
              </w:rPr>
              <w:t>Distr. limitada</w:t>
            </w:r>
          </w:p>
          <w:p w14:paraId="37D4D930" w14:textId="251B9B7E" w:rsidR="00A96B21" w:rsidRPr="00615E50" w:rsidRDefault="00115557" w:rsidP="00A507D4">
            <w:pPr>
              <w:ind w:left="2584"/>
              <w:jc w:val="left"/>
              <w:rPr>
                <w:lang w:val="es-419"/>
              </w:rPr>
            </w:pPr>
            <w:r>
              <w:rPr>
                <w:lang w:val="es-419"/>
              </w:rPr>
              <w:t>26</w:t>
            </w:r>
            <w:r w:rsidR="002F61C8" w:rsidRPr="00615E50">
              <w:rPr>
                <w:lang w:val="es-419"/>
              </w:rPr>
              <w:t xml:space="preserve"> de febrero de 2025</w:t>
            </w:r>
          </w:p>
          <w:p w14:paraId="49F9309F" w14:textId="77777777" w:rsidR="00A96B21" w:rsidRPr="00615E50" w:rsidRDefault="00A96B21" w:rsidP="003C6F10">
            <w:pPr>
              <w:ind w:left="2584"/>
              <w:rPr>
                <w:lang w:val="es-419"/>
              </w:rPr>
            </w:pPr>
            <w:r w:rsidRPr="00615E50">
              <w:rPr>
                <w:lang w:val="es-419"/>
              </w:rPr>
              <w:t>Español</w:t>
            </w:r>
            <w:r w:rsidRPr="00615E50">
              <w:rPr>
                <w:lang w:val="es-419"/>
              </w:rPr>
              <w:br/>
              <w:t>Original: inglés</w:t>
            </w:r>
          </w:p>
          <w:p w14:paraId="77CB3294" w14:textId="77777777" w:rsidR="00A96B21" w:rsidRPr="00615E50" w:rsidRDefault="00A96B21" w:rsidP="00D9044B">
            <w:pPr>
              <w:rPr>
                <w:lang w:val="es-419"/>
              </w:rPr>
            </w:pPr>
          </w:p>
        </w:tc>
      </w:tr>
    </w:tbl>
    <w:p w14:paraId="15B09820" w14:textId="10FCE77E" w:rsidR="00A96B21" w:rsidRPr="00615E50" w:rsidRDefault="00392FF8" w:rsidP="00A96B21">
      <w:pPr>
        <w:pStyle w:val="Cornernotation"/>
        <w:rPr>
          <w:bCs/>
          <w:sz w:val="22"/>
          <w:lang w:val="es-419"/>
        </w:rPr>
      </w:pPr>
      <w:r w:rsidRPr="00615E50">
        <w:rPr>
          <w:lang w:val="es-419"/>
        </w:rPr>
        <w:t>Conferencia de las Partes en el Convenio sobre la</w:t>
      </w:r>
      <w:r w:rsidR="004627E7" w:rsidRPr="00615E50">
        <w:rPr>
          <w:lang w:val="es-419"/>
        </w:rPr>
        <w:br/>
      </w:r>
      <w:r w:rsidRPr="00615E50">
        <w:rPr>
          <w:lang w:val="es-419"/>
        </w:rPr>
        <w:t xml:space="preserve">Diversidad Biológica que actúa como </w:t>
      </w:r>
      <w:r w:rsidR="004627E7" w:rsidRPr="00615E50">
        <w:rPr>
          <w:lang w:val="es-419"/>
        </w:rPr>
        <w:t>reunión de las</w:t>
      </w:r>
      <w:r w:rsidR="004627E7" w:rsidRPr="00615E50">
        <w:rPr>
          <w:lang w:val="es-419"/>
        </w:rPr>
        <w:br/>
      </w:r>
      <w:r w:rsidRPr="00615E50">
        <w:rPr>
          <w:lang w:val="es-419"/>
        </w:rPr>
        <w:t>Partes en el Protocolo de Cartagena sobre Seguridad</w:t>
      </w:r>
      <w:r w:rsidR="004627E7" w:rsidRPr="00615E50">
        <w:rPr>
          <w:lang w:val="es-419"/>
        </w:rPr>
        <w:br/>
      </w:r>
      <w:r w:rsidRPr="00615E50">
        <w:rPr>
          <w:lang w:val="es-419"/>
        </w:rPr>
        <w:t>de la Biotecnología</w:t>
      </w:r>
      <w:r w:rsidRPr="00615E50">
        <w:rPr>
          <w:sz w:val="22"/>
          <w:lang w:val="es-419"/>
        </w:rPr>
        <w:t xml:space="preserve"> </w:t>
      </w:r>
    </w:p>
    <w:p w14:paraId="33D9D67C" w14:textId="1AD9549C" w:rsidR="00392FF8" w:rsidRPr="00615E50" w:rsidRDefault="00392FF8" w:rsidP="00A96B21">
      <w:pPr>
        <w:pStyle w:val="Venuedate"/>
        <w:rPr>
          <w:b/>
          <w:bCs w:val="0"/>
          <w:lang w:val="es-419"/>
        </w:rPr>
      </w:pPr>
      <w:r w:rsidRPr="00615E50">
        <w:rPr>
          <w:b/>
          <w:lang w:val="es-419"/>
        </w:rPr>
        <w:t>11ª reunión</w:t>
      </w:r>
    </w:p>
    <w:p w14:paraId="32C8D287" w14:textId="414C68C4" w:rsidR="00A96B21" w:rsidRPr="00615E50" w:rsidRDefault="00392FF8" w:rsidP="00182866">
      <w:pPr>
        <w:pStyle w:val="Venuedate"/>
        <w:ind w:right="3125"/>
        <w:rPr>
          <w:lang w:val="es-419"/>
        </w:rPr>
      </w:pPr>
      <w:r w:rsidRPr="00615E50">
        <w:rPr>
          <w:lang w:val="es-419"/>
        </w:rPr>
        <w:t>Cali (Colombia), 21 de octubre a 1 de noviembre de 2024</w:t>
      </w:r>
      <w:r w:rsidRPr="00615E50">
        <w:rPr>
          <w:lang w:val="es-419"/>
        </w:rPr>
        <w:br/>
        <w:t>En línea, 3</w:t>
      </w:r>
      <w:r w:rsidRPr="00615E50">
        <w:rPr>
          <w:color w:val="000000"/>
          <w:lang w:val="es-419"/>
        </w:rPr>
        <w:t xml:space="preserve"> a 6 de diciembre de 2024</w:t>
      </w:r>
      <w:r w:rsidRPr="00615E50">
        <w:rPr>
          <w:color w:val="000000"/>
          <w:lang w:val="es-419"/>
        </w:rPr>
        <w:br/>
      </w:r>
      <w:r w:rsidRPr="00615E50">
        <w:rPr>
          <w:lang w:val="es-419"/>
        </w:rPr>
        <w:t xml:space="preserve">Roma, </w:t>
      </w:r>
      <w:r w:rsidRPr="00615E50">
        <w:rPr>
          <w:color w:val="000000"/>
          <w:lang w:val="es-419"/>
        </w:rPr>
        <w:t>25 a 27 de febrero de 2025</w:t>
      </w:r>
    </w:p>
    <w:p w14:paraId="5D4142C8" w14:textId="76696DB3" w:rsidR="00A96B21" w:rsidRPr="00615E50" w:rsidRDefault="00520000" w:rsidP="00A96B21">
      <w:pPr>
        <w:pStyle w:val="Cornernotation-Item"/>
        <w:rPr>
          <w:b w:val="0"/>
          <w:bCs w:val="0"/>
          <w:lang w:val="es-419"/>
        </w:rPr>
      </w:pPr>
      <w:r w:rsidRPr="00615E50">
        <w:rPr>
          <w:b w:val="0"/>
          <w:lang w:val="es-419"/>
        </w:rPr>
        <w:t>Tema 16 del programa</w:t>
      </w:r>
    </w:p>
    <w:p w14:paraId="2BABE646" w14:textId="44BF73B4" w:rsidR="00A96B21" w:rsidRPr="00615E50" w:rsidRDefault="00520000" w:rsidP="00F62CB6">
      <w:pPr>
        <w:pStyle w:val="Cornernotation-Item"/>
        <w:ind w:right="4398"/>
        <w:rPr>
          <w:lang w:val="es-419"/>
        </w:rPr>
      </w:pPr>
      <w:r w:rsidRPr="00615E50">
        <w:rPr>
          <w:lang w:val="es-419"/>
        </w:rPr>
        <w:t>Adopción del informe</w:t>
      </w:r>
    </w:p>
    <w:bookmarkEnd w:id="0"/>
    <w:p w14:paraId="7CADC951" w14:textId="0C78FEED" w:rsidR="00A96B21" w:rsidRPr="00615E50" w:rsidRDefault="00000000" w:rsidP="00131910">
      <w:pPr>
        <w:pStyle w:val="CBDTitle"/>
        <w:rPr>
          <w:lang w:val="es-419"/>
        </w:rPr>
      </w:pPr>
      <w:sdt>
        <w:sdtPr>
          <w:rPr>
            <w:lang w:val="es-419"/>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EA4B40" w:rsidRPr="00615E50">
            <w:rPr>
              <w:lang w:val="es-419"/>
            </w:rPr>
            <w:t>Proyecto de informe de la reunión</w:t>
          </w:r>
        </w:sdtContent>
      </w:sdt>
    </w:p>
    <w:p w14:paraId="4541CC06" w14:textId="5500113C" w:rsidR="00557370" w:rsidRPr="00615E50" w:rsidRDefault="002B38F5" w:rsidP="002B38F5">
      <w:pPr>
        <w:pStyle w:val="CBDH1"/>
        <w:rPr>
          <w:lang w:val="es-419"/>
        </w:rPr>
      </w:pPr>
      <w:r w:rsidRPr="00615E50">
        <w:rPr>
          <w:lang w:val="es-419"/>
        </w:rPr>
        <w:t>I.</w:t>
      </w:r>
      <w:r w:rsidRPr="00615E50">
        <w:rPr>
          <w:lang w:val="es-419"/>
        </w:rPr>
        <w:tab/>
        <w:t>Introducción</w:t>
      </w:r>
    </w:p>
    <w:p w14:paraId="7973825E" w14:textId="509A29D4" w:rsidR="002B38F5" w:rsidRPr="00615E50" w:rsidRDefault="002B38F5" w:rsidP="002B38F5">
      <w:pPr>
        <w:pStyle w:val="CBDH2"/>
        <w:rPr>
          <w:lang w:val="es-419"/>
        </w:rPr>
      </w:pPr>
      <w:r w:rsidRPr="00615E50">
        <w:rPr>
          <w:lang w:val="es-419"/>
        </w:rPr>
        <w:t>A.</w:t>
      </w:r>
      <w:r w:rsidRPr="00615E50">
        <w:rPr>
          <w:lang w:val="es-419"/>
        </w:rPr>
        <w:tab/>
        <w:t>Antecedentes</w:t>
      </w:r>
    </w:p>
    <w:p w14:paraId="749A92A0" w14:textId="3DE6C819" w:rsidR="005E4A59" w:rsidRPr="00615E50" w:rsidRDefault="006B49C8" w:rsidP="00A02EDB">
      <w:pPr>
        <w:pStyle w:val="CBDNormalNumber"/>
        <w:rPr>
          <w:lang w:val="es-419"/>
        </w:rPr>
      </w:pPr>
      <w:r w:rsidRPr="00615E50">
        <w:rPr>
          <w:lang w:val="es-419"/>
        </w:rPr>
        <w:t xml:space="preserve">La 11ª reunión de la Conferencia de las Partes que actúa como reunión de las Partes en el Protocolo de Cartagena sobre Seguridad de la Biotecnología </w:t>
      </w:r>
      <w:r w:rsidRPr="00615E50">
        <w:rPr>
          <w:color w:val="000000" w:themeColor="text1"/>
          <w:lang w:val="es-419"/>
        </w:rPr>
        <w:t>se</w:t>
      </w:r>
      <w:r w:rsidRPr="00615E50">
        <w:rPr>
          <w:lang w:val="es-419"/>
        </w:rPr>
        <w:t xml:space="preserve"> celebró en forma concurrente con la 16ª reunión de la Conferencia de las Partes en el Convenio sobre la Diversidad Biológica y la 5ª reunión de la Conferencia de las Partes que actúa como reunión de las Partes en el Protocolo de Nagoya sobre Acceso a los Recursos Genéticos y Participación Justa y Equitativa en los Beneficios que se Deriven de su Utilización. La 11</w:t>
      </w:r>
      <w:r w:rsidRPr="00615E50">
        <w:rPr>
          <w:vertAlign w:val="superscript"/>
          <w:lang w:val="es-419"/>
        </w:rPr>
        <w:t>a</w:t>
      </w:r>
      <w:r w:rsidR="00EA4B40" w:rsidRPr="00615E50">
        <w:rPr>
          <w:lang w:val="es-419"/>
        </w:rPr>
        <w:t> </w:t>
      </w:r>
      <w:r w:rsidRPr="00615E50">
        <w:rPr>
          <w:lang w:val="es-419"/>
        </w:rPr>
        <w:t xml:space="preserve">reunión comenzó en Cali (Colombia) el 21 de octubre de 2024 y debió suspenderse en la mañana del 2 de noviembre de 2024 por falta de </w:t>
      </w:r>
      <w:r w:rsidRPr="00615E50">
        <w:rPr>
          <w:i/>
          <w:iCs/>
          <w:lang w:val="es-419"/>
        </w:rPr>
        <w:t>quorum</w:t>
      </w:r>
      <w:r w:rsidRPr="00615E50">
        <w:rPr>
          <w:lang w:val="es-419"/>
        </w:rPr>
        <w:t xml:space="preserve">, antes de que se pudieran tratar todos los temas en sesión plenaria. Por consiguiente, del 3 al 6 de diciembre de 2024 se celebró una primera continuación de la reunión en línea, conforme a un procedimiento de acuerdo tácito, para considerar las decisiones relacionadas con el presupuesto (véase el tema 6 más adelante), y del 25 al 27 de febrero de 2025 se celebró una segunda continuación de la reunión en modalidad presencial en Roma para considerar todos los temas que </w:t>
      </w:r>
      <w:r w:rsidR="00EA35E8" w:rsidRPr="00615E50">
        <w:rPr>
          <w:lang w:val="es-419"/>
        </w:rPr>
        <w:t xml:space="preserve">habían </w:t>
      </w:r>
      <w:r w:rsidRPr="00615E50">
        <w:rPr>
          <w:lang w:val="es-419"/>
        </w:rPr>
        <w:t>queda</w:t>
      </w:r>
      <w:r w:rsidR="00EA35E8" w:rsidRPr="00615E50">
        <w:rPr>
          <w:lang w:val="es-419"/>
        </w:rPr>
        <w:t>d</w:t>
      </w:r>
      <w:r w:rsidRPr="00615E50">
        <w:rPr>
          <w:lang w:val="es-419"/>
        </w:rPr>
        <w:t xml:space="preserve">o pendientes (véanse los temas </w:t>
      </w:r>
      <w:r w:rsidR="004E45A6" w:rsidRPr="00615E50">
        <w:rPr>
          <w:lang w:val="es-419"/>
        </w:rPr>
        <w:t>1 a 3 y 15 a 17 más adelante).</w:t>
      </w:r>
      <w:r w:rsidR="006C3CEC">
        <w:rPr>
          <w:lang w:val="es-419"/>
        </w:rPr>
        <w:t xml:space="preserve"> </w:t>
      </w:r>
    </w:p>
    <w:p w14:paraId="083CCF6F" w14:textId="22900F28" w:rsidR="00557370" w:rsidRPr="00615E50" w:rsidRDefault="005E4A59" w:rsidP="00A02EDB">
      <w:pPr>
        <w:pStyle w:val="CBDNormalNumber"/>
        <w:rPr>
          <w:lang w:val="es-419"/>
        </w:rPr>
      </w:pPr>
      <w:r w:rsidRPr="00615E50">
        <w:rPr>
          <w:lang w:val="es-419"/>
        </w:rPr>
        <w:t>La 11ª reunión estuvo precedida por una ceremonia de apertura que tuvo lugar el 20 de octubre y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María Susana Muhamad González, la Gobernadora del Departamento del Valle del Cauca, Dilian Francisca Toro Torres, y el Alcalde de Cali, Álvaro Alejandro Eder Garcés.</w:t>
      </w:r>
    </w:p>
    <w:p w14:paraId="07146951" w14:textId="79925E9E" w:rsidR="002B38F5" w:rsidRPr="00615E50" w:rsidRDefault="002B38F5" w:rsidP="002B38F5">
      <w:pPr>
        <w:pStyle w:val="CBDH2"/>
        <w:rPr>
          <w:lang w:val="es-419"/>
        </w:rPr>
      </w:pPr>
      <w:r w:rsidRPr="00615E50">
        <w:rPr>
          <w:lang w:val="es-419"/>
        </w:rPr>
        <w:t>B.</w:t>
      </w:r>
      <w:r w:rsidRPr="00615E50">
        <w:rPr>
          <w:lang w:val="es-419"/>
        </w:rPr>
        <w:tab/>
        <w:t>Asistentes</w:t>
      </w:r>
    </w:p>
    <w:p w14:paraId="0FA73EFD" w14:textId="6C769CD8" w:rsidR="002B38F5" w:rsidRPr="00615E50" w:rsidRDefault="00A02EDB" w:rsidP="00A02EDB">
      <w:pPr>
        <w:pStyle w:val="CBDNormalNumber"/>
        <w:rPr>
          <w:lang w:val="es-419"/>
        </w:rPr>
      </w:pPr>
      <w:r w:rsidRPr="00615E50">
        <w:rPr>
          <w:lang w:val="es-419"/>
        </w:rPr>
        <w:t>[se completará]</w:t>
      </w:r>
    </w:p>
    <w:p w14:paraId="234558D6" w14:textId="77777777" w:rsidR="00997CD4" w:rsidRPr="00615E50" w:rsidRDefault="00997CD4" w:rsidP="001038CE">
      <w:pPr>
        <w:pStyle w:val="CBDH1"/>
        <w:rPr>
          <w:lang w:val="es-419"/>
        </w:rPr>
      </w:pPr>
      <w:r w:rsidRPr="00615E50">
        <w:rPr>
          <w:lang w:val="es-419"/>
        </w:rPr>
        <w:lastRenderedPageBreak/>
        <w:t>II.</w:t>
      </w:r>
      <w:r w:rsidRPr="00615E50">
        <w:rPr>
          <w:lang w:val="es-419"/>
        </w:rPr>
        <w:tab/>
        <w:t>Resumen de las deliberaciones de la reunión</w:t>
      </w:r>
    </w:p>
    <w:p w14:paraId="754BCDA1" w14:textId="4DB5059A" w:rsidR="00557370" w:rsidRPr="00615E50" w:rsidRDefault="004E26AC" w:rsidP="006F791E">
      <w:pPr>
        <w:pStyle w:val="CBDAgendaItem"/>
        <w:rPr>
          <w:lang w:val="es-419"/>
        </w:rPr>
      </w:pPr>
      <w:r w:rsidRPr="00615E50">
        <w:rPr>
          <w:lang w:val="es-419"/>
        </w:rPr>
        <w:t>Tema 1</w:t>
      </w:r>
      <w:r w:rsidRPr="00615E50">
        <w:rPr>
          <w:lang w:val="es-419"/>
        </w:rPr>
        <w:br/>
        <w:t>Apertura de la reunión</w:t>
      </w:r>
    </w:p>
    <w:p w14:paraId="31074DE0" w14:textId="345BA697" w:rsidR="005E4A59" w:rsidRPr="00615E50" w:rsidRDefault="00392FF8" w:rsidP="006B49C8">
      <w:pPr>
        <w:pStyle w:val="CBDNormalNumber"/>
        <w:spacing w:before="0"/>
        <w:rPr>
          <w:lang w:val="es-419"/>
        </w:rPr>
      </w:pPr>
      <w:r w:rsidRPr="00615E50">
        <w:rPr>
          <w:lang w:val="es-419"/>
        </w:rPr>
        <w:t>La primera sesión plenaria se celebró el 21 de octubre de 2024 conjuntamente con las sesiones plenarias de la Conferencia de las Partes en el Convenio y de la Conferencia de las Partes que actúa como reunión de las Partes en el Protocolo de Nagoya.</w:t>
      </w:r>
    </w:p>
    <w:p w14:paraId="781C9BC9" w14:textId="1DDD7E18" w:rsidR="00557370" w:rsidRPr="00615E50" w:rsidRDefault="00D82B42" w:rsidP="0043420D">
      <w:pPr>
        <w:pStyle w:val="CBDNormalNumber"/>
        <w:rPr>
          <w:lang w:val="es-419"/>
        </w:rPr>
      </w:pPr>
      <w:r>
        <w:rPr>
          <w:lang w:val="es-419"/>
        </w:rPr>
        <w:t>La</w:t>
      </w:r>
      <w:r w:rsidR="005E4A59" w:rsidRPr="00615E50">
        <w:rPr>
          <w:lang w:val="es-419"/>
        </w:rPr>
        <w:t xml:space="preserve"> President</w:t>
      </w:r>
      <w:r>
        <w:rPr>
          <w:lang w:val="es-419"/>
        </w:rPr>
        <w:t>a</w:t>
      </w:r>
      <w:r w:rsidR="005E4A59" w:rsidRPr="00615E50">
        <w:rPr>
          <w:lang w:val="es-419"/>
        </w:rPr>
        <w:t xml:space="preserve"> de la 15ª reunión de la Conferencia de las Partes en el Convenio declaró abiertas las reuniones a las 9.30 horas y pronunció un discurso de apertura.</w:t>
      </w:r>
    </w:p>
    <w:p w14:paraId="6BB16820" w14:textId="54029D67" w:rsidR="000C4370" w:rsidRPr="007C4E0C" w:rsidRDefault="00CC060D" w:rsidP="00A02EDB">
      <w:pPr>
        <w:pStyle w:val="CBDNormalNumber"/>
        <w:rPr>
          <w:lang w:val="es-419"/>
        </w:rPr>
      </w:pPr>
      <w:r w:rsidRPr="00615E50">
        <w:rPr>
          <w:lang w:val="es-419"/>
        </w:rPr>
        <w:t xml:space="preserve">También pronunciaron discursos de apertura la </w:t>
      </w:r>
      <w:r w:rsidRPr="00615E50">
        <w:rPr>
          <w:rFonts w:asciiTheme="majorBidi" w:hAnsiTheme="majorBidi"/>
          <w:lang w:val="es-419"/>
        </w:rPr>
        <w:t>Secretaria Ejecutiva del Convenio, Astrid Schomaker, y la Presidenta entrante de la 16ª reunión de la Conferencia de las Partes en el Convenio,</w:t>
      </w:r>
      <w:r w:rsidRPr="00615E50">
        <w:rPr>
          <w:lang w:val="es-419"/>
        </w:rPr>
        <w:t xml:space="preserve"> Ministra de Ambiente y Desarrollo Sostenible de Colombia</w:t>
      </w:r>
      <w:r w:rsidR="004E45A6" w:rsidRPr="00615E50">
        <w:rPr>
          <w:rStyle w:val="FootnoteReference"/>
          <w:rFonts w:asciiTheme="majorBidi" w:hAnsiTheme="majorBidi" w:cstheme="majorBidi"/>
          <w:lang w:val="es-419"/>
        </w:rPr>
        <w:footnoteReference w:id="2"/>
      </w:r>
      <w:r w:rsidRPr="00615E50">
        <w:rPr>
          <w:rFonts w:asciiTheme="majorBidi" w:hAnsiTheme="majorBidi"/>
          <w:lang w:val="es-419"/>
        </w:rPr>
        <w:t>.</w:t>
      </w:r>
    </w:p>
    <w:p w14:paraId="2F519254" w14:textId="387D63F2" w:rsidR="007C4E0C" w:rsidRPr="007C4E0C" w:rsidRDefault="007C4E0C" w:rsidP="007C4E0C">
      <w:pPr>
        <w:pStyle w:val="CBDNormalNumber"/>
        <w:numPr>
          <w:ilvl w:val="0"/>
          <w:numId w:val="0"/>
        </w:numPr>
        <w:ind w:left="567"/>
        <w:rPr>
          <w:i/>
          <w:iCs/>
          <w:lang w:val="es-419"/>
        </w:rPr>
      </w:pPr>
      <w:r w:rsidRPr="007C4E0C">
        <w:rPr>
          <w:i/>
          <w:iCs/>
          <w:lang w:val="es-419"/>
        </w:rPr>
        <w:t>Continuación de la reunión</w:t>
      </w:r>
    </w:p>
    <w:p w14:paraId="7E10E5FB" w14:textId="1BC4E6CE" w:rsidR="000B2190" w:rsidRPr="00615E50" w:rsidRDefault="008E00AF" w:rsidP="00A02EDB">
      <w:pPr>
        <w:pStyle w:val="CBDNormalNumber"/>
        <w:rPr>
          <w:lang w:val="es-419"/>
        </w:rPr>
      </w:pPr>
      <w:r>
        <w:rPr>
          <w:lang w:val="es-419"/>
        </w:rPr>
        <w:t>La</w:t>
      </w:r>
      <w:r w:rsidR="008B78FC">
        <w:rPr>
          <w:lang w:val="es-419"/>
        </w:rPr>
        <w:t xml:space="preserve"> President</w:t>
      </w:r>
      <w:r>
        <w:rPr>
          <w:lang w:val="es-419"/>
        </w:rPr>
        <w:t>a</w:t>
      </w:r>
      <w:r w:rsidR="008B78FC">
        <w:rPr>
          <w:lang w:val="es-419"/>
        </w:rPr>
        <w:t xml:space="preserve"> de la 11ª reunión de la Conferencia de las Partes </w:t>
      </w:r>
      <w:r w:rsidR="00D72547">
        <w:rPr>
          <w:lang w:val="es-419"/>
        </w:rPr>
        <w:t xml:space="preserve">que </w:t>
      </w:r>
      <w:r w:rsidR="00BA5BA1" w:rsidRPr="00615E50">
        <w:rPr>
          <w:lang w:val="es-419"/>
        </w:rPr>
        <w:t>actúa como reunión de las Partes en el Protocolo</w:t>
      </w:r>
      <w:r w:rsidR="00BA5BA1">
        <w:rPr>
          <w:lang w:val="es-419"/>
        </w:rPr>
        <w:t xml:space="preserve">, </w:t>
      </w:r>
      <w:r w:rsidR="00134903">
        <w:rPr>
          <w:lang w:val="es-419"/>
        </w:rPr>
        <w:t>Ministr</w:t>
      </w:r>
      <w:r>
        <w:rPr>
          <w:lang w:val="es-419"/>
        </w:rPr>
        <w:t>a</w:t>
      </w:r>
      <w:r w:rsidR="00134903">
        <w:rPr>
          <w:lang w:val="es-419"/>
        </w:rPr>
        <w:t xml:space="preserve"> de </w:t>
      </w:r>
      <w:r w:rsidR="00D72547">
        <w:rPr>
          <w:lang w:val="es-419"/>
        </w:rPr>
        <w:t>Ambiente y Desarrollo Sostenible de Colombia</w:t>
      </w:r>
      <w:r w:rsidR="00864E89">
        <w:rPr>
          <w:rStyle w:val="FootnoteReference"/>
        </w:rPr>
        <w:footnoteReference w:id="3"/>
      </w:r>
      <w:r w:rsidR="00537BA9">
        <w:rPr>
          <w:lang w:val="es-419"/>
        </w:rPr>
        <w:t xml:space="preserve">, abrió la segunda continuación de la reunión a las 10.10 </w:t>
      </w:r>
      <w:r w:rsidR="00E844BF">
        <w:rPr>
          <w:lang w:val="es-419"/>
        </w:rPr>
        <w:t>horas</w:t>
      </w:r>
      <w:r w:rsidR="00001C44">
        <w:rPr>
          <w:lang w:val="es-419"/>
        </w:rPr>
        <w:t xml:space="preserve"> del 25 de febrero de 2025, en la </w:t>
      </w:r>
      <w:r w:rsidR="00361974">
        <w:rPr>
          <w:lang w:val="es-419"/>
        </w:rPr>
        <w:t>séptima sesión plenaria</w:t>
      </w:r>
      <w:r w:rsidR="00B8040D">
        <w:rPr>
          <w:rStyle w:val="FootnoteReference"/>
        </w:rPr>
        <w:footnoteReference w:id="4"/>
      </w:r>
      <w:r w:rsidR="00361974">
        <w:rPr>
          <w:lang w:val="es-419"/>
        </w:rPr>
        <w:t>.</w:t>
      </w:r>
    </w:p>
    <w:p w14:paraId="62DBE57C" w14:textId="68940E59" w:rsidR="00F70BE9" w:rsidRPr="00615E50" w:rsidRDefault="00195B51" w:rsidP="007165A2">
      <w:pPr>
        <w:pStyle w:val="CBDNormalNumber"/>
        <w:rPr>
          <w:lang w:val="es-419"/>
        </w:rPr>
      </w:pPr>
      <w:r>
        <w:rPr>
          <w:lang w:val="es-419"/>
        </w:rPr>
        <w:t>La</w:t>
      </w:r>
      <w:r w:rsidR="00BE392C">
        <w:rPr>
          <w:lang w:val="es-419"/>
        </w:rPr>
        <w:t xml:space="preserve"> President</w:t>
      </w:r>
      <w:r>
        <w:rPr>
          <w:lang w:val="es-419"/>
        </w:rPr>
        <w:t>a</w:t>
      </w:r>
      <w:r w:rsidR="00BE392C">
        <w:rPr>
          <w:lang w:val="es-419"/>
        </w:rPr>
        <w:t xml:space="preserve">, la Secretaria Ejecutiva y </w:t>
      </w:r>
      <w:r w:rsidR="00C210FC">
        <w:rPr>
          <w:lang w:val="es-419"/>
        </w:rPr>
        <w:t xml:space="preserve">la </w:t>
      </w:r>
      <w:r w:rsidR="006E6EA0" w:rsidRPr="006E6EA0">
        <w:rPr>
          <w:lang w:val="es-419"/>
        </w:rPr>
        <w:t xml:space="preserve">Directora Ejecutiva Adjunta del </w:t>
      </w:r>
      <w:r w:rsidR="00DD43E1" w:rsidRPr="00DD43E1">
        <w:rPr>
          <w:lang w:val="es-419"/>
        </w:rPr>
        <w:t>Programa de las Naciones Unidas para el Medio Ambiente</w:t>
      </w:r>
      <w:r w:rsidR="00C210FC">
        <w:rPr>
          <w:lang w:val="es-419"/>
        </w:rPr>
        <w:t>, Elizabeth Mrema, en nombre del Secretario General</w:t>
      </w:r>
      <w:r w:rsidR="00C64043">
        <w:rPr>
          <w:lang w:val="es-419"/>
        </w:rPr>
        <w:t>, pronunciaron discursos de apertura</w:t>
      </w:r>
      <w:r w:rsidR="00446200">
        <w:rPr>
          <w:rStyle w:val="FootnoteReference"/>
        </w:rPr>
        <w:footnoteReference w:id="5"/>
      </w:r>
      <w:r w:rsidR="00C210FC">
        <w:rPr>
          <w:lang w:val="es-419"/>
        </w:rPr>
        <w:t>.</w:t>
      </w:r>
    </w:p>
    <w:p w14:paraId="71865ABA" w14:textId="42ABF554" w:rsidR="00557370" w:rsidRPr="00615E50" w:rsidRDefault="00CD3E49" w:rsidP="006F791E">
      <w:pPr>
        <w:pStyle w:val="CBDAgendaItem"/>
        <w:rPr>
          <w:lang w:val="es-419"/>
        </w:rPr>
      </w:pPr>
      <w:r w:rsidRPr="00615E50">
        <w:rPr>
          <w:lang w:val="es-419"/>
        </w:rPr>
        <w:t>Tema 2</w:t>
      </w:r>
      <w:r w:rsidRPr="00615E50">
        <w:rPr>
          <w:lang w:val="es-419"/>
        </w:rPr>
        <w:br/>
        <w:t>Cuestiones de organización</w:t>
      </w:r>
    </w:p>
    <w:p w14:paraId="43B0C154" w14:textId="1C1B59DC" w:rsidR="00DE75A6" w:rsidRPr="00615E50" w:rsidRDefault="00005AFF" w:rsidP="00A26CD4">
      <w:pPr>
        <w:pStyle w:val="CBDNormalNumber"/>
        <w:rPr>
          <w:lang w:val="es-419"/>
        </w:rPr>
      </w:pPr>
      <w:r w:rsidRPr="00615E50">
        <w:rPr>
          <w:lang w:val="es-419"/>
        </w:rPr>
        <w:t>La Conferencia de las Partes que actúa como reunión de las Partes en el Protocolo consideró el tema 2 del programa en su primera sesión plenaria. Tuvo ante sí un programa provisional</w:t>
      </w:r>
      <w:r w:rsidR="00045A72" w:rsidRPr="00615E50">
        <w:rPr>
          <w:rStyle w:val="FootnoteReference"/>
          <w:lang w:val="es-419"/>
        </w:rPr>
        <w:footnoteReference w:id="6"/>
      </w:r>
      <w:r w:rsidRPr="00615E50">
        <w:rPr>
          <w:lang w:val="es-419"/>
        </w:rPr>
        <w:t>, unas anotaciones al programa provisional</w:t>
      </w:r>
      <w:r w:rsidR="00045A72" w:rsidRPr="00615E50">
        <w:rPr>
          <w:rStyle w:val="FootnoteReference"/>
          <w:lang w:val="es-419"/>
        </w:rPr>
        <w:footnoteReference w:id="7"/>
      </w:r>
      <w:r w:rsidRPr="00615E50">
        <w:rPr>
          <w:lang w:val="es-419"/>
        </w:rPr>
        <w:t xml:space="preserve"> y una propuesta de organización de los trabajos</w:t>
      </w:r>
      <w:r w:rsidR="00045A72" w:rsidRPr="00615E50">
        <w:rPr>
          <w:rStyle w:val="FootnoteReference"/>
          <w:lang w:val="es-419"/>
        </w:rPr>
        <w:footnoteReference w:id="8"/>
      </w:r>
      <w:r w:rsidRPr="00615E50">
        <w:rPr>
          <w:lang w:val="es-419"/>
        </w:rPr>
        <w:t xml:space="preserve">. En relación con el tema 2, </w:t>
      </w:r>
      <w:r w:rsidR="0056296E">
        <w:rPr>
          <w:lang w:val="es-419"/>
        </w:rPr>
        <w:t xml:space="preserve">también </w:t>
      </w:r>
      <w:r w:rsidRPr="00615E50">
        <w:rPr>
          <w:lang w:val="es-419"/>
        </w:rPr>
        <w:t>se había publicado un documento de información sobre los procedimientos de las elecciones para cubrir los cargos de vicepresidencia de la Conferencia de las Partes en el Convenio y de presidencia de los órganos subsidiarios intergubernamentales</w:t>
      </w:r>
      <w:r w:rsidR="00045A72" w:rsidRPr="00615E50">
        <w:rPr>
          <w:rStyle w:val="FootnoteReference"/>
          <w:lang w:val="es-419"/>
        </w:rPr>
        <w:footnoteReference w:id="9"/>
      </w:r>
      <w:r w:rsidRPr="00615E50">
        <w:rPr>
          <w:lang w:val="es-419"/>
        </w:rPr>
        <w:t>.</w:t>
      </w:r>
    </w:p>
    <w:p w14:paraId="53E07441" w14:textId="77777777" w:rsidR="005D01EB" w:rsidRPr="00615E50"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lang w:val="es-419"/>
        </w:rPr>
      </w:pPr>
      <w:r w:rsidRPr="00615E50">
        <w:rPr>
          <w:rFonts w:asciiTheme="majorBidi" w:hAnsiTheme="majorBidi"/>
          <w:b w:val="0"/>
          <w:i/>
          <w:snapToGrid w:val="0"/>
          <w:sz w:val="22"/>
          <w:lang w:val="es-419"/>
        </w:rPr>
        <w:t>Elección de la Presidencia</w:t>
      </w:r>
    </w:p>
    <w:p w14:paraId="08DAFB1E" w14:textId="3484A8DA" w:rsidR="005D01EB" w:rsidRPr="00615E50" w:rsidRDefault="005E4A59" w:rsidP="00A26CD4">
      <w:pPr>
        <w:pStyle w:val="CBDNormalNumber"/>
        <w:rPr>
          <w:lang w:val="es-419"/>
        </w:rPr>
      </w:pPr>
      <w:r w:rsidRPr="00615E50">
        <w:rPr>
          <w:lang w:val="es-419"/>
        </w:rPr>
        <w:t xml:space="preserve">Conforme a lo establecido en el artículo 29, párrafo 3, del Protocolo de Cartagena, la Mesa de la Conferencia de las Partes oficia también </w:t>
      </w:r>
      <w:r w:rsidR="00C61E2B" w:rsidRPr="00615E50">
        <w:rPr>
          <w:lang w:val="es-419"/>
        </w:rPr>
        <w:t>de</w:t>
      </w:r>
      <w:r w:rsidRPr="00615E50">
        <w:rPr>
          <w:lang w:val="es-419"/>
        </w:rPr>
        <w:t xml:space="preserve"> Mesa de la Conferencia de las Partes que actúa como reunión de las Partes en el Protocolo. Por consiguiente, la Ministra de Ambiente y Desarrollo Sostenible de Colombia, que había sido elegida Presidenta de la 16ª reunión de la Conferencia de las Partes en el Convenio, ofició también de Presidenta de la 11ª reunión de la </w:t>
      </w:r>
      <w:bookmarkStart w:id="1" w:name="_Hlk530379052"/>
      <w:r w:rsidRPr="00615E50">
        <w:rPr>
          <w:lang w:val="es-419"/>
        </w:rPr>
        <w:t>Conferencia de las Partes que actúa como reunión</w:t>
      </w:r>
      <w:r w:rsidR="00803E96">
        <w:rPr>
          <w:lang w:val="es-419"/>
        </w:rPr>
        <w:t xml:space="preserve"> de las Partes</w:t>
      </w:r>
      <w:r w:rsidRPr="00615E50">
        <w:rPr>
          <w:lang w:val="es-419"/>
        </w:rPr>
        <w:t xml:space="preserve"> en el Protocolo de Cartagena</w:t>
      </w:r>
      <w:bookmarkEnd w:id="1"/>
      <w:r w:rsidRPr="00615E50">
        <w:rPr>
          <w:lang w:val="es-419"/>
        </w:rPr>
        <w:t>.</w:t>
      </w:r>
    </w:p>
    <w:p w14:paraId="6BE5493B" w14:textId="4CE0ECA4" w:rsidR="00392FF8" w:rsidRPr="00615E50" w:rsidRDefault="00392FF8" w:rsidP="001038CE">
      <w:pPr>
        <w:pStyle w:val="Para1"/>
        <w:keepNext/>
        <w:tabs>
          <w:tab w:val="clear" w:pos="624"/>
        </w:tabs>
        <w:ind w:left="561"/>
        <w:rPr>
          <w:i/>
          <w:iCs/>
          <w:kern w:val="22"/>
          <w:lang w:val="es-419"/>
        </w:rPr>
      </w:pPr>
      <w:r w:rsidRPr="00615E50">
        <w:rPr>
          <w:i/>
          <w:lang w:val="es-419"/>
        </w:rPr>
        <w:t>Elección de los miembros sustitutos de la Mesa</w:t>
      </w:r>
    </w:p>
    <w:p w14:paraId="691467A0" w14:textId="12B424C2" w:rsidR="00557370" w:rsidRPr="00615E50" w:rsidRDefault="00D40086" w:rsidP="00B62CC6">
      <w:pPr>
        <w:pStyle w:val="CBDNormalNumber"/>
        <w:rPr>
          <w:lang w:val="es-419"/>
        </w:rPr>
      </w:pPr>
      <w:bookmarkStart w:id="2" w:name="_Hlk182205766"/>
      <w:r w:rsidRPr="00615E50">
        <w:rPr>
          <w:lang w:val="es-419"/>
        </w:rPr>
        <w:t xml:space="preserve">De conformidad con el artículo 21 del </w:t>
      </w:r>
      <w:r w:rsidR="00C61E2B" w:rsidRPr="00615E50">
        <w:rPr>
          <w:lang w:val="es-419"/>
        </w:rPr>
        <w:t>R</w:t>
      </w:r>
      <w:r w:rsidRPr="00615E50">
        <w:rPr>
          <w:lang w:val="es-419"/>
        </w:rPr>
        <w:t xml:space="preserve">eglamento </w:t>
      </w:r>
      <w:r w:rsidR="00C61E2B" w:rsidRPr="00615E50">
        <w:rPr>
          <w:lang w:val="es-419"/>
        </w:rPr>
        <w:t>de</w:t>
      </w:r>
      <w:r w:rsidRPr="00615E50">
        <w:rPr>
          <w:lang w:val="es-419"/>
        </w:rPr>
        <w:t xml:space="preserve"> las reuniones de la Conferencia de las Partes en el Convenio, que se aplica </w:t>
      </w:r>
      <w:r w:rsidRPr="00615E50">
        <w:rPr>
          <w:i/>
          <w:iCs/>
          <w:lang w:val="es-419"/>
        </w:rPr>
        <w:t>mutatis mutandis</w:t>
      </w:r>
      <w:r w:rsidRPr="00615E50">
        <w:rPr>
          <w:lang w:val="es-419"/>
        </w:rPr>
        <w:t xml:space="preserve"> a las reuniones de las Partes en el Protocolo, en su 15ª reunión la Conferencia de las Partes en el Convenio había elegido a diez miembros de la </w:t>
      </w:r>
      <w:r w:rsidRPr="00615E50">
        <w:rPr>
          <w:lang w:val="es-419"/>
        </w:rPr>
        <w:lastRenderedPageBreak/>
        <w:t xml:space="preserve">Mesa con un mandato que finalizaría al cierre de la 16ª reunión. </w:t>
      </w:r>
      <w:bookmarkEnd w:id="2"/>
      <w:r w:rsidRPr="00615E50">
        <w:rPr>
          <w:snapToGrid w:val="0"/>
          <w:lang w:val="es-419"/>
        </w:rPr>
        <w:t>Posteriormente, un miembro de la Mesa había sido sustituido por la Parte correspondiente.</w:t>
      </w:r>
      <w:r w:rsidRPr="00615E50">
        <w:rPr>
          <w:lang w:val="es-419"/>
        </w:rPr>
        <w:t xml:space="preserve"> Dado que todos los países representados eran Partes en el Protocolo de Cartagena</w:t>
      </w:r>
      <w:r w:rsidRPr="00615E50">
        <w:rPr>
          <w:rFonts w:asciiTheme="majorBidi" w:hAnsiTheme="majorBidi"/>
          <w:lang w:val="es-419"/>
        </w:rPr>
        <w:t xml:space="preserve">, la Mesa de la 11ª reunión </w:t>
      </w:r>
      <w:r w:rsidRPr="00615E50">
        <w:rPr>
          <w:color w:val="000000"/>
          <w:lang w:val="es-419"/>
        </w:rPr>
        <w:t xml:space="preserve">de la Conferencia </w:t>
      </w:r>
      <w:r w:rsidRPr="00615E50">
        <w:rPr>
          <w:rFonts w:asciiTheme="majorBidi" w:hAnsiTheme="majorBidi"/>
          <w:lang w:val="es-419"/>
        </w:rPr>
        <w:t xml:space="preserve">de las Partes </w:t>
      </w:r>
      <w:r w:rsidRPr="00615E50">
        <w:rPr>
          <w:color w:val="000000"/>
          <w:lang w:val="es-419"/>
        </w:rPr>
        <w:t>que actúa como reunión de las Partes</w:t>
      </w:r>
      <w:r w:rsidRPr="00615E50">
        <w:rPr>
          <w:rFonts w:asciiTheme="majorBidi" w:hAnsiTheme="majorBidi"/>
          <w:lang w:val="es-419"/>
        </w:rPr>
        <w:t xml:space="preserve"> en el Protocolo estuvo conformada por los siguientes miembros, además de la Presidenta:</w:t>
      </w:r>
    </w:p>
    <w:p w14:paraId="150ED2B5" w14:textId="40C1070B" w:rsidR="006077F3" w:rsidRPr="00615E50" w:rsidRDefault="00C61E2B" w:rsidP="006077F3">
      <w:pPr>
        <w:pStyle w:val="CBDNormalNumber"/>
        <w:numPr>
          <w:ilvl w:val="0"/>
          <w:numId w:val="0"/>
        </w:numPr>
        <w:tabs>
          <w:tab w:val="clear" w:pos="567"/>
        </w:tabs>
        <w:ind w:left="1134"/>
        <w:rPr>
          <w:lang w:val="es-419"/>
        </w:rPr>
      </w:pPr>
      <w:r w:rsidRPr="00615E50">
        <w:rPr>
          <w:lang w:val="es-419"/>
        </w:rPr>
        <w:t>Khangeziwe Mabuza (Eswatini)</w:t>
      </w:r>
    </w:p>
    <w:p w14:paraId="74B63162"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Abderahmane Zino Izourar (Argelia)</w:t>
      </w:r>
    </w:p>
    <w:p w14:paraId="0C916F52" w14:textId="77777777" w:rsidR="006077F3" w:rsidRPr="000B2190" w:rsidRDefault="006077F3" w:rsidP="006077F3">
      <w:pPr>
        <w:pStyle w:val="CBDNormalNumber"/>
        <w:numPr>
          <w:ilvl w:val="0"/>
          <w:numId w:val="0"/>
        </w:numPr>
        <w:tabs>
          <w:tab w:val="clear" w:pos="567"/>
        </w:tabs>
        <w:ind w:left="1134"/>
        <w:rPr>
          <w:lang w:val="en-US"/>
        </w:rPr>
      </w:pPr>
      <w:r w:rsidRPr="000B2190">
        <w:rPr>
          <w:lang w:val="en-US"/>
        </w:rPr>
        <w:t>Krishneel Nand (Fiji)</w:t>
      </w:r>
    </w:p>
    <w:p w14:paraId="426853DD" w14:textId="77777777" w:rsidR="006077F3" w:rsidRPr="000B2190" w:rsidRDefault="006077F3" w:rsidP="006077F3">
      <w:pPr>
        <w:pStyle w:val="CBDNormalNumber"/>
        <w:numPr>
          <w:ilvl w:val="0"/>
          <w:numId w:val="0"/>
        </w:numPr>
        <w:tabs>
          <w:tab w:val="clear" w:pos="567"/>
        </w:tabs>
        <w:ind w:left="1134"/>
        <w:rPr>
          <w:lang w:val="en-US"/>
        </w:rPr>
      </w:pPr>
      <w:r w:rsidRPr="000B2190">
        <w:rPr>
          <w:lang w:val="en-US"/>
        </w:rPr>
        <w:t>Somaly Chan (Camboya)</w:t>
      </w:r>
    </w:p>
    <w:p w14:paraId="37660C2B"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Teona Karchava (Georgia)</w:t>
      </w:r>
    </w:p>
    <w:p w14:paraId="60EDA104"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Angela Lozan (República de Moldova)</w:t>
      </w:r>
    </w:p>
    <w:p w14:paraId="1746F6AA"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Gillian Guthrie (Jamaica)</w:t>
      </w:r>
    </w:p>
    <w:p w14:paraId="187193EE"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María Teresa Becerra Ramírez (Colombia)</w:t>
      </w:r>
    </w:p>
    <w:p w14:paraId="5844BF77" w14:textId="77777777" w:rsidR="006077F3" w:rsidRPr="00615E50" w:rsidRDefault="006077F3" w:rsidP="006077F3">
      <w:pPr>
        <w:pStyle w:val="CBDNormalNumber"/>
        <w:numPr>
          <w:ilvl w:val="0"/>
          <w:numId w:val="0"/>
        </w:numPr>
        <w:tabs>
          <w:tab w:val="clear" w:pos="567"/>
        </w:tabs>
        <w:ind w:left="1134"/>
        <w:rPr>
          <w:lang w:val="es-419"/>
        </w:rPr>
      </w:pPr>
      <w:r w:rsidRPr="00615E50">
        <w:rPr>
          <w:lang w:val="es-419"/>
        </w:rPr>
        <w:t>Eric Schauls (Luxemburgo)</w:t>
      </w:r>
    </w:p>
    <w:p w14:paraId="4FAD5E09" w14:textId="6072264C" w:rsidR="006077F3" w:rsidRPr="00615E50" w:rsidRDefault="006077F3" w:rsidP="006077F3">
      <w:pPr>
        <w:pStyle w:val="CBDNormalNumber"/>
        <w:numPr>
          <w:ilvl w:val="0"/>
          <w:numId w:val="0"/>
        </w:numPr>
        <w:tabs>
          <w:tab w:val="clear" w:pos="567"/>
        </w:tabs>
        <w:ind w:left="1134"/>
        <w:rPr>
          <w:lang w:val="es-419"/>
        </w:rPr>
      </w:pPr>
      <w:r w:rsidRPr="00615E50">
        <w:rPr>
          <w:lang w:val="es-419"/>
        </w:rPr>
        <w:t>Norbert Bärlocher (Suiza)</w:t>
      </w:r>
    </w:p>
    <w:p w14:paraId="06BEA6E8" w14:textId="6676092B" w:rsidR="004A6F38" w:rsidRPr="00615E50" w:rsidRDefault="00B13B74" w:rsidP="00532C83">
      <w:pPr>
        <w:pStyle w:val="CBDNormalNumber"/>
        <w:rPr>
          <w:lang w:val="es-419"/>
        </w:rPr>
      </w:pPr>
      <w:r w:rsidRPr="00615E50">
        <w:rPr>
          <w:lang w:val="es-419"/>
        </w:rPr>
        <w:t>A propuesta de la Mesa, l</w:t>
      </w:r>
      <w:r w:rsidR="00171C84" w:rsidRPr="00615E50">
        <w:rPr>
          <w:lang w:val="es-419"/>
        </w:rPr>
        <w:t>a Conferencia de las Partes que actúa como reunión de las Partes en el Protocolo convino en que la Sra. Chan oficiaría de Relatora de la reunión.</w:t>
      </w:r>
    </w:p>
    <w:p w14:paraId="41A816B2" w14:textId="398E8986" w:rsidR="00A0088F" w:rsidRPr="00615E50" w:rsidRDefault="00266D7B" w:rsidP="00A0088F">
      <w:pPr>
        <w:pStyle w:val="CBDNormalNumber"/>
        <w:tabs>
          <w:tab w:val="clear" w:pos="567"/>
          <w:tab w:val="clear" w:pos="1701"/>
          <w:tab w:val="clear" w:pos="2268"/>
        </w:tabs>
        <w:rPr>
          <w:lang w:val="es-419"/>
        </w:rPr>
      </w:pPr>
      <w:bookmarkStart w:id="3" w:name="_Hlk182203834"/>
      <w:r w:rsidRPr="00615E50">
        <w:rPr>
          <w:lang w:val="es-419"/>
        </w:rPr>
        <w:t xml:space="preserve">En su tercera sesión plenaria, el 30 de octubre, de conformidad con el artículo 21 del Reglamento, la Conferencia de las Partes en el Convenio eligió a los siguientes representantes para que integraran la Mesa, con un mandato que comenzaría al cierre de </w:t>
      </w:r>
      <w:r w:rsidR="000E0CBC" w:rsidRPr="00615E50">
        <w:rPr>
          <w:lang w:val="es-419"/>
        </w:rPr>
        <w:t>su</w:t>
      </w:r>
      <w:r w:rsidRPr="00615E50">
        <w:rPr>
          <w:lang w:val="es-419"/>
        </w:rPr>
        <w:t xml:space="preserve"> 16</w:t>
      </w:r>
      <w:r w:rsidRPr="00615E50">
        <w:rPr>
          <w:vertAlign w:val="superscript"/>
          <w:lang w:val="es-419"/>
        </w:rPr>
        <w:t>a</w:t>
      </w:r>
      <w:r w:rsidRPr="00615E50">
        <w:rPr>
          <w:lang w:val="es-419"/>
        </w:rPr>
        <w:t xml:space="preserve"> reunión, y por lo tanto </w:t>
      </w:r>
      <w:r w:rsidR="00803E96">
        <w:rPr>
          <w:lang w:val="es-419"/>
        </w:rPr>
        <w:t xml:space="preserve">para que integraran </w:t>
      </w:r>
      <w:r w:rsidRPr="00615E50">
        <w:rPr>
          <w:lang w:val="es-419"/>
        </w:rPr>
        <w:t>también la Mesa de la Conferencia de las Partes que actúa como reunión de las Partes en el Protocolo a partir del cierre de su 11</w:t>
      </w:r>
      <w:r w:rsidRPr="00615E50">
        <w:rPr>
          <w:vertAlign w:val="superscript"/>
          <w:lang w:val="es-419"/>
        </w:rPr>
        <w:t>a</w:t>
      </w:r>
      <w:r w:rsidRPr="00615E50">
        <w:rPr>
          <w:lang w:val="es-419"/>
        </w:rPr>
        <w:t xml:space="preserve"> reunión: </w:t>
      </w:r>
    </w:p>
    <w:p w14:paraId="687B82ED" w14:textId="77777777" w:rsidR="00A0088F" w:rsidRPr="000B2190" w:rsidRDefault="00A0088F" w:rsidP="00A0088F">
      <w:pPr>
        <w:pStyle w:val="CBDNormalNumber"/>
        <w:numPr>
          <w:ilvl w:val="0"/>
          <w:numId w:val="0"/>
        </w:numPr>
        <w:tabs>
          <w:tab w:val="clear" w:pos="567"/>
        </w:tabs>
        <w:ind w:left="1134"/>
        <w:rPr>
          <w:lang w:val="en-US"/>
        </w:rPr>
      </w:pPr>
      <w:r w:rsidRPr="000B2190">
        <w:rPr>
          <w:lang w:val="en-US"/>
        </w:rPr>
        <w:t xml:space="preserve">Joséphine Thérèse Babette Beyala Epse Eloundou (Camerún) </w:t>
      </w:r>
    </w:p>
    <w:p w14:paraId="655ABD40" w14:textId="77777777" w:rsidR="00A0088F" w:rsidRPr="000B2190" w:rsidRDefault="00A0088F" w:rsidP="00A0088F">
      <w:pPr>
        <w:pStyle w:val="CBDNormalNumber"/>
        <w:numPr>
          <w:ilvl w:val="0"/>
          <w:numId w:val="0"/>
        </w:numPr>
        <w:tabs>
          <w:tab w:val="clear" w:pos="567"/>
        </w:tabs>
        <w:ind w:left="1134"/>
        <w:rPr>
          <w:lang w:val="en-US"/>
        </w:rPr>
      </w:pPr>
      <w:r w:rsidRPr="000B2190">
        <w:rPr>
          <w:lang w:val="en-US"/>
        </w:rPr>
        <w:t>Jonas Komi Anthé (Togo)</w:t>
      </w:r>
    </w:p>
    <w:p w14:paraId="651B2374" w14:textId="77777777" w:rsidR="00A0088F" w:rsidRPr="000B2190" w:rsidRDefault="00A0088F" w:rsidP="00A0088F">
      <w:pPr>
        <w:pStyle w:val="CBDNormalNumber"/>
        <w:numPr>
          <w:ilvl w:val="0"/>
          <w:numId w:val="0"/>
        </w:numPr>
        <w:tabs>
          <w:tab w:val="clear" w:pos="567"/>
        </w:tabs>
        <w:ind w:left="1134"/>
        <w:rPr>
          <w:lang w:val="en-US"/>
        </w:rPr>
      </w:pPr>
      <w:r w:rsidRPr="000B2190">
        <w:rPr>
          <w:lang w:val="en-US"/>
        </w:rPr>
        <w:t>Bilal Qteshat (Jordania)</w:t>
      </w:r>
    </w:p>
    <w:p w14:paraId="5D2C05DC" w14:textId="77777777" w:rsidR="00A0088F" w:rsidRPr="000B2190" w:rsidRDefault="00A0088F" w:rsidP="00A0088F">
      <w:pPr>
        <w:pStyle w:val="CBDNormalNumber"/>
        <w:numPr>
          <w:ilvl w:val="0"/>
          <w:numId w:val="0"/>
        </w:numPr>
        <w:tabs>
          <w:tab w:val="clear" w:pos="567"/>
        </w:tabs>
        <w:ind w:left="1134"/>
        <w:rPr>
          <w:lang w:val="en-US"/>
        </w:rPr>
      </w:pPr>
      <w:r w:rsidRPr="000B2190">
        <w:rPr>
          <w:lang w:val="en-US"/>
        </w:rPr>
        <w:t>Illam Atho Mohamed (Maldivas)</w:t>
      </w:r>
    </w:p>
    <w:p w14:paraId="7CE9B843" w14:textId="77777777" w:rsidR="00A0088F" w:rsidRPr="00615E50" w:rsidRDefault="00A0088F" w:rsidP="00A0088F">
      <w:pPr>
        <w:pStyle w:val="CBDNormalNumber"/>
        <w:numPr>
          <w:ilvl w:val="0"/>
          <w:numId w:val="0"/>
        </w:numPr>
        <w:tabs>
          <w:tab w:val="clear" w:pos="567"/>
        </w:tabs>
        <w:ind w:left="1134"/>
        <w:rPr>
          <w:lang w:val="es-419"/>
        </w:rPr>
      </w:pPr>
      <w:r w:rsidRPr="00615E50">
        <w:rPr>
          <w:lang w:val="es-419"/>
        </w:rPr>
        <w:t>Adla Kahrić (Bosnia y Herzegovina)</w:t>
      </w:r>
    </w:p>
    <w:p w14:paraId="2D4EDF66" w14:textId="77777777" w:rsidR="00A0088F" w:rsidRPr="00615E50" w:rsidRDefault="00A0088F" w:rsidP="00A0088F">
      <w:pPr>
        <w:pStyle w:val="CBDNormalNumber"/>
        <w:numPr>
          <w:ilvl w:val="0"/>
          <w:numId w:val="0"/>
        </w:numPr>
        <w:tabs>
          <w:tab w:val="clear" w:pos="567"/>
        </w:tabs>
        <w:ind w:left="1134"/>
        <w:rPr>
          <w:lang w:val="es-419"/>
        </w:rPr>
      </w:pPr>
      <w:r w:rsidRPr="00615E50">
        <w:rPr>
          <w:lang w:val="es-419"/>
        </w:rPr>
        <w:t>Jakhongir Talipov (Uzbekistán)</w:t>
      </w:r>
    </w:p>
    <w:p w14:paraId="45DD05AD" w14:textId="77777777" w:rsidR="00A0088F" w:rsidRPr="00615E50" w:rsidRDefault="00A0088F" w:rsidP="00A0088F">
      <w:pPr>
        <w:pStyle w:val="CBDNormalNumber"/>
        <w:numPr>
          <w:ilvl w:val="0"/>
          <w:numId w:val="0"/>
        </w:numPr>
        <w:tabs>
          <w:tab w:val="clear" w:pos="567"/>
        </w:tabs>
        <w:ind w:left="1134"/>
        <w:rPr>
          <w:lang w:val="es-419"/>
        </w:rPr>
      </w:pPr>
      <w:r w:rsidRPr="00615E50">
        <w:rPr>
          <w:lang w:val="es-419"/>
        </w:rPr>
        <w:t>Corina Sarli (Argentina)</w:t>
      </w:r>
    </w:p>
    <w:p w14:paraId="4B2F8B79" w14:textId="77777777" w:rsidR="00A0088F" w:rsidRPr="00615E50" w:rsidRDefault="00A0088F" w:rsidP="00A0088F">
      <w:pPr>
        <w:pStyle w:val="CBDNormalNumber"/>
        <w:numPr>
          <w:ilvl w:val="0"/>
          <w:numId w:val="0"/>
        </w:numPr>
        <w:tabs>
          <w:tab w:val="clear" w:pos="567"/>
        </w:tabs>
        <w:ind w:left="1134"/>
        <w:rPr>
          <w:lang w:val="es-419"/>
        </w:rPr>
      </w:pPr>
      <w:r w:rsidRPr="00615E50">
        <w:rPr>
          <w:lang w:val="es-419"/>
        </w:rPr>
        <w:t>Gillian Guthrie (Jamaica)</w:t>
      </w:r>
    </w:p>
    <w:p w14:paraId="7A0681B0" w14:textId="77777777" w:rsidR="00A0088F" w:rsidRPr="00615E50" w:rsidRDefault="00A0088F" w:rsidP="00A0088F">
      <w:pPr>
        <w:pStyle w:val="CBDNormalNumber"/>
        <w:numPr>
          <w:ilvl w:val="0"/>
          <w:numId w:val="0"/>
        </w:numPr>
        <w:tabs>
          <w:tab w:val="clear" w:pos="567"/>
        </w:tabs>
        <w:ind w:left="1134"/>
        <w:rPr>
          <w:lang w:val="es-419"/>
        </w:rPr>
      </w:pPr>
      <w:r w:rsidRPr="00615E50">
        <w:rPr>
          <w:lang w:val="es-419"/>
        </w:rPr>
        <w:t>Gaute Hanssen (Noruega)</w:t>
      </w:r>
    </w:p>
    <w:p w14:paraId="2E9F19BB" w14:textId="10FC3CB2" w:rsidR="00A0088F" w:rsidRPr="00615E50" w:rsidRDefault="00A0088F" w:rsidP="00A0088F">
      <w:pPr>
        <w:pStyle w:val="CBDNormalNumber"/>
        <w:numPr>
          <w:ilvl w:val="0"/>
          <w:numId w:val="0"/>
        </w:numPr>
        <w:tabs>
          <w:tab w:val="clear" w:pos="567"/>
        </w:tabs>
        <w:ind w:left="1134"/>
        <w:rPr>
          <w:lang w:val="es-419"/>
        </w:rPr>
      </w:pPr>
      <w:r w:rsidRPr="00615E50">
        <w:rPr>
          <w:lang w:val="es-419"/>
        </w:rPr>
        <w:t>Eric Schauls (Luxemburgo)</w:t>
      </w:r>
    </w:p>
    <w:bookmarkEnd w:id="3"/>
    <w:p w14:paraId="6FA90CC0" w14:textId="7E6ED361" w:rsidR="003703DE" w:rsidRPr="00615E50" w:rsidRDefault="00BC5E15" w:rsidP="00A0088F">
      <w:pPr>
        <w:pStyle w:val="CBDNormalNumber"/>
        <w:rPr>
          <w:lang w:val="es-419"/>
        </w:rPr>
      </w:pPr>
      <w:r w:rsidRPr="00615E50">
        <w:rPr>
          <w:lang w:val="es-419"/>
        </w:rPr>
        <w:t>En su cuarta sesión plenaria, el 31 de octubre, de conformidad con el artículo 29</w:t>
      </w:r>
      <w:r w:rsidR="00803E96">
        <w:rPr>
          <w:lang w:val="es-419"/>
        </w:rPr>
        <w:t>,</w:t>
      </w:r>
      <w:r w:rsidR="00803E96" w:rsidRPr="00803E96">
        <w:rPr>
          <w:lang w:val="es-419"/>
        </w:rPr>
        <w:t xml:space="preserve"> </w:t>
      </w:r>
      <w:r w:rsidR="00803E96">
        <w:rPr>
          <w:lang w:val="es-419"/>
        </w:rPr>
        <w:t>párrafo 3,</w:t>
      </w:r>
      <w:r w:rsidRPr="00615E50">
        <w:rPr>
          <w:lang w:val="es-419"/>
        </w:rPr>
        <w:t xml:space="preserve"> del Protocolo, la Conferencia de las Partes que actúa como reunión de las Partes en el Protocolo eligió a Gerardo Evia (Uruguay) como miembro de la Mesa del Protocolo de Cartagena, en sustitución de Corina Sarli (Argentina), ya que Argentina no es Parte en el Protocolo. </w:t>
      </w:r>
    </w:p>
    <w:p w14:paraId="4ED86135" w14:textId="1618CDBE" w:rsidR="00557370" w:rsidRPr="00615E50" w:rsidRDefault="00803E96" w:rsidP="004A6F38">
      <w:pPr>
        <w:pStyle w:val="Heading2"/>
        <w:numPr>
          <w:ilvl w:val="0"/>
          <w:numId w:val="0"/>
        </w:numPr>
        <w:suppressLineNumbers/>
        <w:suppressAutoHyphens/>
        <w:ind w:left="567"/>
        <w:rPr>
          <w:rFonts w:asciiTheme="majorBidi" w:hAnsiTheme="majorBidi"/>
          <w:b w:val="0"/>
          <w:bCs/>
          <w:i/>
          <w:iCs/>
          <w:snapToGrid w:val="0"/>
          <w:kern w:val="22"/>
          <w:sz w:val="22"/>
          <w:szCs w:val="22"/>
          <w:lang w:val="es-419"/>
        </w:rPr>
      </w:pPr>
      <w:r>
        <w:rPr>
          <w:rFonts w:asciiTheme="majorBidi" w:hAnsiTheme="majorBidi"/>
          <w:b w:val="0"/>
          <w:i/>
          <w:snapToGrid w:val="0"/>
          <w:sz w:val="22"/>
          <w:lang w:val="es-419"/>
        </w:rPr>
        <w:t>Adopción del programa</w:t>
      </w:r>
    </w:p>
    <w:p w14:paraId="1BC878A3" w14:textId="5172D0AB" w:rsidR="00D970D6" w:rsidRPr="00615E50" w:rsidRDefault="00B056FB" w:rsidP="00D970D6">
      <w:pPr>
        <w:pStyle w:val="CBDNormalNumber"/>
        <w:rPr>
          <w:lang w:val="es-419"/>
        </w:rPr>
      </w:pPr>
      <w:r w:rsidRPr="00615E50">
        <w:rPr>
          <w:lang w:val="es-419"/>
        </w:rPr>
        <w:t>En su primera sesión plenaria, la Conferencia de las Partes que actúa como reunión de las Partes en el Protocolo adoptó el siguiente programa, sobre la base del programa provisional preparado por la Secretaría en consulta con la Mesa:</w:t>
      </w:r>
    </w:p>
    <w:p w14:paraId="54642500" w14:textId="1C66E3F8" w:rsidR="00F038D6" w:rsidRPr="00615E50" w:rsidRDefault="00A26CD4" w:rsidP="00A26CD4">
      <w:pPr>
        <w:pStyle w:val="CBDNormalNoNumber"/>
        <w:rPr>
          <w:lang w:val="es-419"/>
        </w:rPr>
      </w:pPr>
      <w:r w:rsidRPr="00615E50">
        <w:rPr>
          <w:lang w:val="es-419"/>
        </w:rPr>
        <w:tab/>
        <w:t>1.</w:t>
      </w:r>
      <w:r w:rsidRPr="00615E50">
        <w:rPr>
          <w:lang w:val="es-419"/>
        </w:rPr>
        <w:tab/>
        <w:t>Apertura de la reunión.</w:t>
      </w:r>
    </w:p>
    <w:p w14:paraId="20EC48BE" w14:textId="7E856E13" w:rsidR="00F038D6" w:rsidRPr="00615E50" w:rsidRDefault="00A26CD4" w:rsidP="00A26CD4">
      <w:pPr>
        <w:pStyle w:val="CBDNormalNoNumber"/>
        <w:rPr>
          <w:lang w:val="es-419"/>
        </w:rPr>
      </w:pPr>
      <w:r w:rsidRPr="00615E50">
        <w:rPr>
          <w:lang w:val="es-419"/>
        </w:rPr>
        <w:lastRenderedPageBreak/>
        <w:tab/>
        <w:t>2.</w:t>
      </w:r>
      <w:r w:rsidRPr="00615E50">
        <w:rPr>
          <w:lang w:val="es-419"/>
        </w:rPr>
        <w:tab/>
        <w:t>Cuestiones de organización.</w:t>
      </w:r>
    </w:p>
    <w:p w14:paraId="23AF6F67" w14:textId="27DF7F6C" w:rsidR="00F038D6" w:rsidRPr="00615E50" w:rsidRDefault="00A26CD4" w:rsidP="00A26CD4">
      <w:pPr>
        <w:pStyle w:val="CBDNormalNoNumber"/>
        <w:ind w:left="1701" w:hanging="1134"/>
        <w:rPr>
          <w:lang w:val="es-419"/>
        </w:rPr>
      </w:pPr>
      <w:r w:rsidRPr="00615E50">
        <w:rPr>
          <w:lang w:val="es-419"/>
        </w:rPr>
        <w:tab/>
        <w:t>3.</w:t>
      </w:r>
      <w:r w:rsidRPr="00615E50">
        <w:rPr>
          <w:lang w:val="es-419"/>
        </w:rPr>
        <w:tab/>
        <w:t>Informe sobre las credenciales de los representantes que participan en la 11</w:t>
      </w:r>
      <w:r w:rsidRPr="00615E50">
        <w:rPr>
          <w:vertAlign w:val="superscript"/>
          <w:lang w:val="es-419"/>
        </w:rPr>
        <w:t>a</w:t>
      </w:r>
      <w:r w:rsidRPr="00615E50">
        <w:rPr>
          <w:lang w:val="es-419"/>
        </w:rPr>
        <w:t xml:space="preserve"> reunión de la Conferencia de las Partes que actúa como reunión de las Partes en el Protocolo de Cartagena.</w:t>
      </w:r>
    </w:p>
    <w:p w14:paraId="1C5175BF" w14:textId="31F99B87" w:rsidR="00F038D6" w:rsidRPr="00615E50" w:rsidRDefault="00A26CD4" w:rsidP="00A26CD4">
      <w:pPr>
        <w:pStyle w:val="CBDNormalNoNumber"/>
        <w:ind w:left="1701" w:hanging="1134"/>
        <w:rPr>
          <w:lang w:val="es-419"/>
        </w:rPr>
      </w:pPr>
      <w:r w:rsidRPr="00615E50">
        <w:rPr>
          <w:lang w:val="es-419"/>
        </w:rPr>
        <w:tab/>
        <w:t>4.</w:t>
      </w:r>
      <w:r w:rsidRPr="00615E50">
        <w:rPr>
          <w:lang w:val="es-419"/>
        </w:rPr>
        <w:tab/>
        <w:t>Informes de los órganos subsidiarios.</w:t>
      </w:r>
    </w:p>
    <w:p w14:paraId="7C1EE41E" w14:textId="09E8C17E" w:rsidR="00F038D6" w:rsidRPr="00615E50" w:rsidRDefault="00A26CD4" w:rsidP="00A26CD4">
      <w:pPr>
        <w:pStyle w:val="CBDNormalNoNumber"/>
        <w:ind w:left="1701" w:hanging="1134"/>
        <w:rPr>
          <w:lang w:val="es-419"/>
        </w:rPr>
      </w:pPr>
      <w:r w:rsidRPr="00615E50">
        <w:rPr>
          <w:lang w:val="es-419"/>
        </w:rPr>
        <w:tab/>
        <w:t>5.</w:t>
      </w:r>
      <w:r w:rsidRPr="00615E50">
        <w:rPr>
          <w:lang w:val="es-419"/>
        </w:rPr>
        <w:tab/>
        <w:t>Informe del Comité de Cumplimiento.</w:t>
      </w:r>
    </w:p>
    <w:p w14:paraId="48225AE5" w14:textId="6DF186EC" w:rsidR="00F038D6" w:rsidRPr="00615E50" w:rsidRDefault="00A26CD4" w:rsidP="00A26CD4">
      <w:pPr>
        <w:pStyle w:val="CBDNormalNoNumber"/>
        <w:ind w:left="1701" w:hanging="1134"/>
        <w:rPr>
          <w:lang w:val="es-419"/>
        </w:rPr>
      </w:pPr>
      <w:r w:rsidRPr="00615E50">
        <w:rPr>
          <w:lang w:val="es-419"/>
        </w:rPr>
        <w:tab/>
        <w:t>6.</w:t>
      </w:r>
      <w:r w:rsidRPr="00615E50">
        <w:rPr>
          <w:lang w:val="es-419"/>
        </w:rPr>
        <w:tab/>
        <w:t>Administración del Protocolo y el presupuesto para los fondos fiduciarios.</w:t>
      </w:r>
    </w:p>
    <w:p w14:paraId="6905D0BD" w14:textId="6024FAC7" w:rsidR="00F038D6" w:rsidRPr="00615E50" w:rsidRDefault="00A26CD4" w:rsidP="00A26CD4">
      <w:pPr>
        <w:pStyle w:val="CBDNormalNoNumber"/>
        <w:ind w:left="1701" w:hanging="1134"/>
        <w:rPr>
          <w:lang w:val="es-419"/>
        </w:rPr>
      </w:pPr>
      <w:r w:rsidRPr="00615E50">
        <w:rPr>
          <w:lang w:val="es-419"/>
        </w:rPr>
        <w:tab/>
        <w:t>7.</w:t>
      </w:r>
      <w:r w:rsidRPr="00615E50">
        <w:rPr>
          <w:lang w:val="es-419"/>
        </w:rPr>
        <w:tab/>
        <w:t>Asuntos relacionados con el mecanismo</w:t>
      </w:r>
      <w:r w:rsidR="000E0CBC" w:rsidRPr="00615E50">
        <w:rPr>
          <w:lang w:val="es-419"/>
        </w:rPr>
        <w:t xml:space="preserve"> financiero</w:t>
      </w:r>
      <w:r w:rsidRPr="00615E50">
        <w:rPr>
          <w:lang w:val="es-419"/>
        </w:rPr>
        <w:t xml:space="preserve"> y los recursos financieros. </w:t>
      </w:r>
    </w:p>
    <w:p w14:paraId="1F25E2CA" w14:textId="1AF9DE18" w:rsidR="00F038D6" w:rsidRPr="00615E50" w:rsidRDefault="00A26CD4" w:rsidP="00A26CD4">
      <w:pPr>
        <w:pStyle w:val="CBDNormalNoNumber"/>
        <w:ind w:left="1701" w:hanging="1134"/>
        <w:rPr>
          <w:lang w:val="es-419"/>
        </w:rPr>
      </w:pPr>
      <w:r w:rsidRPr="00615E50">
        <w:rPr>
          <w:lang w:val="es-419"/>
        </w:rPr>
        <w:tab/>
        <w:t>8.</w:t>
      </w:r>
      <w:r w:rsidRPr="00615E50">
        <w:rPr>
          <w:lang w:val="es-419"/>
        </w:rPr>
        <w:tab/>
        <w:t>Funcionamiento y actividades del Centro de Intercambio de Información sobre Seguridad de la Biotecnología.</w:t>
      </w:r>
    </w:p>
    <w:p w14:paraId="0B7A2A17" w14:textId="2C42CA63" w:rsidR="00F038D6" w:rsidRPr="00615E50" w:rsidRDefault="00A26CD4" w:rsidP="00A26CD4">
      <w:pPr>
        <w:pStyle w:val="CBDNormalNoNumber"/>
        <w:ind w:left="1701" w:hanging="1134"/>
        <w:rPr>
          <w:lang w:val="es-419"/>
        </w:rPr>
      </w:pPr>
      <w:r w:rsidRPr="00615E50">
        <w:rPr>
          <w:lang w:val="es-419"/>
        </w:rPr>
        <w:tab/>
        <w:t>9.</w:t>
      </w:r>
      <w:r w:rsidRPr="00615E50">
        <w:rPr>
          <w:lang w:val="es-419"/>
        </w:rPr>
        <w:tab/>
        <w:t>Cooperación con organizaciones internacionales, organismos creados en virtud de otros convenios e iniciativas.</w:t>
      </w:r>
    </w:p>
    <w:p w14:paraId="68AD6B80" w14:textId="5A9BA170" w:rsidR="00F038D6" w:rsidRPr="00615E50" w:rsidRDefault="00A26CD4" w:rsidP="00A26CD4">
      <w:pPr>
        <w:pStyle w:val="CBDNormalNoNumber"/>
        <w:ind w:left="1701" w:hanging="1134"/>
        <w:rPr>
          <w:lang w:val="es-419"/>
        </w:rPr>
      </w:pPr>
      <w:r w:rsidRPr="00615E50">
        <w:rPr>
          <w:lang w:val="es-419"/>
        </w:rPr>
        <w:tab/>
        <w:t>10.</w:t>
      </w:r>
      <w:r w:rsidRPr="00615E50">
        <w:rPr>
          <w:lang w:val="es-419"/>
        </w:rPr>
        <w:tab/>
        <w:t>Revisión de la eficacia de los procesos del Convenio y sus Protocolos.</w:t>
      </w:r>
    </w:p>
    <w:p w14:paraId="600201B6" w14:textId="73C8E5BC" w:rsidR="00F038D6" w:rsidRPr="00615E50" w:rsidRDefault="00A26CD4" w:rsidP="00A26CD4">
      <w:pPr>
        <w:pStyle w:val="CBDNormalNoNumber"/>
        <w:ind w:left="1701" w:hanging="1134"/>
        <w:rPr>
          <w:lang w:val="es-419"/>
        </w:rPr>
      </w:pPr>
      <w:r w:rsidRPr="00615E50">
        <w:rPr>
          <w:lang w:val="es-419"/>
        </w:rPr>
        <w:tab/>
        <w:t>11.</w:t>
      </w:r>
      <w:r w:rsidRPr="00615E50">
        <w:rPr>
          <w:lang w:val="es-419"/>
        </w:rPr>
        <w:tab/>
        <w:t>Evaluación del riesgo y gestión del riesgo</w:t>
      </w:r>
    </w:p>
    <w:p w14:paraId="480898C1" w14:textId="7CE274F4" w:rsidR="00F038D6" w:rsidRPr="00615E50" w:rsidRDefault="00A26CD4" w:rsidP="00A26CD4">
      <w:pPr>
        <w:pStyle w:val="CBDNormalNoNumber"/>
        <w:ind w:left="1701" w:hanging="1134"/>
        <w:rPr>
          <w:lang w:val="es-419"/>
        </w:rPr>
      </w:pPr>
      <w:r w:rsidRPr="00615E50">
        <w:rPr>
          <w:lang w:val="es-419"/>
        </w:rPr>
        <w:tab/>
        <w:t>12.</w:t>
      </w:r>
      <w:r w:rsidRPr="00615E50">
        <w:rPr>
          <w:lang w:val="es-419"/>
        </w:rPr>
        <w:tab/>
        <w:t>Detección e identificación de organismos vivos modificados.</w:t>
      </w:r>
    </w:p>
    <w:p w14:paraId="0CD904B3" w14:textId="48E4F536" w:rsidR="00F038D6" w:rsidRPr="00615E50" w:rsidRDefault="00A26CD4" w:rsidP="00A26CD4">
      <w:pPr>
        <w:pStyle w:val="CBDNormalNoNumber"/>
        <w:ind w:left="1701" w:hanging="1134"/>
        <w:rPr>
          <w:lang w:val="es-419"/>
        </w:rPr>
      </w:pPr>
      <w:r w:rsidRPr="00615E50">
        <w:rPr>
          <w:lang w:val="es-419"/>
        </w:rPr>
        <w:tab/>
        <w:t>13.</w:t>
      </w:r>
      <w:r w:rsidRPr="00615E50">
        <w:rPr>
          <w:lang w:val="es-419"/>
        </w:rPr>
        <w:tab/>
        <w:t>Consideraciones socioeconómicas.</w:t>
      </w:r>
    </w:p>
    <w:p w14:paraId="7C95FFAB" w14:textId="6D1D5DBB" w:rsidR="00F038D6" w:rsidRPr="00615E50" w:rsidRDefault="00A26CD4" w:rsidP="00A26CD4">
      <w:pPr>
        <w:pStyle w:val="CBDNormalNoNumber"/>
        <w:ind w:left="1701" w:hanging="1134"/>
        <w:rPr>
          <w:lang w:val="es-419"/>
        </w:rPr>
      </w:pPr>
      <w:r w:rsidRPr="00615E50">
        <w:rPr>
          <w:lang w:val="es-419"/>
        </w:rPr>
        <w:tab/>
        <w:t>14.</w:t>
      </w:r>
      <w:r w:rsidRPr="00615E50">
        <w:rPr>
          <w:lang w:val="es-419"/>
        </w:rPr>
        <w:tab/>
        <w:t>Protocolo Suplementario de Nagoya-Kuala Lumpur sobre Responsabilidad y Compensación</w:t>
      </w:r>
      <w:r w:rsidR="00803E96">
        <w:rPr>
          <w:lang w:val="es-419"/>
        </w:rPr>
        <w:t>.</w:t>
      </w:r>
    </w:p>
    <w:p w14:paraId="217E4F9D" w14:textId="65D814CD" w:rsidR="00F038D6" w:rsidRPr="00615E50" w:rsidRDefault="00A26CD4" w:rsidP="00A26CD4">
      <w:pPr>
        <w:pStyle w:val="CBDNormalNoNumber"/>
        <w:ind w:left="1701" w:hanging="1134"/>
        <w:rPr>
          <w:lang w:val="es-419"/>
        </w:rPr>
      </w:pPr>
      <w:r w:rsidRPr="00615E50">
        <w:rPr>
          <w:lang w:val="es-419"/>
        </w:rPr>
        <w:tab/>
        <w:t>15.</w:t>
      </w:r>
      <w:r w:rsidRPr="00615E50">
        <w:rPr>
          <w:lang w:val="es-419"/>
        </w:rPr>
        <w:tab/>
        <w:t>Otros asuntos.</w:t>
      </w:r>
    </w:p>
    <w:p w14:paraId="05C103B2" w14:textId="430B47F4" w:rsidR="00F038D6" w:rsidRPr="00615E50" w:rsidRDefault="00A26CD4" w:rsidP="00A26CD4">
      <w:pPr>
        <w:pStyle w:val="CBDNormalNoNumber"/>
        <w:ind w:left="1701" w:hanging="1134"/>
        <w:rPr>
          <w:lang w:val="es-419"/>
        </w:rPr>
      </w:pPr>
      <w:r w:rsidRPr="00615E50">
        <w:rPr>
          <w:lang w:val="es-419"/>
        </w:rPr>
        <w:tab/>
        <w:t>16.</w:t>
      </w:r>
      <w:r w:rsidRPr="00615E50">
        <w:rPr>
          <w:lang w:val="es-419"/>
        </w:rPr>
        <w:tab/>
        <w:t>Adopción del informe.</w:t>
      </w:r>
    </w:p>
    <w:p w14:paraId="69D700C8" w14:textId="51CADA84" w:rsidR="00DC44CE" w:rsidRPr="00615E50" w:rsidRDefault="00A26CD4" w:rsidP="00A26CD4">
      <w:pPr>
        <w:pStyle w:val="CBDNormalNoNumber"/>
        <w:ind w:left="1701" w:hanging="1134"/>
        <w:rPr>
          <w:lang w:val="es-419"/>
        </w:rPr>
      </w:pPr>
      <w:r w:rsidRPr="00615E50">
        <w:rPr>
          <w:lang w:val="es-419"/>
        </w:rPr>
        <w:tab/>
        <w:t>17.</w:t>
      </w:r>
      <w:r w:rsidRPr="00615E50">
        <w:rPr>
          <w:lang w:val="es-419"/>
        </w:rPr>
        <w:tab/>
        <w:t>Clausura de la reunión.</w:t>
      </w:r>
    </w:p>
    <w:p w14:paraId="1CDAA953" w14:textId="77777777" w:rsidR="00A01C93" w:rsidRPr="00615E50" w:rsidRDefault="00A01C93" w:rsidP="007F7E8B">
      <w:pPr>
        <w:pStyle w:val="Para1"/>
        <w:ind w:left="562"/>
        <w:rPr>
          <w:i/>
          <w:iCs/>
          <w:lang w:val="es-419"/>
        </w:rPr>
      </w:pPr>
      <w:r w:rsidRPr="00615E50">
        <w:rPr>
          <w:i/>
          <w:lang w:val="es-419"/>
        </w:rPr>
        <w:t>Organización de los trabajos</w:t>
      </w:r>
    </w:p>
    <w:p w14:paraId="3055E681" w14:textId="489C8A5D" w:rsidR="00EB1A67" w:rsidRPr="00615E50" w:rsidRDefault="00A01C93" w:rsidP="0093532A">
      <w:pPr>
        <w:pStyle w:val="CBDNormalNumber"/>
        <w:rPr>
          <w:rFonts w:eastAsia="Batang"/>
          <w:lang w:val="es-419"/>
        </w:rPr>
      </w:pPr>
      <w:r w:rsidRPr="00615E50">
        <w:rPr>
          <w:lang w:val="es-419"/>
        </w:rPr>
        <w:t xml:space="preserve">En su primera sesión plenaria, la Conferencia de las Partes que actúa como reunión de las Partes en el Protocolo convino en organizar su labor conforme a lo dispuesto en el anexo III de la propuesta de organización de los trabajos. </w:t>
      </w:r>
      <w:r w:rsidRPr="00615E50">
        <w:rPr>
          <w:rFonts w:asciiTheme="majorBidi" w:hAnsiTheme="majorBidi"/>
          <w:color w:val="000000" w:themeColor="text1"/>
          <w:lang w:val="es-419"/>
        </w:rPr>
        <w:t xml:space="preserve">Por consiguiente, convino en establecer dos grupos de trabajo. </w:t>
      </w:r>
      <w:r w:rsidRPr="00615E50">
        <w:rPr>
          <w:lang w:val="es-419"/>
        </w:rPr>
        <w:t>El Grupo de Trabajo</w:t>
      </w:r>
      <w:r w:rsidR="005E6E93" w:rsidRPr="00615E50">
        <w:rPr>
          <w:lang w:val="es-419"/>
        </w:rPr>
        <w:t> </w:t>
      </w:r>
      <w:r w:rsidRPr="00615E50">
        <w:rPr>
          <w:lang w:val="es-419"/>
        </w:rPr>
        <w:t>I estaría presidido por Charlotta Sörqvist (Suecia) y el Grupo de Trabajo II estaría presidido por Hesiquio Benítez Díaz (México).</w:t>
      </w:r>
    </w:p>
    <w:p w14:paraId="46E47034" w14:textId="77777777" w:rsidR="008270BA" w:rsidRPr="00615E50" w:rsidRDefault="008270BA" w:rsidP="008270BA">
      <w:pPr>
        <w:pStyle w:val="CBDNormalNoNumber"/>
        <w:keepNext/>
        <w:rPr>
          <w:i/>
          <w:iCs/>
          <w:snapToGrid w:val="0"/>
          <w:lang w:val="es-419"/>
        </w:rPr>
      </w:pPr>
      <w:r w:rsidRPr="00615E50">
        <w:rPr>
          <w:i/>
          <w:snapToGrid w:val="0"/>
          <w:lang w:val="es-419"/>
        </w:rPr>
        <w:t>Labor de los grupos de trabajo de la reunión</w:t>
      </w:r>
    </w:p>
    <w:p w14:paraId="47A29059" w14:textId="630FDCBF" w:rsidR="00BB00D8" w:rsidRPr="00615E50" w:rsidRDefault="00BB00D8" w:rsidP="00474A1A">
      <w:pPr>
        <w:pStyle w:val="CBDNormalNumber"/>
        <w:rPr>
          <w:lang w:val="es-419"/>
        </w:rPr>
      </w:pPr>
      <w:r w:rsidRPr="00615E50">
        <w:rPr>
          <w:lang w:val="es-419"/>
        </w:rPr>
        <w:t>El Grupo de Trabajo I celebró seis sesiones entre el 21 de octubre y el 1 de noviembre de 2024 y adoptó su informe</w:t>
      </w:r>
      <w:r w:rsidRPr="00615E50">
        <w:rPr>
          <w:rStyle w:val="FootnoteReference"/>
          <w:lang w:val="es-419"/>
        </w:rPr>
        <w:footnoteReference w:id="10"/>
      </w:r>
      <w:r w:rsidRPr="00615E50">
        <w:rPr>
          <w:lang w:val="es-419"/>
        </w:rPr>
        <w:t xml:space="preserve"> el 1 de noviembre de 2024.</w:t>
      </w:r>
    </w:p>
    <w:p w14:paraId="42887B9A" w14:textId="77777777" w:rsidR="00BB00D8" w:rsidRPr="00615E50" w:rsidRDefault="00BB00D8" w:rsidP="00474A1A">
      <w:pPr>
        <w:pStyle w:val="CBDNormalNumber"/>
        <w:rPr>
          <w:lang w:val="es-419"/>
        </w:rPr>
      </w:pPr>
      <w:r w:rsidRPr="00615E50">
        <w:rPr>
          <w:lang w:val="es-419"/>
        </w:rPr>
        <w:t>El Grupo de Trabajo II celebró 12 sesiones entre el 21 de octubre y el 1 de noviembre de 2024 y adoptó su informe</w:t>
      </w:r>
      <w:r w:rsidRPr="00615E50">
        <w:rPr>
          <w:rStyle w:val="FootnoteReference"/>
          <w:lang w:val="es-419"/>
        </w:rPr>
        <w:footnoteReference w:id="11"/>
      </w:r>
      <w:r w:rsidRPr="00615E50">
        <w:rPr>
          <w:lang w:val="es-419"/>
        </w:rPr>
        <w:t xml:space="preserve"> el 1 de noviembre de 2024.</w:t>
      </w:r>
    </w:p>
    <w:p w14:paraId="729AF928" w14:textId="77777777" w:rsidR="004D225E" w:rsidRPr="00615E50" w:rsidRDefault="004D225E" w:rsidP="004D225E">
      <w:pPr>
        <w:pStyle w:val="CBDNormalNumber"/>
        <w:keepNext/>
        <w:numPr>
          <w:ilvl w:val="0"/>
          <w:numId w:val="0"/>
        </w:numPr>
        <w:ind w:left="567"/>
        <w:rPr>
          <w:rFonts w:eastAsia="Batang"/>
          <w:i/>
          <w:iCs/>
          <w:lang w:val="es-419"/>
        </w:rPr>
      </w:pPr>
      <w:r w:rsidRPr="00615E50">
        <w:rPr>
          <w:i/>
          <w:lang w:val="es-419"/>
        </w:rPr>
        <w:t>Primera sesión de balance</w:t>
      </w:r>
    </w:p>
    <w:p w14:paraId="37347DAB" w14:textId="297217DA" w:rsidR="004D225E" w:rsidRPr="00615E50" w:rsidRDefault="004D225E" w:rsidP="006B49C8">
      <w:pPr>
        <w:pStyle w:val="CBDNormalNumber"/>
        <w:spacing w:before="0"/>
        <w:rPr>
          <w:rFonts w:eastAsia="Batang"/>
          <w:lang w:val="es-419"/>
        </w:rPr>
      </w:pPr>
      <w:r w:rsidRPr="00615E50">
        <w:rPr>
          <w:lang w:val="es-419"/>
        </w:rPr>
        <w:t>La segunda sesión plenaria de la Conferencia de las Partes que actúa como reunión de las Partes en el Protocolo fue, entre otras cosas, una sesión de balance y se celebró</w:t>
      </w:r>
      <w:r w:rsidR="005E6E93" w:rsidRPr="00615E50">
        <w:rPr>
          <w:lang w:val="es-419"/>
        </w:rPr>
        <w:t xml:space="preserve"> el 25 de octubre</w:t>
      </w:r>
      <w:r w:rsidRPr="00615E50">
        <w:rPr>
          <w:lang w:val="es-419"/>
        </w:rPr>
        <w:t xml:space="preserve"> en conjunto con la Conferencia de las Partes en el Convenio y la Conferencia de las Partes que actúa como reunión de las Partes en el Protocolo de Nagoya. Durante la sesión de balance, las Presidencias del Grupo de Trabajo</w:t>
      </w:r>
      <w:r w:rsidR="005E6E93" w:rsidRPr="00615E50">
        <w:rPr>
          <w:lang w:val="es-419"/>
        </w:rPr>
        <w:t> </w:t>
      </w:r>
      <w:r w:rsidRPr="00615E50">
        <w:rPr>
          <w:lang w:val="es-419"/>
        </w:rPr>
        <w:t>I, del Grupo de Trabajo</w:t>
      </w:r>
      <w:r w:rsidR="005E6E93" w:rsidRPr="00615E50">
        <w:rPr>
          <w:lang w:val="es-419"/>
        </w:rPr>
        <w:t> </w:t>
      </w:r>
      <w:r w:rsidRPr="00615E50">
        <w:rPr>
          <w:lang w:val="es-419"/>
        </w:rPr>
        <w:t xml:space="preserve">II y del grupo de contacto sobre cuestiones presupuestarias informaron con respecto a los progresos realizados hasta la fecha. </w:t>
      </w:r>
    </w:p>
    <w:p w14:paraId="344931D3" w14:textId="461216C2" w:rsidR="00E668E6" w:rsidRPr="00615E50" w:rsidRDefault="00E668E6" w:rsidP="00351C22">
      <w:pPr>
        <w:pStyle w:val="CBDNormalNumber"/>
        <w:rPr>
          <w:lang w:val="es-419"/>
        </w:rPr>
      </w:pPr>
      <w:r w:rsidRPr="00615E50">
        <w:rPr>
          <w:lang w:val="es-419"/>
        </w:rPr>
        <w:lastRenderedPageBreak/>
        <w:t xml:space="preserve">Formularon declaraciones representantes de las siguientes Partes: Fiji (en nombre de los pequeños Estados insulares en desarrollo del Pacífico que son Partes en el Protocolo y estaban representados en la reunión) y República Democrática Popular Lao (en nombre de los Estados miembros de la Asociación de Naciones de Asia Sudoriental representados en la reunión). </w:t>
      </w:r>
    </w:p>
    <w:p w14:paraId="77092951" w14:textId="39C6D89A" w:rsidR="00E668E6" w:rsidRPr="00615E50" w:rsidRDefault="00E668E6" w:rsidP="00E668E6">
      <w:pPr>
        <w:pStyle w:val="CBDNormalNumber"/>
        <w:rPr>
          <w:lang w:val="es-419"/>
        </w:rPr>
      </w:pPr>
      <w:r w:rsidRPr="00615E50">
        <w:rPr>
          <w:lang w:val="es-419"/>
        </w:rPr>
        <w:t>También formuló una declaración un representante del siguiente Estado que no es Parte: Federación de Rusia (también en nombre de Brasil, China, Egipto, Emiratos Árabes Unidos, Etiopía, India, Irán (República Islámica del) y Sudáfrica).</w:t>
      </w:r>
    </w:p>
    <w:p w14:paraId="77E53050" w14:textId="28E0EFA7" w:rsidR="004D225E" w:rsidRPr="00615E50" w:rsidRDefault="004D225E" w:rsidP="004D225E">
      <w:pPr>
        <w:pStyle w:val="CBDNormalNumber"/>
        <w:keepNext/>
        <w:numPr>
          <w:ilvl w:val="0"/>
          <w:numId w:val="0"/>
        </w:numPr>
        <w:ind w:left="567"/>
        <w:rPr>
          <w:rFonts w:eastAsia="Batang"/>
          <w:i/>
          <w:iCs/>
          <w:lang w:val="es-419"/>
        </w:rPr>
      </w:pPr>
      <w:r w:rsidRPr="00615E50">
        <w:rPr>
          <w:i/>
          <w:lang w:val="es-419"/>
        </w:rPr>
        <w:t>Segunda sesión de balance</w:t>
      </w:r>
    </w:p>
    <w:p w14:paraId="46ED0AAF" w14:textId="110F82A9" w:rsidR="006905B0" w:rsidRPr="00615E50" w:rsidRDefault="006905B0" w:rsidP="006905B0">
      <w:pPr>
        <w:pStyle w:val="CBDNormalNumber"/>
        <w:rPr>
          <w:rFonts w:eastAsia="Batang"/>
          <w:lang w:val="es-419"/>
        </w:rPr>
      </w:pPr>
      <w:r w:rsidRPr="00615E50">
        <w:rPr>
          <w:lang w:val="es-419"/>
        </w:rPr>
        <w:t xml:space="preserve">La tercera sesión plenaria de la Conferencia de las Partes que actúa como reunión de las Partes en el Protocolo de Cartagena fue, entre otras cosas, una </w:t>
      </w:r>
      <w:r w:rsidR="005E6E93" w:rsidRPr="00615E50">
        <w:rPr>
          <w:lang w:val="es-419"/>
        </w:rPr>
        <w:t>segunda sesión de balance</w:t>
      </w:r>
      <w:r w:rsidRPr="00615E50">
        <w:rPr>
          <w:lang w:val="es-419"/>
        </w:rPr>
        <w:t xml:space="preserve"> celebr</w:t>
      </w:r>
      <w:r w:rsidR="005E6E93" w:rsidRPr="00615E50">
        <w:rPr>
          <w:lang w:val="es-419"/>
        </w:rPr>
        <w:t>ada</w:t>
      </w:r>
      <w:r w:rsidRPr="00615E50">
        <w:rPr>
          <w:lang w:val="es-419"/>
        </w:rPr>
        <w:t xml:space="preserve"> en conjunto con la Conferencia de las Partes en el Convenio y la Conferencia de las Partes que actúa como reunión de las Partes en el Protocolo de Nagoya. Durante la sesión de balance, los representantes escucharon un informe de la Presidenta sobre l</w:t>
      </w:r>
      <w:r w:rsidR="005E6E93" w:rsidRPr="00615E50">
        <w:rPr>
          <w:lang w:val="es-419"/>
        </w:rPr>
        <w:t>a</w:t>
      </w:r>
      <w:r w:rsidRPr="00615E50">
        <w:rPr>
          <w:lang w:val="es-419"/>
        </w:rPr>
        <w:t xml:space="preserve">s </w:t>
      </w:r>
      <w:r w:rsidR="005E6E93" w:rsidRPr="00615E50">
        <w:rPr>
          <w:lang w:val="es-419"/>
        </w:rPr>
        <w:t>c</w:t>
      </w:r>
      <w:r w:rsidRPr="00615E50">
        <w:rPr>
          <w:lang w:val="es-419"/>
        </w:rPr>
        <w:t>o</w:t>
      </w:r>
      <w:r w:rsidR="005E6E93" w:rsidRPr="00615E50">
        <w:rPr>
          <w:lang w:val="es-419"/>
        </w:rPr>
        <w:t>nclusione</w:t>
      </w:r>
      <w:r w:rsidRPr="00615E50">
        <w:rPr>
          <w:lang w:val="es-419"/>
        </w:rPr>
        <w:t>s de la serie de sesiones de alto nivel, así como informes sobre los progresos realizados hasta la fecha brindados por las Presidencias del Grupo de Trabajo</w:t>
      </w:r>
      <w:r w:rsidR="005E6E93" w:rsidRPr="00615E50">
        <w:rPr>
          <w:lang w:val="es-419"/>
        </w:rPr>
        <w:t> </w:t>
      </w:r>
      <w:r w:rsidRPr="00615E50">
        <w:rPr>
          <w:lang w:val="es-419"/>
        </w:rPr>
        <w:t>I, del Grupo de Trabajo</w:t>
      </w:r>
      <w:r w:rsidR="005E6E93" w:rsidRPr="00615E50">
        <w:rPr>
          <w:lang w:val="es-419"/>
        </w:rPr>
        <w:t> </w:t>
      </w:r>
      <w:r w:rsidRPr="00615E50">
        <w:rPr>
          <w:lang w:val="es-419"/>
        </w:rPr>
        <w:t>II y del grupo de contacto so</w:t>
      </w:r>
      <w:r w:rsidR="00803E96">
        <w:rPr>
          <w:lang w:val="es-419"/>
        </w:rPr>
        <w:t>bre cuestiones presupuestarias.</w:t>
      </w:r>
    </w:p>
    <w:p w14:paraId="0EBFC06E" w14:textId="2059E873" w:rsidR="006905B0" w:rsidRPr="00615E50" w:rsidRDefault="006905B0" w:rsidP="006905B0">
      <w:pPr>
        <w:pStyle w:val="CBDNormalNumber"/>
        <w:rPr>
          <w:rFonts w:eastAsia="Batang"/>
          <w:lang w:val="es-419"/>
        </w:rPr>
      </w:pPr>
      <w:r w:rsidRPr="00615E50">
        <w:rPr>
          <w:lang w:val="es-419"/>
        </w:rPr>
        <w:t>Formuló una declaración un representante del Estado Plurinacional de Bolivia (también en nombre de Antigua y Barbuda, Brasil, Cuba, Ecuador, Fiji, Filipinas, Guatemala, Haití, India, Indonesia, Islas Cook, Islas Marshall, Islas Salomón, Kiribati, Malasia, Micronesia (Estados Federados de), Nauru, Palau, República Dominicana, Tonga, Vanuatu, Venezuela (República Bolivariana de) y los Estados de África)</w:t>
      </w:r>
      <w:r w:rsidR="009F02FB" w:rsidRPr="00615E50">
        <w:rPr>
          <w:rStyle w:val="FootnoteReference"/>
          <w:lang w:val="es-419"/>
        </w:rPr>
        <w:footnoteReference w:id="12"/>
      </w:r>
      <w:r w:rsidRPr="00615E50">
        <w:rPr>
          <w:lang w:val="es-419"/>
        </w:rPr>
        <w:t>.</w:t>
      </w:r>
    </w:p>
    <w:p w14:paraId="21719BE0" w14:textId="3B464149" w:rsidR="008270BA" w:rsidRPr="00615E50" w:rsidRDefault="00592CD5" w:rsidP="008270BA">
      <w:pPr>
        <w:pStyle w:val="CBDNormalNoNumber"/>
        <w:keepNext/>
        <w:rPr>
          <w:i/>
          <w:iCs/>
          <w:snapToGrid w:val="0"/>
          <w:lang w:val="es-419"/>
        </w:rPr>
      </w:pPr>
      <w:r w:rsidRPr="00615E50">
        <w:rPr>
          <w:i/>
          <w:snapToGrid w:val="0"/>
          <w:lang w:val="es-419"/>
        </w:rPr>
        <w:t>Primera continuación de la reunión</w:t>
      </w:r>
    </w:p>
    <w:p w14:paraId="62EF94D6" w14:textId="6BA4A85A" w:rsidR="006B234D" w:rsidRPr="00615E50" w:rsidRDefault="00C86BCF" w:rsidP="006B234D">
      <w:pPr>
        <w:pStyle w:val="CBDNormalNumber"/>
        <w:rPr>
          <w:snapToGrid w:val="0"/>
          <w:lang w:val="es-419"/>
        </w:rPr>
      </w:pPr>
      <w:r w:rsidRPr="00615E50">
        <w:rPr>
          <w:snapToGrid w:val="0"/>
          <w:lang w:val="es-419"/>
        </w:rPr>
        <w:t>Con antelación a la primera continuación de la reunión, la Secretaría envió una comunicación de apertura de la Presidenta</w:t>
      </w:r>
      <w:r w:rsidRPr="00615E50">
        <w:rPr>
          <w:rStyle w:val="FootnoteReference"/>
          <w:snapToGrid w:val="0"/>
          <w:lang w:val="es-419"/>
        </w:rPr>
        <w:footnoteReference w:id="13"/>
      </w:r>
      <w:r w:rsidRPr="00615E50">
        <w:rPr>
          <w:snapToGrid w:val="0"/>
          <w:lang w:val="es-419"/>
        </w:rPr>
        <w:t xml:space="preserve"> y una nota con un posible esquema</w:t>
      </w:r>
      <w:r w:rsidRPr="00615E50">
        <w:rPr>
          <w:rStyle w:val="FootnoteReference"/>
          <w:snapToGrid w:val="0"/>
          <w:lang w:val="es-419"/>
        </w:rPr>
        <w:footnoteReference w:id="14"/>
      </w:r>
      <w:r w:rsidRPr="00615E50">
        <w:rPr>
          <w:snapToGrid w:val="0"/>
          <w:lang w:val="es-419"/>
        </w:rPr>
        <w:t xml:space="preserve"> para la adopción de dos proyectos de decisión referidos al presupuesto</w:t>
      </w:r>
      <w:r w:rsidRPr="00615E50">
        <w:rPr>
          <w:rStyle w:val="FootnoteReference"/>
          <w:snapToGrid w:val="0"/>
          <w:lang w:val="es-419"/>
        </w:rPr>
        <w:footnoteReference w:id="15"/>
      </w:r>
      <w:r w:rsidRPr="00615E50">
        <w:rPr>
          <w:snapToGrid w:val="0"/>
          <w:lang w:val="es-419"/>
        </w:rPr>
        <w:t xml:space="preserve">, que se haría conforme a un procedimiento de acuerdo tácito. </w:t>
      </w:r>
      <w:r w:rsidRPr="00615E50">
        <w:rPr>
          <w:lang w:val="es-419"/>
        </w:rPr>
        <w:t>El resultado de los procedimientos de acuerdo tácito se describe más adelante en el tema 6.</w:t>
      </w:r>
    </w:p>
    <w:p w14:paraId="11F7BFF4" w14:textId="3D28BD55" w:rsidR="000F7F8A" w:rsidRPr="00615E50" w:rsidRDefault="00E04367" w:rsidP="000F7F8A">
      <w:pPr>
        <w:pStyle w:val="CBDNormalNumber"/>
        <w:numPr>
          <w:ilvl w:val="0"/>
          <w:numId w:val="0"/>
        </w:numPr>
        <w:ind w:left="567"/>
        <w:rPr>
          <w:i/>
          <w:iCs/>
          <w:snapToGrid w:val="0"/>
          <w:lang w:val="es-419"/>
        </w:rPr>
      </w:pPr>
      <w:r w:rsidRPr="00615E50">
        <w:rPr>
          <w:i/>
          <w:snapToGrid w:val="0"/>
          <w:lang w:val="es-419"/>
        </w:rPr>
        <w:t xml:space="preserve">Segunda continuación de la reunión </w:t>
      </w:r>
    </w:p>
    <w:p w14:paraId="62466DC0" w14:textId="22459CEF" w:rsidR="00035500" w:rsidRPr="00757484" w:rsidRDefault="002A740C" w:rsidP="00035500">
      <w:pPr>
        <w:pStyle w:val="CBDNormalNumber"/>
        <w:rPr>
          <w:spacing w:val="-2"/>
          <w:lang w:val="es-419"/>
        </w:rPr>
      </w:pPr>
      <w:r w:rsidRPr="00757484">
        <w:rPr>
          <w:spacing w:val="-2"/>
          <w:lang w:val="es-419"/>
        </w:rPr>
        <w:t>En su séptima sesión plenaria, la Conferencia de las Partes que actúa como reunión de las Partes en el Protocolo tuvo ante sí las anotaciones al programa provisional para</w:t>
      </w:r>
      <w:r w:rsidR="005E6E93" w:rsidRPr="00757484">
        <w:rPr>
          <w:spacing w:val="-2"/>
          <w:lang w:val="es-419"/>
        </w:rPr>
        <w:t xml:space="preserve"> todos</w:t>
      </w:r>
      <w:r w:rsidRPr="00757484">
        <w:rPr>
          <w:spacing w:val="-2"/>
          <w:lang w:val="es-419"/>
        </w:rPr>
        <w:t xml:space="preserve"> los temas del programa que estaban pendientes</w:t>
      </w:r>
      <w:r w:rsidR="00035500" w:rsidRPr="00757484">
        <w:rPr>
          <w:rStyle w:val="FootnoteReference"/>
          <w:spacing w:val="-2"/>
          <w:lang w:val="es-419"/>
        </w:rPr>
        <w:footnoteReference w:id="16"/>
      </w:r>
      <w:r w:rsidR="006D488C" w:rsidRPr="00757484">
        <w:rPr>
          <w:spacing w:val="-2"/>
          <w:lang w:val="es-419"/>
        </w:rPr>
        <w:t xml:space="preserve"> </w:t>
      </w:r>
      <w:r w:rsidRPr="00757484">
        <w:rPr>
          <w:spacing w:val="-2"/>
          <w:lang w:val="es-419"/>
        </w:rPr>
        <w:t>y una propuesta de organización de los trabajos y nota con un posible esquema</w:t>
      </w:r>
      <w:r w:rsidR="00035500" w:rsidRPr="00757484">
        <w:rPr>
          <w:rStyle w:val="FootnoteReference"/>
          <w:spacing w:val="-2"/>
          <w:lang w:val="es-419"/>
        </w:rPr>
        <w:footnoteReference w:id="17"/>
      </w:r>
      <w:r w:rsidRPr="00757484">
        <w:rPr>
          <w:spacing w:val="-2"/>
          <w:lang w:val="es-419"/>
        </w:rPr>
        <w:t xml:space="preserve">, ambas preparadas </w:t>
      </w:r>
      <w:r w:rsidRPr="00757484">
        <w:rPr>
          <w:color w:val="000000" w:themeColor="text1"/>
          <w:spacing w:val="-2"/>
          <w:lang w:val="es-419"/>
        </w:rPr>
        <w:t>por la Secretaría en consulta con la Mesa.</w:t>
      </w:r>
    </w:p>
    <w:p w14:paraId="42ED5224" w14:textId="2CCD1F32" w:rsidR="00035500" w:rsidRPr="00615E50" w:rsidRDefault="00035500" w:rsidP="00035500">
      <w:pPr>
        <w:pStyle w:val="CBDNormalNumber"/>
        <w:rPr>
          <w:lang w:val="es-419"/>
        </w:rPr>
      </w:pPr>
      <w:r w:rsidRPr="00615E50">
        <w:rPr>
          <w:rFonts w:asciiTheme="majorBidi" w:hAnsiTheme="majorBidi"/>
          <w:color w:val="000000" w:themeColor="text1"/>
          <w:spacing w:val="-2"/>
          <w:lang w:val="es-419"/>
        </w:rPr>
        <w:t>La Conferencia de las Partes que actúa como reunión de las Partes en el Protocolo aprobó la propuesta de posible esquema, que figuraba en la sección II del documento CBD/CP/MOP/11/1/Add.5,</w:t>
      </w:r>
      <w:r w:rsidRPr="00615E50">
        <w:rPr>
          <w:rFonts w:asciiTheme="majorBidi" w:hAnsiTheme="majorBidi"/>
          <w:color w:val="000000" w:themeColor="text1"/>
          <w:lang w:val="es-419"/>
        </w:rPr>
        <w:t xml:space="preserve"> y la propuesta de organización de los trabajos, que figuraba en el anexo de ese mismo documento.</w:t>
      </w:r>
    </w:p>
    <w:p w14:paraId="7481B2B3" w14:textId="49D0DFA2" w:rsidR="00A321E7" w:rsidRPr="00615E50" w:rsidRDefault="00A321E7" w:rsidP="00A26CD4">
      <w:pPr>
        <w:pStyle w:val="CBDNormalNumber"/>
        <w:rPr>
          <w:lang w:val="es-419"/>
        </w:rPr>
      </w:pPr>
      <w:r w:rsidRPr="00615E50">
        <w:rPr>
          <w:lang w:val="es-419"/>
        </w:rPr>
        <w:t>[se completará]</w:t>
      </w:r>
    </w:p>
    <w:p w14:paraId="5477E4F4" w14:textId="16D0DC19" w:rsidR="00557370" w:rsidRPr="00615E50" w:rsidRDefault="00512CE8" w:rsidP="006F791E">
      <w:pPr>
        <w:pStyle w:val="CBDAgendaItem"/>
        <w:rPr>
          <w:lang w:val="es-419"/>
        </w:rPr>
      </w:pPr>
      <w:r w:rsidRPr="00615E50">
        <w:rPr>
          <w:lang w:val="es-419"/>
        </w:rPr>
        <w:lastRenderedPageBreak/>
        <w:t>Tema 3</w:t>
      </w:r>
      <w:r w:rsidRPr="00615E50">
        <w:rPr>
          <w:lang w:val="es-419"/>
        </w:rPr>
        <w:br/>
        <w:t>Informe sobre las credenciales de los representantes que participan en la 11</w:t>
      </w:r>
      <w:r w:rsidRPr="00615E50">
        <w:rPr>
          <w:vertAlign w:val="superscript"/>
          <w:lang w:val="es-419"/>
        </w:rPr>
        <w:t>a</w:t>
      </w:r>
      <w:r w:rsidRPr="00615E50">
        <w:rPr>
          <w:lang w:val="es-419"/>
        </w:rPr>
        <w:t xml:space="preserve"> reunión</w:t>
      </w:r>
      <w:r w:rsidRPr="00615E50">
        <w:rPr>
          <w:lang w:val="es-419"/>
        </w:rPr>
        <w:br/>
        <w:t>de la Conferencia de las Partes que actúa como reunión de las Partes en el Protocolo</w:t>
      </w:r>
      <w:r w:rsidRPr="00615E50">
        <w:rPr>
          <w:lang w:val="es-419"/>
        </w:rPr>
        <w:br/>
        <w:t>de Cartagena</w:t>
      </w:r>
    </w:p>
    <w:p w14:paraId="0489909E" w14:textId="74151B36" w:rsidR="002530CE" w:rsidRPr="00615E50" w:rsidRDefault="00A53A16" w:rsidP="002530CE">
      <w:pPr>
        <w:pStyle w:val="CBDNormalNumber"/>
        <w:rPr>
          <w:lang w:val="es-419"/>
        </w:rPr>
      </w:pPr>
      <w:bookmarkStart w:id="6" w:name="_Hlk180682308"/>
      <w:r w:rsidRPr="00615E50">
        <w:rPr>
          <w:lang w:val="es-419"/>
        </w:rPr>
        <w:t xml:space="preserve">En su primera sesión plenaria, la Conferencia de las Partes que actúa como reunión de las Partes en el Protocolo señaló que, de conformidad con los artículos pertinentes del Reglamento </w:t>
      </w:r>
      <w:r w:rsidR="00C05ACB" w:rsidRPr="00615E50">
        <w:rPr>
          <w:lang w:val="es-419"/>
        </w:rPr>
        <w:t>de</w:t>
      </w:r>
      <w:r w:rsidRPr="00615E50">
        <w:rPr>
          <w:lang w:val="es-419"/>
        </w:rPr>
        <w:t xml:space="preserve"> las reuniones de las Partes, la Mesa había revisado la lista de observadores admitidos a la reunión</w:t>
      </w:r>
      <w:r w:rsidRPr="00615E50">
        <w:rPr>
          <w:rStyle w:val="FootnoteReference"/>
          <w:lang w:val="es-419"/>
        </w:rPr>
        <w:footnoteReference w:id="18"/>
      </w:r>
      <w:r w:rsidRPr="00615E50">
        <w:rPr>
          <w:lang w:val="es-419"/>
        </w:rPr>
        <w:t xml:space="preserve"> y que, tras examinar las credenciales de las delegaciones, informaría al respecto en una sesión posterior. Señaló también que la Mesa había designado a la Sra. Mabuza como su representante para el examen de las credenciales.</w:t>
      </w:r>
    </w:p>
    <w:p w14:paraId="5F16710E" w14:textId="3ABCC203" w:rsidR="00B106AD" w:rsidRPr="00615E50" w:rsidRDefault="000A285D" w:rsidP="00B106AD">
      <w:pPr>
        <w:pStyle w:val="CBDNormalNumber"/>
        <w:rPr>
          <w:lang w:val="es-419"/>
        </w:rPr>
      </w:pPr>
      <w:r w:rsidRPr="00615E50">
        <w:rPr>
          <w:lang w:val="es-419"/>
        </w:rPr>
        <w:t>En la segunda sesión plenaria, la Sra. Mabuza informó que 151 Partes en el Protocolo estaban inscritas para asistir a la reunión. Los representantes de 108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42 Partes inscritas no habían presentado aún sus credenciales.</w:t>
      </w:r>
    </w:p>
    <w:p w14:paraId="739434E3" w14:textId="26AF31E7" w:rsidR="006905B0" w:rsidRPr="00615E50" w:rsidRDefault="006905B0" w:rsidP="006905B0">
      <w:pPr>
        <w:pStyle w:val="CBDNormalNumber"/>
        <w:rPr>
          <w:lang w:val="es-419"/>
        </w:rPr>
      </w:pPr>
      <w:bookmarkStart w:id="7" w:name="_Hlk181295818"/>
      <w:r w:rsidRPr="00615E50">
        <w:rPr>
          <w:lang w:val="es-419"/>
        </w:rPr>
        <w:t>En la tercera sesión plenaria, la Sra. Mabuza informó que 155 Partes en el Protocolo estaban inscritas para asistir a la reunión. Los representantes de 115 Partes inscritas habían presentado credenciales que cumplían plenamente los requisitos estipulados en el artículo 18 del Reglamento, mientras que los representantes de una Parte inscrita habían presentado credenciales que no cumplían plenamente los requisitos. Los representantes de 39 Partes inscritas no habían presentado aún sus credenciales.</w:t>
      </w:r>
    </w:p>
    <w:p w14:paraId="712A8F35" w14:textId="6AB825E8" w:rsidR="00DD77E2" w:rsidRPr="00615E50" w:rsidRDefault="00DD77E2" w:rsidP="00DD77E2">
      <w:pPr>
        <w:pStyle w:val="CBDNormalNumber"/>
        <w:rPr>
          <w:lang w:val="es-419"/>
        </w:rPr>
      </w:pPr>
      <w:bookmarkStart w:id="8" w:name="_Hlk181299492"/>
      <w:bookmarkEnd w:id="7"/>
      <w:r w:rsidRPr="00615E50">
        <w:rPr>
          <w:lang w:val="es-419"/>
        </w:rPr>
        <w:t xml:space="preserve">En la cuarta sesión plenaria, la Presidenta anunció que el informe sobre las credenciales se había publicado como documento </w:t>
      </w:r>
      <w:r w:rsidR="00C05ACB" w:rsidRPr="00615E50">
        <w:rPr>
          <w:lang w:val="es-419"/>
        </w:rPr>
        <w:t xml:space="preserve">de </w:t>
      </w:r>
      <w:r w:rsidRPr="00615E50">
        <w:rPr>
          <w:lang w:val="es-419"/>
        </w:rPr>
        <w:t>informa</w:t>
      </w:r>
      <w:r w:rsidR="00C05ACB" w:rsidRPr="00615E50">
        <w:rPr>
          <w:lang w:val="es-419"/>
        </w:rPr>
        <w:t>c</w:t>
      </w:r>
      <w:r w:rsidRPr="00615E50">
        <w:rPr>
          <w:lang w:val="es-419"/>
        </w:rPr>
        <w:t>i</w:t>
      </w:r>
      <w:r w:rsidR="00C05ACB" w:rsidRPr="00615E50">
        <w:rPr>
          <w:lang w:val="es-419"/>
        </w:rPr>
        <w:t>ón</w:t>
      </w:r>
      <w:r w:rsidRPr="00615E50">
        <w:rPr>
          <w:lang w:val="es-419"/>
        </w:rPr>
        <w:t xml:space="preserve"> CBD/CP/MOP/11/INF/6. Además, los representantes de Tayikistán habían presentado credenciales que cumplían plenamente los requisitos, con lo que el número de Partes que habían presentado credenciales que cumplían plenamente los requisitos estipulados en el artículo 18 del Reglamento ascendía a 116 para la 11ª reunión de la Conferencia de las Partes que actúa como reunión de las Partes en el Protocolo. </w:t>
      </w:r>
    </w:p>
    <w:p w14:paraId="08C4D9E5" w14:textId="53835595" w:rsidR="00DD77E2" w:rsidRPr="00615E50" w:rsidRDefault="00DD77E2" w:rsidP="00DD77E2">
      <w:pPr>
        <w:pStyle w:val="CBDNormalNumber"/>
        <w:rPr>
          <w:lang w:val="es-419"/>
        </w:rPr>
      </w:pPr>
      <w:r w:rsidRPr="00615E50">
        <w:rPr>
          <w:lang w:val="es-419"/>
        </w:rPr>
        <w:t>La Conferencia de las Partes que actúa como reunión de las Partes en el Protocolo tomó nota del informe sobre las credenciales y lo aprobó</w:t>
      </w:r>
      <w:r w:rsidR="001C71E0" w:rsidRPr="00615E50">
        <w:rPr>
          <w:rStyle w:val="FootnoteReference"/>
          <w:rFonts w:eastAsia="MS Mincho"/>
          <w:lang w:val="es-419" w:eastAsia="en-CA"/>
        </w:rPr>
        <w:footnoteReference w:id="19"/>
      </w:r>
      <w:r w:rsidRPr="00615E50">
        <w:rPr>
          <w:lang w:val="es-419"/>
        </w:rPr>
        <w:t>.</w:t>
      </w:r>
    </w:p>
    <w:bookmarkEnd w:id="6"/>
    <w:bookmarkEnd w:id="8"/>
    <w:p w14:paraId="1E0B23C6" w14:textId="6F7C5A87" w:rsidR="00BC4CAC" w:rsidRPr="00615E50" w:rsidRDefault="00574CA3" w:rsidP="00BC4CAC">
      <w:pPr>
        <w:pStyle w:val="CBDNormalNoNumber"/>
        <w:keepNext/>
        <w:rPr>
          <w:i/>
          <w:iCs/>
          <w:snapToGrid w:val="0"/>
          <w:lang w:val="es-419"/>
        </w:rPr>
      </w:pPr>
      <w:r w:rsidRPr="00615E50">
        <w:rPr>
          <w:i/>
          <w:snapToGrid w:val="0"/>
          <w:lang w:val="es-419"/>
        </w:rPr>
        <w:t>Segunda continuación de la reunión</w:t>
      </w:r>
    </w:p>
    <w:p w14:paraId="7FC818C9" w14:textId="5E37DFB4" w:rsidR="007B4840" w:rsidRPr="00615E50" w:rsidRDefault="007B4840" w:rsidP="00842669">
      <w:pPr>
        <w:pStyle w:val="CBDNormalNumber"/>
        <w:rPr>
          <w:lang w:val="es-419"/>
        </w:rPr>
      </w:pPr>
      <w:r w:rsidRPr="00615E50">
        <w:rPr>
          <w:lang w:val="es-419"/>
        </w:rPr>
        <w:t xml:space="preserve">En la </w:t>
      </w:r>
      <w:r w:rsidR="00E710AE">
        <w:rPr>
          <w:lang w:val="es-419"/>
        </w:rPr>
        <w:t xml:space="preserve">octava </w:t>
      </w:r>
      <w:r w:rsidRPr="00615E50">
        <w:rPr>
          <w:lang w:val="es-419"/>
        </w:rPr>
        <w:t xml:space="preserve">sesión plenaria, </w:t>
      </w:r>
      <w:r w:rsidR="00E710AE">
        <w:rPr>
          <w:lang w:val="es-419"/>
        </w:rPr>
        <w:t xml:space="preserve">el 26 de febrero de 2025, la Sra. Mabuza </w:t>
      </w:r>
      <w:r w:rsidRPr="00615E50">
        <w:rPr>
          <w:lang w:val="es-419"/>
        </w:rPr>
        <w:t xml:space="preserve">informó a la Conferencia de las Partes que actúa como reunión de las Partes en el Protocolo que </w:t>
      </w:r>
      <w:r w:rsidR="00E710AE">
        <w:rPr>
          <w:lang w:val="es-419"/>
        </w:rPr>
        <w:t xml:space="preserve">136 Partes </w:t>
      </w:r>
      <w:r w:rsidRPr="00615E50">
        <w:rPr>
          <w:lang w:val="es-419"/>
        </w:rPr>
        <w:t>estaban inscritas para asistir a la segunda continuación de la reunión.</w:t>
      </w:r>
      <w:r w:rsidR="00E710AE">
        <w:rPr>
          <w:lang w:val="es-419"/>
        </w:rPr>
        <w:t xml:space="preserve"> Los representantes de 117 Partes inscritas han presentado credenciales en pleno cumplimiento de la regla 18 del reglamento para las reuniones, en tanto los representantes de 19 Partes inscritas aún no habían presentado credenciales. El informe sobre credenciales para la segunda continuación de la reunión había sido publicado documento informativo CBD/CP/MOP/11/</w:t>
      </w:r>
      <w:r w:rsidR="00E710AE">
        <w:rPr>
          <w:iCs/>
          <w:lang w:val="es-419"/>
        </w:rPr>
        <w:t>INF/7.</w:t>
      </w:r>
    </w:p>
    <w:p w14:paraId="2C681B21" w14:textId="0B57116C" w:rsidR="00BC4CAC" w:rsidRPr="00615E50" w:rsidRDefault="00E710AE" w:rsidP="00842669">
      <w:pPr>
        <w:pStyle w:val="CBDNormalNumber"/>
        <w:rPr>
          <w:lang w:val="es-419"/>
        </w:rPr>
      </w:pPr>
      <w:r>
        <w:rPr>
          <w:lang w:val="es-419"/>
        </w:rPr>
        <w:t>La Conferencia de las Partes que actúa como reunión de las Partes en el Protocolo tomó nota del informe sobre credenciales y lo aprobó.</w:t>
      </w:r>
    </w:p>
    <w:p w14:paraId="2388D68E" w14:textId="65986560" w:rsidR="00557370" w:rsidRPr="00615E50" w:rsidRDefault="001E1D93" w:rsidP="006F791E">
      <w:pPr>
        <w:pStyle w:val="CBDAgendaItem"/>
        <w:rPr>
          <w:lang w:val="es-419"/>
        </w:rPr>
      </w:pPr>
      <w:r w:rsidRPr="00615E50">
        <w:rPr>
          <w:lang w:val="es-419"/>
        </w:rPr>
        <w:t>Tema 4</w:t>
      </w:r>
      <w:r w:rsidRPr="00615E50">
        <w:rPr>
          <w:lang w:val="es-419"/>
        </w:rPr>
        <w:br/>
        <w:t>Informes de los órganos subsidiarios</w:t>
      </w:r>
    </w:p>
    <w:p w14:paraId="1A105227" w14:textId="041C1966" w:rsidR="00557370" w:rsidRPr="00615E50" w:rsidRDefault="005A116F" w:rsidP="004B5D31">
      <w:pPr>
        <w:pStyle w:val="CBDNormalNumber"/>
        <w:rPr>
          <w:lang w:val="es-419"/>
        </w:rPr>
      </w:pPr>
      <w:r w:rsidRPr="00615E50">
        <w:rPr>
          <w:lang w:val="es-419"/>
        </w:rPr>
        <w:t xml:space="preserve">La Conferencia de las Partes que actúa como reunión de las Partes en el Protocolo consideró el tema 4 del programa en su primera sesión plenaria. Tuvo ante sí los siguientes informes sobre la </w:t>
      </w:r>
      <w:r w:rsidRPr="00615E50">
        <w:rPr>
          <w:lang w:val="es-419"/>
        </w:rPr>
        <w:lastRenderedPageBreak/>
        <w:t>labor entre períodos de sesiones realizada por diversos órganos desde su 10</w:t>
      </w:r>
      <w:r w:rsidRPr="00615E50">
        <w:rPr>
          <w:vertAlign w:val="superscript"/>
          <w:lang w:val="es-419"/>
        </w:rPr>
        <w:t>a</w:t>
      </w:r>
      <w:r w:rsidRPr="00615E50">
        <w:rPr>
          <w:lang w:val="es-419"/>
        </w:rPr>
        <w:t xml:space="preserve"> reunión: el informe de la 26ª reunión del Órgano Subsidiario de Asesoramiento Científico, Técnico y Tecnológico</w:t>
      </w:r>
      <w:r w:rsidR="00DF3BD1" w:rsidRPr="00615E50">
        <w:rPr>
          <w:rStyle w:val="FootnoteReference"/>
          <w:rFonts w:asciiTheme="majorBidi" w:hAnsiTheme="majorBidi" w:cstheme="majorBidi"/>
          <w:lang w:val="es-419"/>
        </w:rPr>
        <w:footnoteReference w:id="20"/>
      </w:r>
      <w:r w:rsidRPr="00615E50">
        <w:rPr>
          <w:lang w:val="es-419"/>
        </w:rPr>
        <w:t xml:space="preserve"> y los informes de las reuniones 4</w:t>
      </w:r>
      <w:r w:rsidRPr="00615E50">
        <w:rPr>
          <w:vertAlign w:val="superscript"/>
          <w:lang w:val="es-419"/>
        </w:rPr>
        <w:t>a</w:t>
      </w:r>
      <w:r w:rsidRPr="00615E50">
        <w:rPr>
          <w:lang w:val="es-419"/>
        </w:rPr>
        <w:t xml:space="preserve"> y 5</w:t>
      </w:r>
      <w:r w:rsidRPr="00615E50">
        <w:rPr>
          <w:vertAlign w:val="superscript"/>
          <w:lang w:val="es-419"/>
        </w:rPr>
        <w:t>a</w:t>
      </w:r>
      <w:r w:rsidRPr="00615E50">
        <w:rPr>
          <w:lang w:val="es-419"/>
        </w:rPr>
        <w:t xml:space="preserve"> del Órgano Subsidiario sobre la Aplicación</w:t>
      </w:r>
      <w:r w:rsidR="0070457B" w:rsidRPr="00615E50">
        <w:rPr>
          <w:rStyle w:val="FootnoteReference"/>
          <w:snapToGrid w:val="0"/>
          <w:kern w:val="22"/>
          <w:lang w:val="es-419"/>
        </w:rPr>
        <w:footnoteReference w:id="21"/>
      </w:r>
      <w:r w:rsidRPr="00615E50">
        <w:rPr>
          <w:lang w:val="es-419"/>
        </w:rPr>
        <w:t>.</w:t>
      </w:r>
    </w:p>
    <w:p w14:paraId="67E3178F" w14:textId="462563FB" w:rsidR="00AF0F14" w:rsidRPr="00615E50" w:rsidRDefault="00AF0F14" w:rsidP="00AF0F14">
      <w:pPr>
        <w:pStyle w:val="CBDNormalNumber"/>
        <w:rPr>
          <w:lang w:val="es-419"/>
        </w:rPr>
      </w:pPr>
      <w:bookmarkStart w:id="9" w:name="_Hlk180682783"/>
      <w:r w:rsidRPr="00615E50">
        <w:rPr>
          <w:lang w:val="es-419"/>
        </w:rPr>
        <w:t>La Conferencia de las Partes que actúa como reunión de las Partes en el Protocolo escuchó informes orales a cargo de la Presidenta del Órgano Subsidiario de Asesoramiento Científico, Técnico y Tecnológico y del Presidente del Órgano Subsidiario sobre la Aplicación.</w:t>
      </w:r>
    </w:p>
    <w:p w14:paraId="0E0BC230" w14:textId="60C0F4A5" w:rsidR="00AF0F14" w:rsidRPr="00757484" w:rsidRDefault="00AF0F14" w:rsidP="00AF0F14">
      <w:pPr>
        <w:pStyle w:val="CBDNormalNumber"/>
        <w:rPr>
          <w:lang w:val="es-419"/>
        </w:rPr>
      </w:pPr>
      <w:r w:rsidRPr="00757484">
        <w:rPr>
          <w:lang w:val="es-419"/>
        </w:rPr>
        <w:t>Formularon declaraciones representantes de las siguientes Partes: Egipto (hablando en calidad de Relator de la quinta reunión del Órgano Subsidiario sobre la Aplicación) y República Democrática del Congo.</w:t>
      </w:r>
    </w:p>
    <w:p w14:paraId="47744B39" w14:textId="584D10E0" w:rsidR="00AF0F14" w:rsidRPr="00615E50" w:rsidRDefault="00AF0F14" w:rsidP="00AF0F14">
      <w:pPr>
        <w:pStyle w:val="CBDNormalNumber"/>
        <w:rPr>
          <w:lang w:val="es-419"/>
        </w:rPr>
      </w:pPr>
      <w:r w:rsidRPr="00615E50">
        <w:rPr>
          <w:lang w:val="es-419"/>
        </w:rPr>
        <w:t>La Conferencia de las Partes que actúa como reunión de las Partes en el Protocolo tomó nota de la información brindada y convino en que las recomendaciones de los órganos subsidiarios se conside</w:t>
      </w:r>
      <w:r w:rsidR="00757484">
        <w:rPr>
          <w:lang w:val="es-419"/>
        </w:rPr>
        <w:t>rarían en los grupos de trabajo</w:t>
      </w:r>
      <w:r w:rsidRPr="00615E50">
        <w:rPr>
          <w:lang w:val="es-419"/>
        </w:rPr>
        <w:t xml:space="preserve"> cuando estos trataran los temas correspondientes del programa.</w:t>
      </w:r>
      <w:bookmarkEnd w:id="9"/>
    </w:p>
    <w:p w14:paraId="63DF7D97" w14:textId="2275F9DB" w:rsidR="00557370" w:rsidRPr="00615E50" w:rsidRDefault="001E1D93" w:rsidP="006F791E">
      <w:pPr>
        <w:pStyle w:val="CBDAgendaItem"/>
        <w:rPr>
          <w:lang w:val="es-419"/>
        </w:rPr>
      </w:pPr>
      <w:r w:rsidRPr="00615E50">
        <w:rPr>
          <w:lang w:val="es-419"/>
        </w:rPr>
        <w:t>Tema 5</w:t>
      </w:r>
      <w:r w:rsidRPr="00615E50">
        <w:rPr>
          <w:lang w:val="es-419"/>
        </w:rPr>
        <w:br/>
        <w:t>Informe del Comité de Cumplimiento</w:t>
      </w:r>
    </w:p>
    <w:p w14:paraId="586099C9" w14:textId="72FB05E2" w:rsidR="008674DE" w:rsidRPr="00615E50" w:rsidRDefault="00B10462" w:rsidP="00976893">
      <w:pPr>
        <w:pStyle w:val="CBDNormalNumber"/>
        <w:rPr>
          <w:rFonts w:asciiTheme="majorBidi" w:eastAsia="MS Mincho" w:hAnsiTheme="majorBidi" w:cstheme="majorBidi"/>
          <w:color w:val="000000"/>
          <w:kern w:val="22"/>
          <w:lang w:val="es-419"/>
        </w:rPr>
      </w:pPr>
      <w:r w:rsidRPr="00615E50">
        <w:rPr>
          <w:lang w:val="es-419"/>
        </w:rPr>
        <w:t>La Conferencia de las Partes que actúa como reunión de las Partes en el Protocolo consideró el tema 5 del programa en su primera sesión plenaria. Tuvo ante sí un proyecto de decisión</w:t>
      </w:r>
      <w:r w:rsidR="00207B7C" w:rsidRPr="00615E50">
        <w:rPr>
          <w:rStyle w:val="FootnoteReference"/>
          <w:lang w:val="es-419"/>
        </w:rPr>
        <w:footnoteReference w:id="22"/>
      </w:r>
      <w:r w:rsidRPr="00615E50">
        <w:rPr>
          <w:lang w:val="es-419"/>
        </w:rPr>
        <w:t xml:space="preserve"> y </w:t>
      </w:r>
      <w:r w:rsidRPr="00615E50">
        <w:rPr>
          <w:rFonts w:asciiTheme="majorBidi" w:hAnsiTheme="majorBidi"/>
          <w:lang w:val="es-419"/>
        </w:rPr>
        <w:t>el informe del Comité de Cumplimiento sobre el trabajo realizado en sus reuniones 18</w:t>
      </w:r>
      <w:r w:rsidRPr="00615E50">
        <w:rPr>
          <w:rFonts w:asciiTheme="majorBidi" w:hAnsiTheme="majorBidi"/>
          <w:vertAlign w:val="superscript"/>
          <w:lang w:val="es-419"/>
        </w:rPr>
        <w:t>a</w:t>
      </w:r>
      <w:r w:rsidRPr="00615E50">
        <w:rPr>
          <w:rFonts w:asciiTheme="majorBidi" w:hAnsiTheme="majorBidi"/>
          <w:lang w:val="es-419"/>
        </w:rPr>
        <w:t xml:space="preserve"> y 19</w:t>
      </w:r>
      <w:r w:rsidRPr="00615E50">
        <w:rPr>
          <w:rFonts w:asciiTheme="majorBidi" w:hAnsiTheme="majorBidi"/>
          <w:vertAlign w:val="superscript"/>
          <w:lang w:val="es-419"/>
        </w:rPr>
        <w:t>a</w:t>
      </w:r>
      <w:r w:rsidR="004E0973" w:rsidRPr="00615E50">
        <w:rPr>
          <w:rStyle w:val="FootnoteReference"/>
          <w:rFonts w:asciiTheme="majorBidi" w:eastAsia="MS Mincho" w:hAnsiTheme="majorBidi" w:cstheme="majorBidi"/>
          <w:color w:val="000000"/>
          <w:kern w:val="22"/>
          <w:lang w:val="es-419"/>
        </w:rPr>
        <w:footnoteReference w:id="23"/>
      </w:r>
      <w:r w:rsidRPr="00615E50">
        <w:rPr>
          <w:rFonts w:asciiTheme="majorBidi" w:hAnsiTheme="majorBidi"/>
          <w:lang w:val="es-419"/>
        </w:rPr>
        <w:t>.</w:t>
      </w:r>
      <w:r w:rsidRPr="00615E50">
        <w:rPr>
          <w:rFonts w:asciiTheme="majorBidi" w:hAnsiTheme="majorBidi"/>
          <w:color w:val="000000"/>
          <w:lang w:val="es-419"/>
        </w:rPr>
        <w:t xml:space="preserve"> </w:t>
      </w:r>
      <w:r w:rsidRPr="00615E50">
        <w:rPr>
          <w:lang w:val="es-419"/>
        </w:rPr>
        <w:t xml:space="preserve">En relación con el tema 5, también se había publicado un documento de información sobre las actividades </w:t>
      </w:r>
      <w:r w:rsidR="009A5538" w:rsidRPr="00615E50">
        <w:rPr>
          <w:lang w:val="es-419"/>
        </w:rPr>
        <w:t>emprendidas</w:t>
      </w:r>
      <w:r w:rsidRPr="00615E50">
        <w:rPr>
          <w:lang w:val="es-419"/>
        </w:rPr>
        <w:t xml:space="preserve"> por el Comité de Cumplimiento con respecto a la obligación de presentación de informes nacionales que culminaron en la recomendación de emitir una advertencia a determinadas Partes</w:t>
      </w:r>
      <w:r w:rsidR="008B291B" w:rsidRPr="00615E50">
        <w:rPr>
          <w:rStyle w:val="FootnoteReference"/>
          <w:lang w:val="es-419"/>
        </w:rPr>
        <w:footnoteReference w:id="24"/>
      </w:r>
      <w:r w:rsidRPr="00615E50">
        <w:rPr>
          <w:lang w:val="es-419"/>
        </w:rPr>
        <w:t>.</w:t>
      </w:r>
    </w:p>
    <w:p w14:paraId="1FC7A252" w14:textId="4E7AE129" w:rsidR="002A0866" w:rsidRPr="00615E50" w:rsidRDefault="002A0866" w:rsidP="00976893">
      <w:pPr>
        <w:pStyle w:val="CBDNormalNumber"/>
        <w:rPr>
          <w:rFonts w:asciiTheme="majorBidi" w:eastAsia="MS Mincho" w:hAnsiTheme="majorBidi" w:cstheme="majorBidi"/>
          <w:color w:val="000000"/>
          <w:kern w:val="22"/>
          <w:lang w:val="es-419"/>
        </w:rPr>
      </w:pPr>
      <w:r w:rsidRPr="00615E50">
        <w:rPr>
          <w:lang w:val="es-419"/>
        </w:rPr>
        <w:t>El Presidente del Comité de Cumplimiento, Rigobert Ntep (Camerún), presentó el informe del Comité.</w:t>
      </w:r>
    </w:p>
    <w:p w14:paraId="0DCC1B1E" w14:textId="18EE18B3" w:rsidR="002A0866" w:rsidRPr="00615E50" w:rsidRDefault="002A0866" w:rsidP="00976893">
      <w:pPr>
        <w:pStyle w:val="CBDNormalNumber"/>
        <w:rPr>
          <w:rFonts w:asciiTheme="majorBidi" w:eastAsia="MS Mincho" w:hAnsiTheme="majorBidi" w:cstheme="majorBidi"/>
          <w:color w:val="000000"/>
          <w:kern w:val="22"/>
          <w:lang w:val="es-419"/>
        </w:rPr>
      </w:pPr>
      <w:r w:rsidRPr="00615E50">
        <w:rPr>
          <w:rFonts w:asciiTheme="majorBidi" w:hAnsiTheme="majorBidi"/>
          <w:color w:val="000000"/>
          <w:lang w:val="es-419"/>
        </w:rPr>
        <w:t>Formularon declaraciones representantes de las siguientes Partes: Brasil, Colombia, Egipto, Noruega, Nueva Zelandia y Unión Europea y sus Estados miembros.</w:t>
      </w:r>
    </w:p>
    <w:p w14:paraId="1A5A5A76" w14:textId="77777777" w:rsidR="00F24143" w:rsidRPr="00615E50" w:rsidRDefault="00F24143" w:rsidP="00F24143">
      <w:pPr>
        <w:pStyle w:val="CBDNormalNumber"/>
        <w:rPr>
          <w:rFonts w:asciiTheme="majorBidi" w:eastAsia="MS Mincho" w:hAnsiTheme="majorBidi" w:cstheme="majorBidi"/>
          <w:color w:val="000000"/>
          <w:kern w:val="22"/>
          <w:lang w:val="es-419"/>
        </w:rPr>
      </w:pPr>
      <w:r w:rsidRPr="00615E50">
        <w:rPr>
          <w:rFonts w:asciiTheme="majorBidi" w:hAnsiTheme="majorBidi"/>
          <w:color w:val="000000"/>
          <w:lang w:val="es-419"/>
        </w:rPr>
        <w:t>De acuerdo con la organización de los trabajos, las cuestiones sustantivas surgidas del informe se remitieron al Grupo de Trabajo II para su examen.</w:t>
      </w:r>
    </w:p>
    <w:p w14:paraId="174D171E" w14:textId="6A58DFD6" w:rsidR="00F24143" w:rsidRPr="00615E50" w:rsidRDefault="002B1FC9" w:rsidP="00F24143">
      <w:pPr>
        <w:pStyle w:val="CBDNormalNumber"/>
        <w:rPr>
          <w:rFonts w:asciiTheme="majorBidi" w:eastAsia="MS Mincho" w:hAnsiTheme="majorBidi" w:cstheme="majorBidi"/>
          <w:color w:val="000000"/>
          <w:kern w:val="22"/>
          <w:lang w:val="es-419"/>
        </w:rPr>
      </w:pPr>
      <w:r w:rsidRPr="00615E50">
        <w:rPr>
          <w:lang w:val="es-419"/>
        </w:rPr>
        <w:t xml:space="preserve">La Conferencia de las Partes que actúa como reunión de las Partes en el Protocolo decidió prorrogar por dos años más el mandato de los cinco miembros del Comité de Cumplimiento indicados en el cuadro A del anexo de la notificación </w:t>
      </w:r>
      <w:hyperlink r:id="rId14" w:history="1">
        <w:r w:rsidRPr="00615E50">
          <w:rPr>
            <w:rStyle w:val="Hyperlink"/>
            <w:lang w:val="es-419"/>
          </w:rPr>
          <w:t>No. 2024-092</w:t>
        </w:r>
      </w:hyperlink>
      <w:r w:rsidRPr="00615E50">
        <w:rPr>
          <w:lang w:val="es-419"/>
        </w:rPr>
        <w:t xml:space="preserve">, de 12 de septiembre de 2024, emitida por la Secretaría en relación con la nominación y elección de miembros del Comité. También decidió que en una sesión posterior se realizarían elecciones para cubrir los cargos de los </w:t>
      </w:r>
      <w:r w:rsidR="009A5538" w:rsidRPr="00615E50">
        <w:rPr>
          <w:lang w:val="es-419"/>
        </w:rPr>
        <w:t>diez</w:t>
      </w:r>
      <w:r w:rsidRPr="00615E50">
        <w:rPr>
          <w:lang w:val="es-419"/>
        </w:rPr>
        <w:t xml:space="preserve"> miembros cuyos mandatos finalizarían el 31 de diciembre de 2024, indicados en el cuadro B del anexo de la notificación</w:t>
      </w:r>
      <w:r w:rsidRPr="00615E50">
        <w:rPr>
          <w:rFonts w:asciiTheme="majorBidi" w:hAnsiTheme="majorBidi"/>
          <w:color w:val="000000"/>
          <w:lang w:val="es-419"/>
        </w:rPr>
        <w:t>.</w:t>
      </w:r>
    </w:p>
    <w:p w14:paraId="6BFD9364" w14:textId="195E3DD3" w:rsidR="00A90D3F" w:rsidRPr="00615E50" w:rsidRDefault="00A90D3F" w:rsidP="00F24143">
      <w:pPr>
        <w:pStyle w:val="CBDNormalNumber"/>
        <w:rPr>
          <w:rFonts w:asciiTheme="majorBidi" w:eastAsia="MS Mincho" w:hAnsiTheme="majorBidi" w:cstheme="majorBidi"/>
          <w:color w:val="000000"/>
          <w:kern w:val="22"/>
          <w:lang w:val="es-419"/>
        </w:rPr>
      </w:pPr>
      <w:r w:rsidRPr="00615E50">
        <w:rPr>
          <w:lang w:val="es-419"/>
        </w:rPr>
        <w:t>En su cuarta sesión plenaria, la Conferencia de las Partes que actúa como reunión de las Partes en el Protocolo eligió a los siguientes miembros del Comité de Cumplimiento por un mandato de cuatro años que empezaría el 1 de enero de 2025:</w:t>
      </w:r>
    </w:p>
    <w:p w14:paraId="225AE3FF" w14:textId="77777777" w:rsidR="006D050E" w:rsidRPr="000B2190" w:rsidRDefault="006D050E" w:rsidP="00CD6B94">
      <w:pPr>
        <w:tabs>
          <w:tab w:val="clear" w:pos="567"/>
          <w:tab w:val="clear" w:pos="1134"/>
          <w:tab w:val="clear" w:pos="1701"/>
          <w:tab w:val="clear" w:pos="2268"/>
        </w:tabs>
        <w:spacing w:after="120"/>
        <w:ind w:left="1166"/>
        <w:rPr>
          <w:lang w:val="en-US"/>
        </w:rPr>
      </w:pPr>
      <w:r w:rsidRPr="000B2190">
        <w:rPr>
          <w:lang w:val="en-US"/>
        </w:rPr>
        <w:t>Rigobert Ntep (Camerún)</w:t>
      </w:r>
    </w:p>
    <w:p w14:paraId="13E960F7" w14:textId="77777777" w:rsidR="006D050E" w:rsidRPr="000B2190" w:rsidRDefault="006D050E" w:rsidP="00CD6B94">
      <w:pPr>
        <w:tabs>
          <w:tab w:val="clear" w:pos="567"/>
          <w:tab w:val="clear" w:pos="1134"/>
          <w:tab w:val="clear" w:pos="1701"/>
          <w:tab w:val="clear" w:pos="2268"/>
        </w:tabs>
        <w:spacing w:after="120"/>
        <w:ind w:left="1166"/>
        <w:rPr>
          <w:lang w:val="en-US"/>
        </w:rPr>
      </w:pPr>
      <w:r w:rsidRPr="000B2190">
        <w:rPr>
          <w:lang w:val="en-US"/>
        </w:rPr>
        <w:t>Dorington O. Ogoyi (Kenya)</w:t>
      </w:r>
    </w:p>
    <w:p w14:paraId="3C262B95" w14:textId="6AF3BCDB" w:rsidR="00A90D3F" w:rsidRPr="000B2190" w:rsidRDefault="00A90D3F" w:rsidP="003703DE">
      <w:pPr>
        <w:tabs>
          <w:tab w:val="clear" w:pos="567"/>
          <w:tab w:val="clear" w:pos="1134"/>
          <w:tab w:val="clear" w:pos="1701"/>
          <w:tab w:val="clear" w:pos="2268"/>
        </w:tabs>
        <w:spacing w:after="120"/>
        <w:ind w:left="1166"/>
        <w:rPr>
          <w:lang w:val="en-US"/>
        </w:rPr>
      </w:pPr>
      <w:r w:rsidRPr="000B2190">
        <w:rPr>
          <w:lang w:val="en-US"/>
        </w:rPr>
        <w:t>Yousef Saleh al-Hafedh (Arabia Saudita)</w:t>
      </w:r>
    </w:p>
    <w:p w14:paraId="1F62C3D4" w14:textId="60710248" w:rsidR="00A90D3F" w:rsidRPr="00615E50" w:rsidRDefault="00A90D3F" w:rsidP="003703DE">
      <w:pPr>
        <w:tabs>
          <w:tab w:val="clear" w:pos="567"/>
          <w:tab w:val="clear" w:pos="1134"/>
          <w:tab w:val="clear" w:pos="1701"/>
          <w:tab w:val="clear" w:pos="2268"/>
        </w:tabs>
        <w:spacing w:after="120"/>
        <w:ind w:left="1166"/>
        <w:rPr>
          <w:lang w:val="es-419"/>
        </w:rPr>
      </w:pPr>
      <w:r w:rsidRPr="00615E50">
        <w:rPr>
          <w:lang w:val="es-419"/>
        </w:rPr>
        <w:lastRenderedPageBreak/>
        <w:t>Yan Liu (China)</w:t>
      </w:r>
    </w:p>
    <w:p w14:paraId="54163FC6" w14:textId="77777777" w:rsidR="00AB3F3C" w:rsidRPr="00615E50" w:rsidRDefault="00AB3F3C" w:rsidP="00AB3F3C">
      <w:pPr>
        <w:tabs>
          <w:tab w:val="clear" w:pos="567"/>
          <w:tab w:val="clear" w:pos="1134"/>
          <w:tab w:val="clear" w:pos="1701"/>
          <w:tab w:val="clear" w:pos="2268"/>
        </w:tabs>
        <w:spacing w:after="120"/>
        <w:ind w:left="1166"/>
        <w:rPr>
          <w:lang w:val="es-419"/>
        </w:rPr>
      </w:pPr>
      <w:r w:rsidRPr="00615E50">
        <w:rPr>
          <w:lang w:val="es-419"/>
        </w:rPr>
        <w:t>Hana Jiráková (Chequia)</w:t>
      </w:r>
    </w:p>
    <w:p w14:paraId="749961DF" w14:textId="77777777" w:rsidR="00AB3F3C" w:rsidRPr="00615E50" w:rsidRDefault="00AB3F3C" w:rsidP="00AB3F3C">
      <w:pPr>
        <w:tabs>
          <w:tab w:val="clear" w:pos="567"/>
          <w:tab w:val="clear" w:pos="1134"/>
          <w:tab w:val="clear" w:pos="1701"/>
          <w:tab w:val="clear" w:pos="2268"/>
        </w:tabs>
        <w:spacing w:after="120"/>
        <w:ind w:left="1166"/>
        <w:rPr>
          <w:lang w:val="es-419"/>
        </w:rPr>
      </w:pPr>
      <w:r w:rsidRPr="00615E50">
        <w:rPr>
          <w:lang w:val="es-419"/>
        </w:rPr>
        <w:t>Klodiana Marika (Albania)</w:t>
      </w:r>
    </w:p>
    <w:p w14:paraId="422DF403" w14:textId="5976DE6B" w:rsidR="00A90D3F" w:rsidRPr="00615E50" w:rsidRDefault="00A90D3F" w:rsidP="003703DE">
      <w:pPr>
        <w:tabs>
          <w:tab w:val="clear" w:pos="567"/>
          <w:tab w:val="clear" w:pos="1134"/>
          <w:tab w:val="clear" w:pos="1701"/>
          <w:tab w:val="clear" w:pos="2268"/>
        </w:tabs>
        <w:spacing w:after="120"/>
        <w:ind w:left="1166"/>
        <w:rPr>
          <w:lang w:val="es-419"/>
        </w:rPr>
      </w:pPr>
      <w:r w:rsidRPr="00615E50">
        <w:rPr>
          <w:lang w:val="es-419"/>
        </w:rPr>
        <w:t>Alejandra Ferenczi (Uruguay)</w:t>
      </w:r>
    </w:p>
    <w:p w14:paraId="77F6F99E" w14:textId="47941ACC" w:rsidR="00A90D3F" w:rsidRPr="000B2190" w:rsidRDefault="00A90D3F" w:rsidP="003703DE">
      <w:pPr>
        <w:tabs>
          <w:tab w:val="clear" w:pos="567"/>
          <w:tab w:val="clear" w:pos="1134"/>
          <w:tab w:val="clear" w:pos="1701"/>
          <w:tab w:val="clear" w:pos="2268"/>
        </w:tabs>
        <w:spacing w:after="120"/>
        <w:ind w:left="1166"/>
        <w:rPr>
          <w:lang w:val="en-US"/>
        </w:rPr>
      </w:pPr>
      <w:r w:rsidRPr="000B2190">
        <w:rPr>
          <w:lang w:val="en-US"/>
        </w:rPr>
        <w:t>Daniel Lewis (Granada)</w:t>
      </w:r>
    </w:p>
    <w:p w14:paraId="58D31D21" w14:textId="561533F0" w:rsidR="00A90D3F" w:rsidRPr="000B2190" w:rsidRDefault="00A90D3F" w:rsidP="003703DE">
      <w:pPr>
        <w:tabs>
          <w:tab w:val="clear" w:pos="567"/>
          <w:tab w:val="clear" w:pos="1134"/>
          <w:tab w:val="clear" w:pos="1701"/>
          <w:tab w:val="clear" w:pos="2268"/>
        </w:tabs>
        <w:spacing w:after="120"/>
        <w:ind w:left="1166"/>
        <w:rPr>
          <w:lang w:val="en-US"/>
        </w:rPr>
      </w:pPr>
      <w:r w:rsidRPr="000B2190">
        <w:rPr>
          <w:lang w:val="en-US"/>
        </w:rPr>
        <w:t>Andreas Heissenberger (Austria)</w:t>
      </w:r>
    </w:p>
    <w:p w14:paraId="36116935" w14:textId="2E3DF02A" w:rsidR="00A90D3F" w:rsidRPr="00615E50" w:rsidRDefault="00A90D3F" w:rsidP="003703DE">
      <w:pPr>
        <w:tabs>
          <w:tab w:val="clear" w:pos="567"/>
          <w:tab w:val="clear" w:pos="1134"/>
          <w:tab w:val="clear" w:pos="1701"/>
          <w:tab w:val="clear" w:pos="2268"/>
        </w:tabs>
        <w:spacing w:after="120"/>
        <w:ind w:left="1166"/>
        <w:rPr>
          <w:lang w:val="es-419"/>
        </w:rPr>
      </w:pPr>
      <w:r w:rsidRPr="00615E50">
        <w:rPr>
          <w:lang w:val="es-419"/>
        </w:rPr>
        <w:t>Casper Linnestad (Noruega)</w:t>
      </w:r>
    </w:p>
    <w:p w14:paraId="6E7FDB8E" w14:textId="368A57A5" w:rsidR="00416C76" w:rsidRPr="00615E50" w:rsidRDefault="00416C76" w:rsidP="00416C76">
      <w:pPr>
        <w:pStyle w:val="CBDNormalNumber"/>
        <w:spacing w:before="0"/>
        <w:rPr>
          <w:lang w:val="es-419"/>
        </w:rPr>
      </w:pPr>
      <w:r w:rsidRPr="00615E50">
        <w:rPr>
          <w:lang w:val="es-419"/>
        </w:rPr>
        <w:t xml:space="preserve">El Grupo de Trabajo II examinó el tema 5 del programa en su segunda sesión, el 22 de octubre. </w:t>
      </w:r>
    </w:p>
    <w:p w14:paraId="3A16C541" w14:textId="6AD290F0" w:rsidR="00416C76" w:rsidRPr="00615E50" w:rsidRDefault="00416C76" w:rsidP="00416C76">
      <w:pPr>
        <w:pStyle w:val="CBDNormalNumber"/>
        <w:spacing w:before="0"/>
        <w:rPr>
          <w:lang w:val="es-419"/>
        </w:rPr>
      </w:pPr>
      <w:r w:rsidRPr="00615E50">
        <w:rPr>
          <w:lang w:val="es-419"/>
        </w:rPr>
        <w:t xml:space="preserve">El Presidente del Comité de Cumplimiento informó sobre la labor del Comité de Cumplimiento en sus reuniones 18ª y 19ª. </w:t>
      </w:r>
    </w:p>
    <w:p w14:paraId="169A3365" w14:textId="5C78F43D" w:rsidR="00416C76" w:rsidRPr="00615E50" w:rsidRDefault="00416C76" w:rsidP="00416C76">
      <w:pPr>
        <w:pStyle w:val="CBDNormalNumber"/>
        <w:spacing w:before="0"/>
        <w:rPr>
          <w:lang w:val="es-419"/>
        </w:rPr>
      </w:pPr>
      <w:r w:rsidRPr="00615E50">
        <w:rPr>
          <w:lang w:val="es-419"/>
        </w:rPr>
        <w:t>Formularon declaraciones representantes de las siguientes Partes: Brasil, Ecuador, Egipto, Gabón, India, Japón, Marruecos, Noruega, Nueva Zelandia, Panamá, Paraguay, Perú, Reino Unido de Gran Bretaña e Irlanda del Norte, República de Moldova, Unión Europea y sus Estados miembros y Uruguay.</w:t>
      </w:r>
    </w:p>
    <w:p w14:paraId="34B268EF" w14:textId="63132DAE" w:rsidR="00416C76" w:rsidRPr="00615E50" w:rsidRDefault="00416C76" w:rsidP="00416C76">
      <w:pPr>
        <w:pStyle w:val="CBDNormalNumber"/>
        <w:spacing w:before="0"/>
        <w:rPr>
          <w:lang w:val="es-419"/>
        </w:rPr>
      </w:pPr>
      <w:r w:rsidRPr="00615E50">
        <w:rPr>
          <w:lang w:val="es-419"/>
        </w:rPr>
        <w:t>El Presidente estableció un grupo de amigos de la Presidencia, que sería facilitado por el Sr.</w:t>
      </w:r>
      <w:r w:rsidR="00EA4B40" w:rsidRPr="00615E50">
        <w:rPr>
          <w:lang w:val="es-419"/>
        </w:rPr>
        <w:t> </w:t>
      </w:r>
      <w:r w:rsidRPr="00615E50">
        <w:rPr>
          <w:lang w:val="es-419"/>
        </w:rPr>
        <w:t xml:space="preserve">Linnestad, con el cometido de resolver las cuestiones pendientes. El Grupo de Trabajo II </w:t>
      </w:r>
      <w:r w:rsidR="009413CC">
        <w:rPr>
          <w:lang w:val="es-419"/>
        </w:rPr>
        <w:t>convino en</w:t>
      </w:r>
      <w:r w:rsidRPr="00615E50">
        <w:rPr>
          <w:lang w:val="es-419"/>
        </w:rPr>
        <w:t xml:space="preserve"> que el Presidente prepararía un proyecto de decisión revisado para su consideración, teniendo en cuenta las conclusiones de las deliberaciones</w:t>
      </w:r>
      <w:r w:rsidR="009A5538" w:rsidRPr="00615E50">
        <w:rPr>
          <w:lang w:val="es-419"/>
        </w:rPr>
        <w:t xml:space="preserve"> mantenidas</w:t>
      </w:r>
      <w:r w:rsidRPr="00615E50">
        <w:rPr>
          <w:lang w:val="es-419"/>
        </w:rPr>
        <w:t xml:space="preserve"> en el grupo de amigos de la Presidencia.</w:t>
      </w:r>
    </w:p>
    <w:p w14:paraId="3B7057FD" w14:textId="58169FE6" w:rsidR="00416C76" w:rsidRPr="00615E50" w:rsidRDefault="00416C76" w:rsidP="00416C76">
      <w:pPr>
        <w:pStyle w:val="CBDNormalNumber"/>
        <w:spacing w:before="0"/>
        <w:rPr>
          <w:u w:color="000000"/>
          <w:lang w:val="es-419"/>
        </w:rPr>
      </w:pPr>
      <w:r w:rsidRPr="00615E50">
        <w:rPr>
          <w:lang w:val="es-419"/>
        </w:rPr>
        <w:t>En su séptima sesión, el 28 de octubre, el Grupo de Trabajo</w:t>
      </w:r>
      <w:r w:rsidR="0082195E">
        <w:rPr>
          <w:lang w:val="es-419"/>
        </w:rPr>
        <w:t> </w:t>
      </w:r>
      <w:r w:rsidRPr="00615E50">
        <w:rPr>
          <w:lang w:val="es-419"/>
        </w:rPr>
        <w:t xml:space="preserve">II consideró un proyecto de decisión revisado presentado por la Presidencia tras las deliberaciones del grupo de amigos de la Presidencia y lo aprobó para que fuera remitido a la sesión plenaria como proyecto de decisión CBD/CP/MOP/11/L.7. </w:t>
      </w:r>
    </w:p>
    <w:p w14:paraId="468E91F7" w14:textId="7BF40130" w:rsidR="00F8641C" w:rsidRPr="00615E50" w:rsidRDefault="00F8641C" w:rsidP="00F8641C">
      <w:pPr>
        <w:pStyle w:val="CBDNormalNumber"/>
        <w:rPr>
          <w:snapToGrid w:val="0"/>
          <w:lang w:val="es-419"/>
        </w:rPr>
      </w:pPr>
      <w:r w:rsidRPr="00615E50">
        <w:rPr>
          <w:lang w:val="es-419"/>
        </w:rPr>
        <w:t>En su tercera sesión plenaria, la Conferencia de las Partes que actúa como reunión de las Partes en el Protocolo consideró el proyecto de decisión CBD/CP/MOP/11/L.7, presentado por la Presidencia del Grupo de Trabajo II.</w:t>
      </w:r>
    </w:p>
    <w:p w14:paraId="291BE0FC" w14:textId="61E86E79" w:rsidR="00642A26" w:rsidRPr="00615E50" w:rsidRDefault="006D57E9" w:rsidP="00416C76">
      <w:pPr>
        <w:pStyle w:val="CBDNormalNumber"/>
        <w:spacing w:before="0"/>
        <w:rPr>
          <w:u w:color="000000"/>
          <w:lang w:val="es-419"/>
        </w:rPr>
      </w:pPr>
      <w:r w:rsidRPr="00615E50">
        <w:rPr>
          <w:lang w:val="es-419"/>
        </w:rPr>
        <w:t xml:space="preserve">La Conferencia de las Partes que actúa como reunión de las Partes en el Protocolo adoptó el proyecto de decisión, con las enmiendas efectuadas oralmente en la versión en español, como decisión </w:t>
      </w:r>
      <w:hyperlink r:id="rId15" w:history="1">
        <w:r w:rsidR="009A5538" w:rsidRPr="00615E50">
          <w:rPr>
            <w:rStyle w:val="Hyperlink"/>
            <w:lang w:val="es-419"/>
          </w:rPr>
          <w:t>CP-11/</w:t>
        </w:r>
        <w:r w:rsidRPr="00615E50">
          <w:rPr>
            <w:rStyle w:val="Hyperlink"/>
            <w:lang w:val="es-419"/>
          </w:rPr>
          <w:t>1</w:t>
        </w:r>
      </w:hyperlink>
      <w:r w:rsidRPr="00615E50">
        <w:rPr>
          <w:lang w:val="es-419"/>
        </w:rPr>
        <w:t>.</w:t>
      </w:r>
    </w:p>
    <w:p w14:paraId="318473BB" w14:textId="22FF0234" w:rsidR="00557370" w:rsidRPr="00615E50" w:rsidRDefault="001E1D93" w:rsidP="006F791E">
      <w:pPr>
        <w:pStyle w:val="CBDAgendaItem"/>
        <w:rPr>
          <w:rFonts w:ascii="Times New Roman Bold" w:hAnsi="Times New Roman Bold" w:hint="eastAsia"/>
          <w:lang w:val="es-419"/>
        </w:rPr>
      </w:pPr>
      <w:r w:rsidRPr="00615E50">
        <w:rPr>
          <w:rFonts w:ascii="Times New Roman Bold" w:hAnsi="Times New Roman Bold"/>
          <w:lang w:val="es-419"/>
        </w:rPr>
        <w:t>Tema 6</w:t>
      </w:r>
      <w:r w:rsidRPr="00615E50">
        <w:rPr>
          <w:rFonts w:ascii="Times New Roman Bold" w:hAnsi="Times New Roman Bold"/>
          <w:lang w:val="es-419"/>
        </w:rPr>
        <w:br/>
      </w:r>
      <w:r w:rsidRPr="00615E50">
        <w:rPr>
          <w:lang w:val="es-419"/>
        </w:rPr>
        <w:t>Administración del Protocolo y presupuesto para los fondos fiduciarios</w:t>
      </w:r>
      <w:r w:rsidRPr="00615E50">
        <w:rPr>
          <w:rFonts w:ascii="Times New Roman Bold" w:hAnsi="Times New Roman Bold"/>
          <w:lang w:val="es-419"/>
        </w:rPr>
        <w:t xml:space="preserve"> </w:t>
      </w:r>
    </w:p>
    <w:p w14:paraId="172B9265" w14:textId="6E65988C" w:rsidR="00D03E7D" w:rsidRPr="00615E50" w:rsidRDefault="00B10462" w:rsidP="006F0978">
      <w:pPr>
        <w:pStyle w:val="CBDNormalNumber"/>
        <w:rPr>
          <w:rFonts w:asciiTheme="majorBidi" w:eastAsia="MS Mincho" w:hAnsiTheme="majorBidi" w:cstheme="majorBidi"/>
          <w:color w:val="000000"/>
          <w:kern w:val="22"/>
          <w:lang w:val="es-419"/>
        </w:rPr>
      </w:pPr>
      <w:r w:rsidRPr="00615E50">
        <w:rPr>
          <w:lang w:val="es-419"/>
        </w:rPr>
        <w:t>La Conferencia de las Partes que actúa como reunión de las Partes en el Protocolo consideró el tema 6 del programa en su primera sesión plenaria. Tuvo ante sí un proyecto de decisión</w:t>
      </w:r>
      <w:r w:rsidR="00BF4643" w:rsidRPr="00615E50">
        <w:rPr>
          <w:rStyle w:val="FootnoteReference"/>
          <w:snapToGrid w:val="0"/>
          <w:lang w:val="es-419"/>
        </w:rPr>
        <w:footnoteReference w:id="25"/>
      </w:r>
      <w:r w:rsidRPr="00615E50">
        <w:rPr>
          <w:lang w:val="es-419"/>
        </w:rPr>
        <w:t xml:space="preserve"> y notas de la Secretaría sobre la administración del Convenio y sus Protocolos para el bienio 2023-2024</w:t>
      </w:r>
      <w:r w:rsidR="007E2135" w:rsidRPr="00615E50">
        <w:rPr>
          <w:rStyle w:val="FootnoteReference"/>
          <w:snapToGrid w:val="0"/>
          <w:lang w:val="es-419"/>
        </w:rPr>
        <w:footnoteReference w:id="26"/>
      </w:r>
      <w:r w:rsidRPr="00615E50">
        <w:rPr>
          <w:snapToGrid w:val="0"/>
          <w:lang w:val="es-419"/>
        </w:rPr>
        <w:t xml:space="preserve">, </w:t>
      </w:r>
      <w:r w:rsidRPr="00615E50">
        <w:rPr>
          <w:rFonts w:asciiTheme="majorBidi" w:hAnsiTheme="majorBidi"/>
          <w:snapToGrid w:val="0"/>
          <w:color w:val="000000"/>
          <w:lang w:val="es-419"/>
        </w:rPr>
        <w:t>el</w:t>
      </w:r>
      <w:r w:rsidR="001A0882" w:rsidRPr="00615E50">
        <w:rPr>
          <w:rFonts w:asciiTheme="majorBidi" w:hAnsiTheme="majorBidi"/>
          <w:snapToGrid w:val="0"/>
          <w:color w:val="000000"/>
          <w:lang w:val="es-419"/>
        </w:rPr>
        <w:t> </w:t>
      </w:r>
      <w:r w:rsidRPr="00615E50">
        <w:rPr>
          <w:rFonts w:asciiTheme="majorBidi" w:hAnsiTheme="majorBidi"/>
          <w:snapToGrid w:val="0"/>
          <w:color w:val="000000"/>
          <w:lang w:val="es-419"/>
        </w:rPr>
        <w:t>proyecto de presupuesto para los programas de trabajo del Convenio y sus Protocolos para el bienio 2025</w:t>
      </w:r>
      <w:r w:rsidRPr="00615E50">
        <w:rPr>
          <w:lang w:val="es-419"/>
        </w:rPr>
        <w:t>-2026</w:t>
      </w:r>
      <w:r w:rsidR="007E2135" w:rsidRPr="00615E50">
        <w:rPr>
          <w:rStyle w:val="FootnoteReference"/>
          <w:snapToGrid w:val="0"/>
          <w:lang w:val="es-419"/>
        </w:rPr>
        <w:footnoteReference w:id="27"/>
      </w:r>
      <w:r w:rsidRPr="00615E50">
        <w:rPr>
          <w:lang w:val="es-419"/>
        </w:rPr>
        <w:t>, los requisitos para el fondo fiduciario especial de contribuciones voluntarias adicionales en apoyo a actividades aprobadas</w:t>
      </w:r>
      <w:r w:rsidR="006F0978" w:rsidRPr="00615E50">
        <w:rPr>
          <w:rStyle w:val="FootnoteReference"/>
          <w:rFonts w:asciiTheme="majorBidi" w:eastAsia="MS Mincho" w:hAnsiTheme="majorBidi" w:cstheme="majorBidi"/>
          <w:color w:val="000000"/>
          <w:kern w:val="22"/>
          <w:lang w:val="es-419"/>
        </w:rPr>
        <w:footnoteReference w:id="28"/>
      </w:r>
      <w:r w:rsidRPr="00615E50">
        <w:rPr>
          <w:lang w:val="es-419"/>
        </w:rPr>
        <w:t xml:space="preserve"> y la revisión funcional de la Secretaría</w:t>
      </w:r>
      <w:r w:rsidR="005177C0" w:rsidRPr="00615E50">
        <w:rPr>
          <w:rStyle w:val="FootnoteReference"/>
          <w:rFonts w:asciiTheme="majorBidi" w:eastAsia="MS Mincho" w:hAnsiTheme="majorBidi" w:cstheme="majorBidi"/>
          <w:color w:val="000000"/>
          <w:kern w:val="22"/>
          <w:lang w:val="es-419"/>
        </w:rPr>
        <w:footnoteReference w:id="29"/>
      </w:r>
      <w:r w:rsidRPr="00615E50">
        <w:rPr>
          <w:lang w:val="es-419"/>
        </w:rPr>
        <w:t>.</w:t>
      </w:r>
    </w:p>
    <w:p w14:paraId="4F07DBF4" w14:textId="2D5D3705" w:rsidR="00A53A16" w:rsidRPr="00615E50" w:rsidRDefault="00A53A16" w:rsidP="00A53A16">
      <w:pPr>
        <w:pStyle w:val="CBDNormalNumber"/>
        <w:rPr>
          <w:rFonts w:asciiTheme="majorBidi" w:eastAsia="MS Mincho" w:hAnsiTheme="majorBidi" w:cstheme="majorBidi"/>
          <w:color w:val="000000"/>
          <w:kern w:val="22"/>
          <w:lang w:val="es-419"/>
        </w:rPr>
      </w:pPr>
      <w:bookmarkStart w:id="10" w:name="_Hlk180685264"/>
      <w:r w:rsidRPr="00615E50">
        <w:rPr>
          <w:rFonts w:asciiTheme="majorBidi" w:hAnsiTheme="majorBidi"/>
          <w:color w:val="000000"/>
          <w:spacing w:val="-2"/>
          <w:lang w:val="es-419"/>
        </w:rPr>
        <w:t xml:space="preserve">La Secretaria Ejecutiva informó sobre las actividades de la Secretaría y presentó el proyecto de </w:t>
      </w:r>
      <w:r w:rsidRPr="00615E50">
        <w:rPr>
          <w:rFonts w:asciiTheme="majorBidi" w:hAnsiTheme="majorBidi"/>
          <w:color w:val="000000"/>
          <w:lang w:val="es-419"/>
        </w:rPr>
        <w:t>presupuesto para los programas de trabajo del Convenio y sus Protocolos para el bienio 2025-2026.</w:t>
      </w:r>
    </w:p>
    <w:p w14:paraId="7B8DF17F" w14:textId="0FA2D2C5" w:rsidR="00A53A16" w:rsidRPr="00615E50" w:rsidRDefault="00A53A16" w:rsidP="00A53A16">
      <w:pPr>
        <w:pStyle w:val="CBDNormalNumber"/>
        <w:rPr>
          <w:rFonts w:asciiTheme="majorBidi" w:eastAsia="MS Mincho" w:hAnsiTheme="majorBidi" w:cstheme="majorBidi"/>
          <w:color w:val="000000"/>
          <w:kern w:val="22"/>
          <w:lang w:val="es-419"/>
        </w:rPr>
      </w:pPr>
      <w:r w:rsidRPr="00615E50">
        <w:rPr>
          <w:lang w:val="es-419"/>
        </w:rPr>
        <w:lastRenderedPageBreak/>
        <w:t>La Conferencia de las Partes en el Convenio, actuando también como reunión de las Partes en los Protocolos, estableció un grupo de contacto para cuestiones presupuestarias, presidido por Charles Gbedemah (Ghana), con el mandato de examinar detalladamente el proyecto de presupuesto para el bienio 2025-2026.</w:t>
      </w:r>
    </w:p>
    <w:p w14:paraId="4DACA9E1" w14:textId="5ADF812D" w:rsidR="002D202F" w:rsidRPr="00615E50" w:rsidRDefault="002D202F" w:rsidP="002D202F">
      <w:pPr>
        <w:pStyle w:val="CBDNormalNumber"/>
        <w:rPr>
          <w:lang w:val="es-419"/>
        </w:rPr>
      </w:pPr>
      <w:bookmarkStart w:id="11" w:name="_Hlk182076840"/>
      <w:r w:rsidRPr="00615E50">
        <w:rPr>
          <w:lang w:val="es-419"/>
        </w:rPr>
        <w:t>En su quinta sesión plenaria, el 1 de noviembre, la Conferencia de las Partes en el Convenio, actuando también como reuni</w:t>
      </w:r>
      <w:r w:rsidR="00E864C2" w:rsidRPr="00615E50">
        <w:rPr>
          <w:lang w:val="es-419"/>
        </w:rPr>
        <w:t>o</w:t>
      </w:r>
      <w:r w:rsidRPr="00615E50">
        <w:rPr>
          <w:lang w:val="es-419"/>
        </w:rPr>
        <w:t>n</w:t>
      </w:r>
      <w:r w:rsidR="00E864C2" w:rsidRPr="00615E50">
        <w:rPr>
          <w:lang w:val="es-419"/>
        </w:rPr>
        <w:t>es</w:t>
      </w:r>
      <w:r w:rsidRPr="00615E50">
        <w:rPr>
          <w:lang w:val="es-419"/>
        </w:rPr>
        <w:t xml:space="preserve"> de las Partes en los Protocolos, escuchó un informe del Presidente del grupo de contacto sobre cuestiones presupuestarias, también en su calidad de facilitador del grupo de amigos de la Presidencia.</w:t>
      </w:r>
    </w:p>
    <w:p w14:paraId="37E0222A" w14:textId="55091B2B" w:rsidR="0080647C" w:rsidRPr="00615E50" w:rsidRDefault="0080647C" w:rsidP="0080647C">
      <w:pPr>
        <w:pStyle w:val="CBDNormalNumber"/>
        <w:rPr>
          <w:lang w:val="es-419"/>
        </w:rPr>
      </w:pPr>
      <w:r w:rsidRPr="00615E50">
        <w:rPr>
          <w:lang w:val="es-419"/>
        </w:rPr>
        <w:t>Sin embargo, debido a que la reunión se quedó sin</w:t>
      </w:r>
      <w:r w:rsidRPr="00615E50">
        <w:rPr>
          <w:i/>
          <w:iCs/>
          <w:lang w:val="es-419"/>
        </w:rPr>
        <w:t xml:space="preserve"> quorum</w:t>
      </w:r>
      <w:r w:rsidRPr="00615E50">
        <w:rPr>
          <w:lang w:val="es-419"/>
        </w:rPr>
        <w:t>, las deliberaciones debieron suspenderse antes de que pudieran concluirse (véase el tema 17 más adelante).</w:t>
      </w:r>
    </w:p>
    <w:bookmarkEnd w:id="11"/>
    <w:p w14:paraId="08764053" w14:textId="1F9AAC7C" w:rsidR="00AB02D2" w:rsidRPr="00615E50" w:rsidRDefault="008B6928" w:rsidP="00A53A16">
      <w:pPr>
        <w:pStyle w:val="CBDNormalNumber"/>
        <w:rPr>
          <w:rFonts w:asciiTheme="majorBidi" w:eastAsia="MS Mincho" w:hAnsiTheme="majorBidi" w:cstheme="majorBidi"/>
          <w:color w:val="000000"/>
          <w:kern w:val="22"/>
          <w:lang w:val="es-419"/>
        </w:rPr>
      </w:pPr>
      <w:r w:rsidRPr="00615E50">
        <w:rPr>
          <w:lang w:val="es-419"/>
        </w:rPr>
        <w:t xml:space="preserve">Del 3 al 6 de diciembre de 2024, la Conferencia de las Partes que actúa como reunión de las Partes en el Protocolo celebró su sexta sesión </w:t>
      </w:r>
      <w:r w:rsidR="00E33029" w:rsidRPr="00615E50">
        <w:rPr>
          <w:lang w:val="es-419"/>
        </w:rPr>
        <w:t xml:space="preserve">plenaria </w:t>
      </w:r>
      <w:r w:rsidRPr="00615E50">
        <w:rPr>
          <w:lang w:val="es-419"/>
        </w:rPr>
        <w:t xml:space="preserve">en una continuación de la reunión en línea, con el fin de considerar la adopción, mediante un procedimiento de aprobación tácita, de los proyectos de decisión </w:t>
      </w:r>
      <w:hyperlink r:id="rId16" w:history="1">
        <w:r w:rsidRPr="00615E50">
          <w:rPr>
            <w:rStyle w:val="Hyperlink"/>
            <w:rFonts w:asciiTheme="majorBidi" w:hAnsiTheme="majorBidi"/>
            <w:lang w:val="es-419"/>
          </w:rPr>
          <w:t>CBD/CP/</w:t>
        </w:r>
        <w:r w:rsidR="00E33029" w:rsidRPr="00615E50">
          <w:rPr>
            <w:rStyle w:val="Hyperlink"/>
            <w:rFonts w:asciiTheme="majorBidi" w:hAnsiTheme="majorBidi"/>
            <w:lang w:val="es-419"/>
          </w:rPr>
          <w:t>MOP/</w:t>
        </w:r>
        <w:r w:rsidRPr="00615E50">
          <w:rPr>
            <w:rStyle w:val="Hyperlink"/>
            <w:rFonts w:asciiTheme="majorBidi" w:hAnsiTheme="majorBidi"/>
            <w:lang w:val="es-419"/>
          </w:rPr>
          <w:t>11/L.</w:t>
        </w:r>
        <w:r w:rsidR="00E33029" w:rsidRPr="00615E50">
          <w:rPr>
            <w:rStyle w:val="Hyperlink"/>
            <w:rFonts w:asciiTheme="majorBidi" w:hAnsiTheme="majorBidi"/>
            <w:lang w:val="es-419"/>
          </w:rPr>
          <w:t>12</w:t>
        </w:r>
        <w:r w:rsidRPr="00615E50">
          <w:rPr>
            <w:rStyle w:val="Hyperlink"/>
            <w:rFonts w:asciiTheme="majorBidi" w:hAnsiTheme="majorBidi"/>
            <w:lang w:val="es-419"/>
          </w:rPr>
          <w:t>/</w:t>
        </w:r>
        <w:r w:rsidR="00E33029" w:rsidRPr="00615E50">
          <w:rPr>
            <w:rStyle w:val="Hyperlink"/>
            <w:rFonts w:asciiTheme="majorBidi" w:hAnsiTheme="majorBidi"/>
            <w:lang w:val="es-419"/>
          </w:rPr>
          <w:t>Rev</w:t>
        </w:r>
        <w:r w:rsidRPr="00615E50">
          <w:rPr>
            <w:rStyle w:val="Hyperlink"/>
            <w:rFonts w:asciiTheme="majorBidi" w:hAnsiTheme="majorBidi"/>
            <w:lang w:val="es-419"/>
          </w:rPr>
          <w:t>.</w:t>
        </w:r>
        <w:r w:rsidR="00E33029" w:rsidRPr="00615E50">
          <w:rPr>
            <w:rStyle w:val="Hyperlink"/>
            <w:rFonts w:asciiTheme="majorBidi" w:hAnsiTheme="majorBidi"/>
            <w:lang w:val="es-419"/>
          </w:rPr>
          <w:t>1</w:t>
        </w:r>
      </w:hyperlink>
      <w:r w:rsidRPr="00615E50">
        <w:rPr>
          <w:lang w:val="es-419"/>
        </w:rPr>
        <w:t xml:space="preserve"> y </w:t>
      </w:r>
      <w:hyperlink r:id="rId17" w:history="1">
        <w:r w:rsidRPr="00615E50">
          <w:rPr>
            <w:rStyle w:val="Hyperlink"/>
            <w:rFonts w:asciiTheme="majorBidi" w:hAnsiTheme="majorBidi"/>
            <w:lang w:val="es-419"/>
          </w:rPr>
          <w:t>CBD/C</w:t>
        </w:r>
        <w:r w:rsidR="00E33029" w:rsidRPr="00615E50">
          <w:rPr>
            <w:rStyle w:val="Hyperlink"/>
            <w:rFonts w:asciiTheme="majorBidi" w:hAnsiTheme="majorBidi"/>
            <w:lang w:val="es-419"/>
          </w:rPr>
          <w:t>P/M</w:t>
        </w:r>
        <w:r w:rsidRPr="00615E50">
          <w:rPr>
            <w:rStyle w:val="Hyperlink"/>
            <w:rFonts w:asciiTheme="majorBidi" w:hAnsiTheme="majorBidi"/>
            <w:lang w:val="es-419"/>
          </w:rPr>
          <w:t>OP/11/L.</w:t>
        </w:r>
        <w:r w:rsidR="00E33029" w:rsidRPr="00615E50">
          <w:rPr>
            <w:rStyle w:val="Hyperlink"/>
            <w:rFonts w:asciiTheme="majorBidi" w:hAnsiTheme="majorBidi"/>
            <w:lang w:val="es-419"/>
          </w:rPr>
          <w:t>1</w:t>
        </w:r>
        <w:r w:rsidRPr="00615E50">
          <w:rPr>
            <w:rStyle w:val="Hyperlink"/>
            <w:rFonts w:asciiTheme="majorBidi" w:hAnsiTheme="majorBidi"/>
            <w:lang w:val="es-419"/>
          </w:rPr>
          <w:t>3</w:t>
        </w:r>
      </w:hyperlink>
      <w:r w:rsidRPr="00615E50">
        <w:rPr>
          <w:lang w:val="es-419"/>
        </w:rPr>
        <w:t>, presentados por la Presidencia.</w:t>
      </w:r>
    </w:p>
    <w:p w14:paraId="02EEBDDA" w14:textId="28B1B5A2" w:rsidR="009776DD" w:rsidRPr="00615E50" w:rsidRDefault="009776DD" w:rsidP="00A53A16">
      <w:pPr>
        <w:pStyle w:val="CBDNormalNumber"/>
        <w:rPr>
          <w:rFonts w:asciiTheme="majorBidi" w:eastAsia="MS Mincho" w:hAnsiTheme="majorBidi" w:cstheme="majorBidi"/>
          <w:color w:val="000000"/>
          <w:kern w:val="22"/>
          <w:lang w:val="es-419"/>
        </w:rPr>
      </w:pPr>
      <w:r w:rsidRPr="00615E50">
        <w:rPr>
          <w:lang w:val="es-419"/>
        </w:rPr>
        <w:t>El procedimiento de aprobación tácita concluyó el 6 de diciembre sin que las Partes plantearan objeciones en el período previsto para manifestar oposición y, por consiguiente, la Presidenta emitió una comunicación de cierre informando a las Partes que los dos proyectos de d</w:t>
      </w:r>
      <w:r w:rsidR="00DB51B7">
        <w:rPr>
          <w:lang w:val="es-419"/>
        </w:rPr>
        <w:t>ecisión se tenían por adoptados</w:t>
      </w:r>
      <w:r w:rsidRPr="00615E50">
        <w:rPr>
          <w:lang w:val="es-419"/>
        </w:rPr>
        <w:t xml:space="preserve"> como decisiones </w:t>
      </w:r>
      <w:hyperlink r:id="rId18" w:history="1">
        <w:r w:rsidRPr="00615E50">
          <w:rPr>
            <w:rStyle w:val="Hyperlink"/>
            <w:lang w:val="es-419"/>
          </w:rPr>
          <w:t>11/11</w:t>
        </w:r>
      </w:hyperlink>
      <w:r w:rsidRPr="00615E50">
        <w:rPr>
          <w:lang w:val="es-419"/>
        </w:rPr>
        <w:t xml:space="preserve"> y </w:t>
      </w:r>
      <w:hyperlink r:id="rId19" w:history="1">
        <w:r w:rsidRPr="00615E50">
          <w:rPr>
            <w:rStyle w:val="Hyperlink"/>
            <w:lang w:val="es-419"/>
          </w:rPr>
          <w:t>11/12</w:t>
        </w:r>
      </w:hyperlink>
      <w:r w:rsidRPr="00615E50">
        <w:rPr>
          <w:lang w:val="es-419"/>
        </w:rPr>
        <w:t>, respectivamente.</w:t>
      </w:r>
    </w:p>
    <w:p w14:paraId="4F406B75" w14:textId="5F01F3B0" w:rsidR="0051003B" w:rsidRPr="00615E50" w:rsidRDefault="0051003B" w:rsidP="0051003B">
      <w:pPr>
        <w:pStyle w:val="CBDAgendaItem"/>
        <w:rPr>
          <w:lang w:val="es-419"/>
        </w:rPr>
      </w:pPr>
      <w:bookmarkStart w:id="12" w:name="_Hlk180940375"/>
      <w:bookmarkEnd w:id="10"/>
      <w:r w:rsidRPr="00615E50">
        <w:rPr>
          <w:lang w:val="es-419"/>
        </w:rPr>
        <w:t>Tema 7</w:t>
      </w:r>
      <w:r w:rsidRPr="00615E50">
        <w:rPr>
          <w:lang w:val="es-419"/>
        </w:rPr>
        <w:br/>
        <w:t>Asuntos relacionados con el mecanismo financiero y los recursos financieros</w:t>
      </w:r>
    </w:p>
    <w:p w14:paraId="25A6D7D6" w14:textId="6161F07A" w:rsidR="000363D0" w:rsidRPr="00615E50" w:rsidRDefault="000363D0" w:rsidP="000363D0">
      <w:pPr>
        <w:pStyle w:val="CBDNormalNumber"/>
        <w:spacing w:before="0"/>
        <w:rPr>
          <w:lang w:val="es-419"/>
        </w:rPr>
      </w:pPr>
      <w:r w:rsidRPr="00615E50">
        <w:rPr>
          <w:lang w:val="es-419"/>
        </w:rPr>
        <w:t>El Grupo de Trabajo I consideró el tema 7 del programa en su segunda sesión, el 22 de octubre. Tuvo ante sí un proyecto de decisión</w:t>
      </w:r>
      <w:r w:rsidR="000D47B5" w:rsidRPr="00615E50">
        <w:rPr>
          <w:rStyle w:val="FootnoteReference"/>
          <w:lang w:val="es-419"/>
        </w:rPr>
        <w:footnoteReference w:id="30"/>
      </w:r>
      <w:r w:rsidRPr="00615E50">
        <w:rPr>
          <w:lang w:val="es-419"/>
        </w:rPr>
        <w:t xml:space="preserve"> y una nota de la Secretaría sobre el mecanismo financiero y los recursos financieros</w:t>
      </w:r>
      <w:r w:rsidRPr="00615E50">
        <w:rPr>
          <w:rStyle w:val="FootnoteReference"/>
          <w:lang w:val="es-419"/>
        </w:rPr>
        <w:footnoteReference w:id="31"/>
      </w:r>
      <w:r w:rsidRPr="00615E50">
        <w:rPr>
          <w:lang w:val="es-419"/>
        </w:rPr>
        <w:t>.</w:t>
      </w:r>
    </w:p>
    <w:p w14:paraId="0CB2E4B8" w14:textId="77777777" w:rsidR="000363D0" w:rsidRPr="00615E50" w:rsidRDefault="000363D0" w:rsidP="000363D0">
      <w:pPr>
        <w:pStyle w:val="CBDNormalNumber"/>
        <w:spacing w:before="0"/>
        <w:rPr>
          <w:lang w:val="es-419"/>
        </w:rPr>
      </w:pPr>
      <w:r w:rsidRPr="00615E50">
        <w:rPr>
          <w:lang w:val="es-419"/>
        </w:rPr>
        <w:t>Formularon declaraciones representantes de las siguientes Partes: Brasil, Burkina Faso, Burundi, Côte d’Ivoire, Gabón, Guatemala, Japón, Malawi, Noruega, República Democrática del Congo, República Democrática Popular Lao, Sudáfrica, Suiza, Unión Europea y sus Estados miembros y Zimbabwe (en nombre de los Estados de África).</w:t>
      </w:r>
    </w:p>
    <w:p w14:paraId="45FD0E42" w14:textId="7B362B3F" w:rsidR="000363D0" w:rsidRPr="00615E50" w:rsidRDefault="000363D0" w:rsidP="000363D0">
      <w:pPr>
        <w:pStyle w:val="CBDNormalNumber"/>
        <w:spacing w:before="0"/>
        <w:rPr>
          <w:lang w:val="es-419"/>
        </w:rPr>
      </w:pPr>
      <w:r w:rsidRPr="00615E50">
        <w:rPr>
          <w:lang w:val="es-419"/>
        </w:rPr>
        <w:t>El Grupo de Trabajo I convino en que la Presidenta prepararía un proyecto de decisión para su consideración.</w:t>
      </w:r>
    </w:p>
    <w:p w14:paraId="1818C249" w14:textId="05536F89" w:rsidR="000363D0" w:rsidRPr="00615E50" w:rsidRDefault="000363D0" w:rsidP="000363D0">
      <w:pPr>
        <w:pStyle w:val="CBDNormalNumber"/>
        <w:spacing w:before="0"/>
        <w:rPr>
          <w:lang w:val="es-419"/>
        </w:rPr>
      </w:pPr>
      <w:r w:rsidRPr="00615E50">
        <w:rPr>
          <w:lang w:val="es-419"/>
        </w:rPr>
        <w:t xml:space="preserve">En su tercera sesión, el 25 de octubre, el Grupo de Trabajo II consideró un proyecto de decisión revisado presentado por la Presidencia. </w:t>
      </w:r>
    </w:p>
    <w:p w14:paraId="08E228DD" w14:textId="77777777" w:rsidR="000363D0" w:rsidRPr="00615E50" w:rsidRDefault="000363D0" w:rsidP="000363D0">
      <w:pPr>
        <w:pStyle w:val="CBDNormalNumber"/>
        <w:spacing w:before="0"/>
        <w:rPr>
          <w:lang w:val="es-419"/>
        </w:rPr>
      </w:pPr>
      <w:r w:rsidRPr="00615E50">
        <w:rPr>
          <w:lang w:val="es-419"/>
        </w:rPr>
        <w:t>Formularon declaraciones representantes de las siguientes Partes: Brasil, Burkina Faso, China, Japón, Malawi, Noruega, Reino Unido, República Unida de Tanzanía, Sudáfrica, Suiza, Suriname, Unión Europea y sus Estados miembros y Zimbabwe.</w:t>
      </w:r>
    </w:p>
    <w:p w14:paraId="67465E8E" w14:textId="21599A34" w:rsidR="000363D0" w:rsidRPr="00615E50" w:rsidRDefault="000363D0" w:rsidP="000363D0">
      <w:pPr>
        <w:pStyle w:val="CBDNormalNumber"/>
        <w:spacing w:before="0"/>
        <w:rPr>
          <w:lang w:val="es-419"/>
        </w:rPr>
      </w:pPr>
      <w:r w:rsidRPr="00615E50">
        <w:rPr>
          <w:spacing w:val="-2"/>
          <w:lang w:val="es-419"/>
        </w:rPr>
        <w:t xml:space="preserve">El Grupo de Trabajo I aprobó el proyecto de decisión revisado con excepción del subpárrafo </w:t>
      </w:r>
      <w:r w:rsidR="00FF6748" w:rsidRPr="00615E50">
        <w:rPr>
          <w:spacing w:val="-2"/>
          <w:lang w:val="es-419"/>
        </w:rPr>
        <w:t>1 d)</w:t>
      </w:r>
      <w:r w:rsidRPr="00615E50">
        <w:rPr>
          <w:lang w:val="es-419"/>
        </w:rPr>
        <w:t xml:space="preserve"> y convino en que un grupo reducido, integrado por representantes de las Partes interesadas y moderado por Niklaus Wagner (Suiza), intentaría resolver las cuestiones que habían quedado sin resolver en ese párrafo, </w:t>
      </w:r>
      <w:r w:rsidR="00FF6748" w:rsidRPr="00615E50">
        <w:rPr>
          <w:lang w:val="es-419"/>
        </w:rPr>
        <w:t>en particular en lo tocante</w:t>
      </w:r>
      <w:r w:rsidRPr="00615E50">
        <w:rPr>
          <w:lang w:val="es-419"/>
        </w:rPr>
        <w:t xml:space="preserve"> a financiación reservada.</w:t>
      </w:r>
    </w:p>
    <w:p w14:paraId="11A6573D" w14:textId="285D54E4" w:rsidR="000363D0" w:rsidRPr="00615E50" w:rsidRDefault="000363D0" w:rsidP="000363D0">
      <w:pPr>
        <w:pStyle w:val="CBDNormalNumber"/>
        <w:spacing w:before="0"/>
        <w:rPr>
          <w:lang w:val="es-419"/>
        </w:rPr>
      </w:pPr>
      <w:r w:rsidRPr="00615E50">
        <w:rPr>
          <w:lang w:val="es-419"/>
        </w:rPr>
        <w:t>En su quinta sesión, el 31 de octubre, el Grupo de Trabajo I consideró un nuevo proyecto de decisión revisado tras deliberaciones mantenidas en el grupo reducido.</w:t>
      </w:r>
    </w:p>
    <w:p w14:paraId="356D76FC" w14:textId="77777777" w:rsidR="000363D0" w:rsidRPr="00615E50" w:rsidRDefault="000363D0" w:rsidP="000363D0">
      <w:pPr>
        <w:pStyle w:val="CBDNormalNumber"/>
        <w:spacing w:before="0"/>
        <w:rPr>
          <w:lang w:val="es-419"/>
        </w:rPr>
      </w:pPr>
      <w:r w:rsidRPr="00615E50">
        <w:rPr>
          <w:lang w:val="es-419"/>
        </w:rPr>
        <w:lastRenderedPageBreak/>
        <w:t>Formularon declaraciones representantes de las siguientes Partes: Brasil, Burkina Faso, Noruega, Reino Unido, República Democrática del Congo, Sudáfrica, Suiza y Zimbabwe (en nombre de los Estados de África).</w:t>
      </w:r>
    </w:p>
    <w:p w14:paraId="437A6163" w14:textId="2B2E9E2C" w:rsidR="000363D0" w:rsidRPr="00615E50" w:rsidRDefault="000363D0" w:rsidP="000363D0">
      <w:pPr>
        <w:pStyle w:val="CBDNormalNumber"/>
        <w:spacing w:before="0"/>
        <w:rPr>
          <w:lang w:val="es-419"/>
        </w:rPr>
      </w:pPr>
      <w:r w:rsidRPr="00615E50">
        <w:rPr>
          <w:lang w:val="es-419"/>
        </w:rPr>
        <w:t xml:space="preserve">El Grupo de Trabajo I aprobó el nuevo proyecto de decisión revisado, con las enmiendas </w:t>
      </w:r>
      <w:r w:rsidR="00196A49" w:rsidRPr="00615E50">
        <w:rPr>
          <w:lang w:val="es-419"/>
        </w:rPr>
        <w:t>e</w:t>
      </w:r>
      <w:r w:rsidRPr="00615E50">
        <w:rPr>
          <w:lang w:val="es-419"/>
        </w:rPr>
        <w:t>f</w:t>
      </w:r>
      <w:r w:rsidR="00196A49" w:rsidRPr="00615E50">
        <w:rPr>
          <w:lang w:val="es-419"/>
        </w:rPr>
        <w:t>ectu</w:t>
      </w:r>
      <w:r w:rsidRPr="00615E50">
        <w:rPr>
          <w:lang w:val="es-419"/>
        </w:rPr>
        <w:t>adas oralmente, para que fuera remitido a la sesión plenaria como proyecto de decisión CBD/CP/MOP/11/L.8.</w:t>
      </w:r>
    </w:p>
    <w:p w14:paraId="1A2B1E83" w14:textId="66C784CE" w:rsidR="00660948" w:rsidRPr="00615E50" w:rsidRDefault="0051003B" w:rsidP="0051003B">
      <w:pPr>
        <w:pStyle w:val="CBDNormalNumber"/>
        <w:rPr>
          <w:snapToGrid w:val="0"/>
          <w:lang w:val="es-419"/>
        </w:rPr>
      </w:pPr>
      <w:r w:rsidRPr="00615E50">
        <w:rPr>
          <w:lang w:val="es-419"/>
        </w:rPr>
        <w:t>En su quinta sesión plenaria, la Conferencia de las Partes que actúa como reunión de las Partes en el Protocolo consideró el proyecto de decisión CBD/CP/MOP/11/L.8, presentado por la Presidencia del Grupo de Trabajo I.</w:t>
      </w:r>
    </w:p>
    <w:p w14:paraId="6C4391EF" w14:textId="553C9748" w:rsidR="00660948" w:rsidRPr="00615E50" w:rsidRDefault="00660948" w:rsidP="0051003B">
      <w:pPr>
        <w:pStyle w:val="CBDNormalNumber"/>
        <w:rPr>
          <w:snapToGrid w:val="0"/>
          <w:lang w:val="es-419"/>
        </w:rPr>
      </w:pPr>
      <w:r w:rsidRPr="00615E50">
        <w:rPr>
          <w:lang w:val="es-419"/>
        </w:rPr>
        <w:t xml:space="preserve">El representante de la Secretaría introdujo en el proyecto de decisión enmiendas que se </w:t>
      </w:r>
      <w:r w:rsidR="00BA6997" w:rsidRPr="00615E50">
        <w:rPr>
          <w:lang w:val="es-419"/>
        </w:rPr>
        <w:t xml:space="preserve">habían </w:t>
      </w:r>
      <w:r w:rsidR="00196A49" w:rsidRPr="00615E50">
        <w:rPr>
          <w:lang w:val="es-419"/>
        </w:rPr>
        <w:t>e</w:t>
      </w:r>
      <w:r w:rsidRPr="00615E50">
        <w:rPr>
          <w:lang w:val="es-419"/>
        </w:rPr>
        <w:t>f</w:t>
      </w:r>
      <w:r w:rsidR="00196A49" w:rsidRPr="00615E50">
        <w:rPr>
          <w:lang w:val="es-419"/>
        </w:rPr>
        <w:t>ect</w:t>
      </w:r>
      <w:r w:rsidRPr="00615E50">
        <w:rPr>
          <w:lang w:val="es-419"/>
        </w:rPr>
        <w:t>ua</w:t>
      </w:r>
      <w:r w:rsidR="00BA6997" w:rsidRPr="00615E50">
        <w:rPr>
          <w:lang w:val="es-419"/>
        </w:rPr>
        <w:t>d</w:t>
      </w:r>
      <w:r w:rsidRPr="00615E50">
        <w:rPr>
          <w:lang w:val="es-419"/>
        </w:rPr>
        <w:t>o oralmente.</w:t>
      </w:r>
    </w:p>
    <w:p w14:paraId="16707110" w14:textId="0C410483" w:rsidR="0051003B" w:rsidRPr="00615E50" w:rsidRDefault="00660948" w:rsidP="0051003B">
      <w:pPr>
        <w:pStyle w:val="CBDNormalNumber"/>
        <w:rPr>
          <w:snapToGrid w:val="0"/>
          <w:lang w:val="es-419"/>
        </w:rPr>
      </w:pPr>
      <w:r w:rsidRPr="00615E50">
        <w:rPr>
          <w:lang w:val="es-419"/>
        </w:rPr>
        <w:t xml:space="preserve">La Conferencia de las Partes que actúa como reunión de las Partes en el Protocolo adoptó el proyecto de decisión, con las enmiendas efectuadas oralmente, como decisión </w:t>
      </w:r>
      <w:hyperlink r:id="rId20" w:history="1">
        <w:r w:rsidRPr="00615E50">
          <w:rPr>
            <w:rStyle w:val="Hyperlink"/>
            <w:lang w:val="es-419"/>
          </w:rPr>
          <w:t>CP-11/2</w:t>
        </w:r>
      </w:hyperlink>
      <w:r w:rsidRPr="00615E50">
        <w:rPr>
          <w:lang w:val="es-419"/>
        </w:rPr>
        <w:t>.</w:t>
      </w:r>
    </w:p>
    <w:p w14:paraId="67DCE21B" w14:textId="62B78F43" w:rsidR="0088588B" w:rsidRPr="00615E50" w:rsidRDefault="0088588B" w:rsidP="0088588B">
      <w:pPr>
        <w:pStyle w:val="CBDAgendaItem"/>
        <w:rPr>
          <w:lang w:val="es-419"/>
        </w:rPr>
      </w:pPr>
      <w:r w:rsidRPr="00615E50">
        <w:rPr>
          <w:lang w:val="es-419"/>
        </w:rPr>
        <w:t>Tema 8</w:t>
      </w:r>
      <w:r w:rsidRPr="00615E50">
        <w:rPr>
          <w:lang w:val="es-419"/>
        </w:rPr>
        <w:br/>
        <w:t>Funcionamiento y actividades del Centro de</w:t>
      </w:r>
      <w:r w:rsidR="00162F37" w:rsidRPr="00615E50">
        <w:rPr>
          <w:lang w:val="es-419"/>
        </w:rPr>
        <w:br/>
      </w:r>
      <w:r w:rsidRPr="00615E50">
        <w:rPr>
          <w:lang w:val="es-419"/>
        </w:rPr>
        <w:t>Intercambio de Información sobre Seguridad de la Biotecnología</w:t>
      </w:r>
    </w:p>
    <w:p w14:paraId="4BC8C510" w14:textId="6ABEFB24" w:rsidR="00F36999" w:rsidRPr="00615E50" w:rsidRDefault="00F36999" w:rsidP="00F36999">
      <w:pPr>
        <w:pStyle w:val="CBDNormalNumber"/>
        <w:spacing w:before="0"/>
        <w:rPr>
          <w:lang w:val="es-419"/>
        </w:rPr>
      </w:pPr>
      <w:r w:rsidRPr="00615E50">
        <w:rPr>
          <w:lang w:val="es-419"/>
        </w:rPr>
        <w:t>El Grupo de Trabajo II consideró el tema 8 del programa en su segunda sesión. Tuvo ante sí un proyecto de decisión</w:t>
      </w:r>
      <w:r w:rsidR="00740991" w:rsidRPr="00615E50">
        <w:rPr>
          <w:rStyle w:val="FootnoteReference"/>
          <w:lang w:val="es-419"/>
        </w:rPr>
        <w:footnoteReference w:id="32"/>
      </w:r>
      <w:r w:rsidRPr="00615E50">
        <w:rPr>
          <w:lang w:val="es-419"/>
        </w:rPr>
        <w:t xml:space="preserve"> y una nota de la Secretaría sobre el funcionamiento y las actividades del Centro de Intercambio de Información sobre Seguridad de la Biotecnología</w:t>
      </w:r>
      <w:r w:rsidR="007A6DE7" w:rsidRPr="00615E50">
        <w:rPr>
          <w:rStyle w:val="FootnoteReference"/>
          <w:lang w:val="es-419"/>
        </w:rPr>
        <w:footnoteReference w:id="33"/>
      </w:r>
      <w:r w:rsidRPr="00615E50">
        <w:rPr>
          <w:lang w:val="es-419"/>
        </w:rPr>
        <w:t>.</w:t>
      </w:r>
    </w:p>
    <w:p w14:paraId="703CD4C5" w14:textId="77777777" w:rsidR="00F36999" w:rsidRPr="00615E50" w:rsidRDefault="00F36999" w:rsidP="00F36999">
      <w:pPr>
        <w:pStyle w:val="CBDNormalNumber"/>
        <w:spacing w:before="0"/>
        <w:rPr>
          <w:lang w:val="es-419"/>
        </w:rPr>
      </w:pPr>
      <w:r w:rsidRPr="00615E50">
        <w:rPr>
          <w:lang w:val="es-419"/>
        </w:rPr>
        <w:t>Formularon declaraciones representantes de las siguientes Partes: Brasil, Burkina Faso, Côte d’Ivoire, Gabón, Guatemala, India, Malasia, República Dominicana, República de Moldova, Sudáfrica, Túnez, Unión Europea y sus Estados miembros y Uruguay.</w:t>
      </w:r>
    </w:p>
    <w:p w14:paraId="68BB813A" w14:textId="7B6626E3" w:rsidR="00F36999" w:rsidRPr="00615E50" w:rsidRDefault="00F36999" w:rsidP="00F36999">
      <w:pPr>
        <w:pStyle w:val="CBDNormalNumber"/>
        <w:spacing w:before="0"/>
        <w:rPr>
          <w:lang w:val="es-419"/>
        </w:rPr>
      </w:pPr>
      <w:r w:rsidRPr="00615E50">
        <w:rPr>
          <w:lang w:val="es-419"/>
        </w:rPr>
        <w:t xml:space="preserve">El Grupo de Trabajo II </w:t>
      </w:r>
      <w:r w:rsidR="009413CC">
        <w:rPr>
          <w:lang w:val="es-419"/>
        </w:rPr>
        <w:t>convino en que</w:t>
      </w:r>
      <w:r w:rsidR="004D00A7">
        <w:rPr>
          <w:lang w:val="es-419"/>
        </w:rPr>
        <w:t xml:space="preserve"> </w:t>
      </w:r>
      <w:r w:rsidRPr="00615E50">
        <w:rPr>
          <w:lang w:val="es-419"/>
        </w:rPr>
        <w:t xml:space="preserve">el Presidente prepararía un proyecto de decisión revisado para su consideración, teniendo en cuenta las opiniones vertidas. </w:t>
      </w:r>
    </w:p>
    <w:p w14:paraId="7C596B0E" w14:textId="7E672DCB" w:rsidR="00F36999" w:rsidRPr="00615E50" w:rsidRDefault="00F36999" w:rsidP="00F36999">
      <w:pPr>
        <w:pStyle w:val="CBDNormalNumber"/>
        <w:spacing w:before="0"/>
        <w:rPr>
          <w:rFonts w:asciiTheme="majorBidi" w:hAnsiTheme="majorBidi" w:cstheme="majorBidi"/>
          <w:lang w:val="es-419"/>
        </w:rPr>
      </w:pPr>
      <w:r w:rsidRPr="00615E50">
        <w:rPr>
          <w:rFonts w:asciiTheme="majorBidi" w:hAnsiTheme="majorBidi"/>
          <w:lang w:val="es-419"/>
        </w:rPr>
        <w:t>En su sexta sesión, el 25 de octubre, el Grupo de Trabajo II consideró un proyecto de decisión revisado presentado por la Presidencia.</w:t>
      </w:r>
    </w:p>
    <w:p w14:paraId="0D6CE1E3" w14:textId="77777777" w:rsidR="00F36999" w:rsidRPr="00615E50" w:rsidRDefault="00F36999" w:rsidP="00F36999">
      <w:pPr>
        <w:pStyle w:val="CBDNormalNumber"/>
        <w:spacing w:before="0"/>
        <w:rPr>
          <w:rFonts w:asciiTheme="majorBidi" w:hAnsiTheme="majorBidi" w:cstheme="majorBidi"/>
          <w:lang w:val="es-419"/>
        </w:rPr>
      </w:pPr>
      <w:r w:rsidRPr="00615E50">
        <w:rPr>
          <w:lang w:val="es-419"/>
        </w:rPr>
        <w:t>Formularon declaraciones representantes de las siguientes Partes:</w:t>
      </w:r>
      <w:r w:rsidRPr="00615E50">
        <w:rPr>
          <w:rFonts w:asciiTheme="majorBidi" w:hAnsiTheme="majorBidi"/>
          <w:lang w:val="es-419"/>
        </w:rPr>
        <w:t xml:space="preserve"> Brasil y Unión Europea y sus Estados miembros.</w:t>
      </w:r>
    </w:p>
    <w:p w14:paraId="2522873A" w14:textId="522259BA" w:rsidR="00F36999" w:rsidRPr="00615E50" w:rsidRDefault="00F36999" w:rsidP="00F36999">
      <w:pPr>
        <w:pStyle w:val="CBDNormalNumber"/>
        <w:spacing w:before="0"/>
        <w:rPr>
          <w:rFonts w:asciiTheme="majorBidi" w:hAnsiTheme="majorBidi" w:cstheme="majorBidi"/>
          <w:lang w:val="es-419"/>
        </w:rPr>
      </w:pPr>
      <w:r w:rsidRPr="00615E50">
        <w:rPr>
          <w:lang w:val="es-419"/>
        </w:rPr>
        <w:t>El Grupo de Trabajo II aprobó el proyecto de decisión revisado, con las enmiendas</w:t>
      </w:r>
      <w:r w:rsidR="00150E1D" w:rsidRPr="00615E50">
        <w:rPr>
          <w:lang w:val="es-419"/>
        </w:rPr>
        <w:t xml:space="preserve"> efectuadas oralmente, para </w:t>
      </w:r>
      <w:r w:rsidRPr="00615E50">
        <w:rPr>
          <w:lang w:val="es-419"/>
        </w:rPr>
        <w:t>remiti</w:t>
      </w:r>
      <w:r w:rsidR="00150E1D" w:rsidRPr="00615E50">
        <w:rPr>
          <w:lang w:val="es-419"/>
        </w:rPr>
        <w:t>rl</w:t>
      </w:r>
      <w:r w:rsidRPr="00615E50">
        <w:rPr>
          <w:lang w:val="es-419"/>
        </w:rPr>
        <w:t xml:space="preserve">o a </w:t>
      </w:r>
      <w:r w:rsidR="00162F37" w:rsidRPr="00615E50">
        <w:rPr>
          <w:lang w:val="es-419"/>
        </w:rPr>
        <w:t xml:space="preserve">la </w:t>
      </w:r>
      <w:r w:rsidRPr="00615E50">
        <w:rPr>
          <w:lang w:val="es-419"/>
        </w:rPr>
        <w:t>sesión plenaria como proyecto de decisión CBD/CP/MOP/11/L.2.</w:t>
      </w:r>
    </w:p>
    <w:p w14:paraId="308B4999" w14:textId="3556D222" w:rsidR="0088588B" w:rsidRPr="00615E50" w:rsidRDefault="0088588B" w:rsidP="0088588B">
      <w:pPr>
        <w:pStyle w:val="CBDNormalNumber"/>
        <w:rPr>
          <w:snapToGrid w:val="0"/>
          <w:lang w:val="es-419"/>
        </w:rPr>
      </w:pPr>
      <w:r w:rsidRPr="00615E50">
        <w:rPr>
          <w:lang w:val="es-419"/>
        </w:rPr>
        <w:t xml:space="preserve">En su segunda sesión plenaria, la Conferencia de las Partes que actúa como reunión de las Partes en el Protocolo consideró el proyecto de decisión CBD/CP/MOP/11/L.2, presentado por la Presidencia del Grupo de Trabajo II, y lo adoptó como decisión </w:t>
      </w:r>
      <w:hyperlink r:id="rId21" w:history="1">
        <w:r w:rsidRPr="00615E50">
          <w:rPr>
            <w:rStyle w:val="Hyperlink"/>
            <w:lang w:val="es-419"/>
          </w:rPr>
          <w:t>CP-11/3</w:t>
        </w:r>
      </w:hyperlink>
      <w:r w:rsidRPr="00615E50">
        <w:rPr>
          <w:lang w:val="es-419"/>
        </w:rPr>
        <w:t xml:space="preserve">. </w:t>
      </w:r>
    </w:p>
    <w:p w14:paraId="11D18C30" w14:textId="20FF4CC0" w:rsidR="004A085B" w:rsidRPr="00615E50" w:rsidRDefault="004A085B" w:rsidP="004A085B">
      <w:pPr>
        <w:pStyle w:val="CBDAgendaItem"/>
        <w:rPr>
          <w:lang w:val="es-419"/>
        </w:rPr>
      </w:pPr>
      <w:r w:rsidRPr="00615E50">
        <w:rPr>
          <w:lang w:val="es-419"/>
        </w:rPr>
        <w:t>Tema 9</w:t>
      </w:r>
      <w:r w:rsidRPr="00615E50">
        <w:rPr>
          <w:lang w:val="es-419"/>
        </w:rPr>
        <w:br/>
        <w:t>Cooperación con organizaciones internacionales,</w:t>
      </w:r>
      <w:r w:rsidR="00162F37" w:rsidRPr="00615E50">
        <w:rPr>
          <w:lang w:val="es-419"/>
        </w:rPr>
        <w:br/>
      </w:r>
      <w:r w:rsidRPr="00615E50">
        <w:rPr>
          <w:lang w:val="es-419"/>
        </w:rPr>
        <w:t>organismos creados en virtud de otros convenios e iniciativas</w:t>
      </w:r>
    </w:p>
    <w:p w14:paraId="37E09E40" w14:textId="77777777" w:rsidR="00FD13CC" w:rsidRPr="00615E50" w:rsidRDefault="00FD13CC" w:rsidP="00B75CA2">
      <w:pPr>
        <w:pStyle w:val="CBDNormalNumber"/>
        <w:rPr>
          <w:u w:color="000000"/>
          <w:lang w:val="es-419"/>
        </w:rPr>
      </w:pPr>
      <w:r w:rsidRPr="00615E50">
        <w:rPr>
          <w:lang w:val="es-419"/>
        </w:rPr>
        <w:t>El Grupo de Trabajo II consideró el tema 9 del programa en su segunda sesión. Tuvo ante sí una nota de la Secretaría sobre cooperación con organizaciones internacionales, organismos creados en virtud de otros convenios e iniciativas</w:t>
      </w:r>
      <w:r w:rsidRPr="00615E50">
        <w:rPr>
          <w:u w:color="000000"/>
          <w:vertAlign w:val="superscript"/>
          <w:lang w:val="es-419"/>
        </w:rPr>
        <w:footnoteReference w:id="34"/>
      </w:r>
      <w:r w:rsidRPr="00615E50">
        <w:rPr>
          <w:lang w:val="es-419"/>
        </w:rPr>
        <w:t xml:space="preserve">. </w:t>
      </w:r>
    </w:p>
    <w:p w14:paraId="3F23C70E" w14:textId="77777777" w:rsidR="00FD13CC" w:rsidRPr="00615E50" w:rsidRDefault="00FD13CC" w:rsidP="00842669">
      <w:pPr>
        <w:pStyle w:val="CBDNormalNumber"/>
        <w:rPr>
          <w:u w:color="000000"/>
          <w:lang w:val="es-419"/>
        </w:rPr>
      </w:pPr>
      <w:r w:rsidRPr="00615E50">
        <w:rPr>
          <w:lang w:val="es-419"/>
        </w:rPr>
        <w:lastRenderedPageBreak/>
        <w:t>Formularon declaraciones representantes del Instituto Interamericano de Cooperación para la Agricultura y la Unión Internacional para la Conservación de la Naturaleza.</w:t>
      </w:r>
    </w:p>
    <w:p w14:paraId="5A983AB4" w14:textId="7CADCB97" w:rsidR="00FD13CC" w:rsidRPr="00615E50" w:rsidRDefault="00FD13CC" w:rsidP="00842669">
      <w:pPr>
        <w:pStyle w:val="CBDNormalNumber"/>
        <w:rPr>
          <w:color w:val="000000" w:themeColor="text1"/>
          <w:lang w:val="es-419"/>
        </w:rPr>
      </w:pPr>
      <w:r w:rsidRPr="00615E50">
        <w:rPr>
          <w:lang w:val="es-419"/>
        </w:rPr>
        <w:t>El Grupo de Trabajo II tomó nota de la información que figuraba en el documento CBD/CP/MOP/11/8/Rev.1.</w:t>
      </w:r>
    </w:p>
    <w:p w14:paraId="30D0BC18" w14:textId="61EAC048" w:rsidR="0088588B" w:rsidRPr="00615E50" w:rsidRDefault="0088588B" w:rsidP="0088588B">
      <w:pPr>
        <w:pStyle w:val="CBDAgendaItem"/>
        <w:rPr>
          <w:lang w:val="es-419"/>
        </w:rPr>
      </w:pPr>
      <w:r w:rsidRPr="00615E50">
        <w:rPr>
          <w:lang w:val="es-419"/>
        </w:rPr>
        <w:t>Tema 10</w:t>
      </w:r>
      <w:r w:rsidRPr="00615E50">
        <w:rPr>
          <w:lang w:val="es-419"/>
        </w:rPr>
        <w:br/>
        <w:t>Revisión de la eficacia de los procesos del Convenio y sus Protocolos</w:t>
      </w:r>
    </w:p>
    <w:p w14:paraId="30DFC391" w14:textId="0E089BD7" w:rsidR="006A2906" w:rsidRPr="00615E50" w:rsidRDefault="006A2906" w:rsidP="00B75CA2">
      <w:pPr>
        <w:pStyle w:val="CBDNormalNumber"/>
        <w:rPr>
          <w:lang w:val="es-419"/>
        </w:rPr>
      </w:pPr>
      <w:bookmarkStart w:id="13" w:name="_Hlk181974712"/>
      <w:r w:rsidRPr="00615E50">
        <w:rPr>
          <w:lang w:val="es-419"/>
        </w:rPr>
        <w:t xml:space="preserve">El Grupo de Trabajo I consideró el tema 10 del programa en su tercera reunión, conjuntamente con el tema 27 del programa de la 16ª reunión de la Conferencia de las Partes en el Convenio y el tema 12 del programa de la 5ª reunión de la Conferencia de las Partes que actúa como </w:t>
      </w:r>
      <w:r w:rsidR="004D00A7">
        <w:rPr>
          <w:lang w:val="es-419"/>
        </w:rPr>
        <w:t>r</w:t>
      </w:r>
      <w:r w:rsidRPr="00615E50">
        <w:rPr>
          <w:lang w:val="es-419"/>
        </w:rPr>
        <w:t>eunión de las Partes en el Protocolo de Nagoya. Tuvo ante sí tres proyectos de decisión: uno sobre opciones para seguir mejorando la eficacia de los procesos del Convenio y sus Protocolos; otro sobre procedimientos para convocar reuniones virtuales e híbridas; y el tercero sobre un procedimiento para evitar o tratar conflictos de intereses en los grupos de expertos</w:t>
      </w:r>
      <w:r w:rsidR="00F65A81" w:rsidRPr="00615E50">
        <w:rPr>
          <w:rStyle w:val="FootnoteReference"/>
          <w:lang w:val="es-419"/>
        </w:rPr>
        <w:footnoteReference w:id="35"/>
      </w:r>
      <w:r w:rsidRPr="00615E50">
        <w:rPr>
          <w:lang w:val="es-419"/>
        </w:rPr>
        <w:t>.</w:t>
      </w:r>
    </w:p>
    <w:p w14:paraId="135E57BD" w14:textId="77777777" w:rsidR="006A2906" w:rsidRPr="00615E50" w:rsidRDefault="006A2906" w:rsidP="00474A1A">
      <w:pPr>
        <w:pStyle w:val="CBDNormalNumber"/>
        <w:rPr>
          <w:lang w:val="es-419"/>
        </w:rPr>
      </w:pPr>
      <w:r w:rsidRPr="00615E50">
        <w:rPr>
          <w:lang w:val="es-419"/>
        </w:rPr>
        <w:t>La Presidenta estableció un grupo de amigos de la Presidencia, facilitado por Joaquín Salzberg (Argentina), encargado de tratar los dos primeros proyectos de decisión y llegar a un acuerdo.</w:t>
      </w:r>
    </w:p>
    <w:p w14:paraId="16892780" w14:textId="17AE299A" w:rsidR="002D202F" w:rsidRPr="00615E50"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615E50">
        <w:rPr>
          <w:rFonts w:asciiTheme="majorBidi" w:hAnsiTheme="majorBidi"/>
          <w:i/>
          <w:color w:val="000000"/>
          <w:lang w:val="es-419"/>
        </w:rPr>
        <w:t>Opciones para seguir mejorando la eficacia de los procesos del Convenio y sus Protocolos</w:t>
      </w:r>
    </w:p>
    <w:p w14:paraId="63B2EC19" w14:textId="0F7EB6B1" w:rsidR="000F1F57" w:rsidRPr="00615E50" w:rsidRDefault="000F1F57" w:rsidP="000F1F57">
      <w:pPr>
        <w:pStyle w:val="CBDNormalNumber"/>
        <w:spacing w:before="0"/>
        <w:rPr>
          <w:lang w:val="es-419"/>
        </w:rPr>
      </w:pPr>
      <w:bookmarkStart w:id="14" w:name="_Hlk182075790"/>
      <w:r w:rsidRPr="00615E50">
        <w:rPr>
          <w:lang w:val="es-419"/>
        </w:rPr>
        <w:t>En su quinta sesión, el Grupo de Trabajo I consideró un proyecto de decisión presentado por la Presidencia tras deliberaciones mantenidas en el grupo de amigos de la Presidencia.</w:t>
      </w:r>
    </w:p>
    <w:p w14:paraId="62185452" w14:textId="2E6E42C8" w:rsidR="000F1F57" w:rsidRPr="00615E50" w:rsidRDefault="000F1F57" w:rsidP="000F1F57">
      <w:pPr>
        <w:pStyle w:val="CBDNormalNumber"/>
        <w:spacing w:before="0"/>
        <w:rPr>
          <w:lang w:val="es-419"/>
        </w:rPr>
      </w:pPr>
      <w:r w:rsidRPr="00615E50">
        <w:rPr>
          <w:lang w:val="es-419"/>
        </w:rPr>
        <w:t xml:space="preserve">Formularon declaraciones representantes de las siguientes Partes: </w:t>
      </w:r>
      <w:r w:rsidR="00EA4B40" w:rsidRPr="00615E50">
        <w:rPr>
          <w:lang w:val="es-419"/>
        </w:rPr>
        <w:t>Brasil, Reino</w:t>
      </w:r>
      <w:r w:rsidRPr="00615E50">
        <w:rPr>
          <w:lang w:val="es-419"/>
        </w:rPr>
        <w:t xml:space="preserve"> Unido y Unión Europea y sus Estados miembros.</w:t>
      </w:r>
    </w:p>
    <w:p w14:paraId="0A41B796" w14:textId="02F7DBC8" w:rsidR="004631EB" w:rsidRPr="00615E50" w:rsidRDefault="004631EB" w:rsidP="000F1F57">
      <w:pPr>
        <w:pStyle w:val="CBDNormalNumber"/>
        <w:spacing w:before="0"/>
        <w:rPr>
          <w:lang w:val="es-419"/>
        </w:rPr>
      </w:pPr>
      <w:r w:rsidRPr="00615E50">
        <w:rPr>
          <w:lang w:val="es-419"/>
        </w:rPr>
        <w:t xml:space="preserve">También formuló una declaración un representante del siguiente Estado que no es Parte: Federación de Rusia. </w:t>
      </w:r>
    </w:p>
    <w:p w14:paraId="5A67B471" w14:textId="1862B32D" w:rsidR="000F1F57" w:rsidRPr="00615E50" w:rsidRDefault="000F1F57" w:rsidP="000F1F57">
      <w:pPr>
        <w:pStyle w:val="CBDNormalNumber"/>
        <w:spacing w:before="0"/>
        <w:rPr>
          <w:lang w:val="es-419"/>
        </w:rPr>
      </w:pPr>
      <w:r w:rsidRPr="00615E50">
        <w:rPr>
          <w:lang w:val="es-419"/>
        </w:rPr>
        <w:t xml:space="preserve">El Grupo de Trabajo I aprobó el proyecto de decisión para que fuera remitido a la sesión plenaria como proyecto de decisión </w:t>
      </w:r>
      <w:r w:rsidRPr="00615E50">
        <w:rPr>
          <w:rFonts w:asciiTheme="majorBidi" w:hAnsiTheme="majorBidi"/>
          <w:lang w:val="es-419"/>
        </w:rPr>
        <w:t>CBD/CP/MOP/11/L.10.</w:t>
      </w:r>
    </w:p>
    <w:p w14:paraId="3D82462D" w14:textId="5EC83333" w:rsidR="002D202F" w:rsidRPr="00615E50" w:rsidRDefault="002D202F" w:rsidP="002D202F">
      <w:pPr>
        <w:pStyle w:val="CBDNormalNumber"/>
        <w:rPr>
          <w:snapToGrid w:val="0"/>
          <w:lang w:val="es-419"/>
        </w:rPr>
      </w:pPr>
      <w:r w:rsidRPr="00615E50">
        <w:rPr>
          <w:lang w:val="es-419"/>
        </w:rPr>
        <w:t xml:space="preserve">En su quinta sesión plenaria, la Conferencia de las Partes que actúa como reunión de las Partes en el Protocolo consideró el proyecto de decisión CBD/CP/MOP/11/L.10, presentado por la Presidencia del Grupo de Trabajo I, y lo adoptó como decisión </w:t>
      </w:r>
      <w:hyperlink r:id="rId22" w:history="1">
        <w:r w:rsidRPr="00615E50">
          <w:rPr>
            <w:rStyle w:val="Hyperlink"/>
            <w:lang w:val="es-419"/>
          </w:rPr>
          <w:t>CP-11/5</w:t>
        </w:r>
      </w:hyperlink>
      <w:r w:rsidRPr="00615E50">
        <w:rPr>
          <w:lang w:val="es-419"/>
        </w:rPr>
        <w:t>.</w:t>
      </w:r>
    </w:p>
    <w:p w14:paraId="49CAEE96" w14:textId="1D734EA7" w:rsidR="002D202F" w:rsidRPr="00615E50"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615E50">
        <w:rPr>
          <w:rFonts w:asciiTheme="majorBidi" w:hAnsiTheme="majorBidi"/>
          <w:i/>
          <w:color w:val="000000"/>
          <w:lang w:val="es-419"/>
        </w:rPr>
        <w:t>Procedimientos para convocar reuniones virtuales e híbridas</w:t>
      </w:r>
    </w:p>
    <w:p w14:paraId="4BB4A9E2" w14:textId="6B9D128A" w:rsidR="00C81CDF" w:rsidRPr="00615E50" w:rsidRDefault="00C81CDF" w:rsidP="00C81CDF">
      <w:pPr>
        <w:pStyle w:val="CBDNormalNumber"/>
        <w:spacing w:before="0"/>
        <w:rPr>
          <w:lang w:val="es-419"/>
        </w:rPr>
      </w:pPr>
      <w:r w:rsidRPr="00615E50">
        <w:rPr>
          <w:lang w:val="es-419"/>
        </w:rPr>
        <w:t>En su quinta sesión, el Grupo de Trabajo I consideró un proyecto de decisión presentado por la Presidencia tras deliberaciones mantenidas en el grupo de amigos de la Presidencia.</w:t>
      </w:r>
    </w:p>
    <w:p w14:paraId="6CE61898" w14:textId="03DD28FB" w:rsidR="00C81CDF" w:rsidRPr="00615E50" w:rsidRDefault="00C81CDF" w:rsidP="00C81CDF">
      <w:pPr>
        <w:pStyle w:val="CBDNormalNumber"/>
        <w:spacing w:before="0"/>
        <w:rPr>
          <w:lang w:val="es-419"/>
        </w:rPr>
      </w:pPr>
      <w:r w:rsidRPr="00615E50">
        <w:rPr>
          <w:lang w:val="es-419"/>
        </w:rPr>
        <w:t>También formuló una declaración un representante del siguiente Estado que no es Parte: Argentina.</w:t>
      </w:r>
    </w:p>
    <w:p w14:paraId="524A62B9" w14:textId="5679C793" w:rsidR="00C81CDF" w:rsidRPr="00615E50" w:rsidRDefault="00C81CDF" w:rsidP="00C81CDF">
      <w:pPr>
        <w:pStyle w:val="CBDNormalNumber"/>
        <w:spacing w:before="0"/>
        <w:rPr>
          <w:lang w:val="es-419"/>
        </w:rPr>
      </w:pPr>
      <w:r w:rsidRPr="00615E50">
        <w:rPr>
          <w:lang w:val="es-419"/>
        </w:rPr>
        <w:t xml:space="preserve">El Grupo de Trabajo I aprobó el proyecto de decisión para que fuera remitido a la sesión plenaria como proyecto de decisión </w:t>
      </w:r>
      <w:r w:rsidRPr="00615E50">
        <w:rPr>
          <w:rFonts w:asciiTheme="majorBidi" w:hAnsiTheme="majorBidi"/>
          <w:lang w:val="es-419"/>
        </w:rPr>
        <w:t>CBD/CP/MOP/11/L.9.</w:t>
      </w:r>
    </w:p>
    <w:p w14:paraId="06F98D02" w14:textId="416104FE" w:rsidR="002D202F" w:rsidRPr="00615E50" w:rsidRDefault="002D202F" w:rsidP="002D202F">
      <w:pPr>
        <w:pStyle w:val="CBDNormalNumber"/>
        <w:rPr>
          <w:snapToGrid w:val="0"/>
          <w:lang w:val="es-419"/>
        </w:rPr>
      </w:pPr>
      <w:r w:rsidRPr="00615E50">
        <w:rPr>
          <w:lang w:val="es-419"/>
        </w:rPr>
        <w:t xml:space="preserve">En su quinta sesión plenaria, la Conferencia de las Partes que actúa como reunión de las Partes en el Protocolo consideró el proyecto de decisión CBD/CP/MOP/11/L.9, presentado por la Presidencia del Grupo de Trabajo I, y lo adoptó como decisión </w:t>
      </w:r>
      <w:hyperlink r:id="rId23" w:history="1">
        <w:r w:rsidRPr="00615E50">
          <w:rPr>
            <w:rStyle w:val="Hyperlink"/>
            <w:lang w:val="es-419"/>
          </w:rPr>
          <w:t>CP-11/4</w:t>
        </w:r>
      </w:hyperlink>
      <w:r w:rsidRPr="00615E50">
        <w:rPr>
          <w:lang w:val="es-419"/>
        </w:rPr>
        <w:t>.</w:t>
      </w:r>
    </w:p>
    <w:p w14:paraId="2EA32AAB" w14:textId="472610AC" w:rsidR="002D202F" w:rsidRPr="00615E50"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lang w:val="es-419"/>
        </w:rPr>
      </w:pPr>
      <w:r w:rsidRPr="00615E50">
        <w:rPr>
          <w:rFonts w:asciiTheme="majorBidi" w:hAnsiTheme="majorBidi"/>
          <w:i/>
          <w:color w:val="000000"/>
          <w:lang w:val="es-419"/>
        </w:rPr>
        <w:t>Procedimiento para evitar o tratar conflictos de intereses en los grupos de expertos</w:t>
      </w:r>
    </w:p>
    <w:p w14:paraId="5B27B754" w14:textId="77777777" w:rsidR="00252AE4" w:rsidRPr="00615E50" w:rsidRDefault="00252AE4" w:rsidP="00252AE4">
      <w:pPr>
        <w:pStyle w:val="CBDNormalNumber"/>
        <w:spacing w:before="0"/>
        <w:rPr>
          <w:lang w:val="es-419"/>
        </w:rPr>
      </w:pPr>
      <w:r w:rsidRPr="00615E50">
        <w:rPr>
          <w:lang w:val="es-419"/>
        </w:rPr>
        <w:t>Con respecto al tercer proyecto de decisión, el Grupo de Trabajo I convino en que la Presidenta prepararía un proyecto de decisión revisado para su consideración.</w:t>
      </w:r>
    </w:p>
    <w:p w14:paraId="1DB0F7B8" w14:textId="1A5A5F8B" w:rsidR="00252AE4" w:rsidRPr="00615E50" w:rsidRDefault="00252AE4" w:rsidP="00252AE4">
      <w:pPr>
        <w:pStyle w:val="CBDNormalNumber"/>
        <w:spacing w:before="0"/>
        <w:rPr>
          <w:lang w:val="es-419"/>
        </w:rPr>
      </w:pPr>
      <w:r w:rsidRPr="00615E50">
        <w:rPr>
          <w:lang w:val="es-419"/>
        </w:rPr>
        <w:lastRenderedPageBreak/>
        <w:t>En su quinta sesión, el Grupo de Trabajo I consideró un proyecto de decisión revisado presentado por la Presidencia.</w:t>
      </w:r>
    </w:p>
    <w:p w14:paraId="291C1E65" w14:textId="32CDB271" w:rsidR="00252AE4" w:rsidRPr="00615E50" w:rsidRDefault="00252AE4" w:rsidP="00252AE4">
      <w:pPr>
        <w:pStyle w:val="CBDNormalNumber"/>
        <w:spacing w:before="0"/>
        <w:rPr>
          <w:lang w:val="es-419"/>
        </w:rPr>
      </w:pPr>
      <w:r w:rsidRPr="00615E50">
        <w:rPr>
          <w:lang w:val="es-419"/>
        </w:rPr>
        <w:t>Formularon declaraciones representantes de las siguientes Partes: Bolivia (Estado Plurinacional de), Brasil, Guatemala, Noruega, República Democrática del Congo, República Unida de Tanzanía y Unión Europea y sus Estados miembros.</w:t>
      </w:r>
    </w:p>
    <w:p w14:paraId="735C40A1" w14:textId="1AFD498A" w:rsidR="00993FF5" w:rsidRPr="00615E50" w:rsidRDefault="00993FF5" w:rsidP="00252AE4">
      <w:pPr>
        <w:pStyle w:val="CBDNormalNumber"/>
        <w:spacing w:before="0"/>
        <w:rPr>
          <w:lang w:val="es-419"/>
        </w:rPr>
      </w:pPr>
      <w:r w:rsidRPr="00615E50">
        <w:rPr>
          <w:lang w:val="es-419"/>
        </w:rPr>
        <w:t>También formularon declaraciones representantes de los siguientes Estados que no son Partes: Argentina y Canadá.</w:t>
      </w:r>
    </w:p>
    <w:p w14:paraId="36C6C649" w14:textId="77777777" w:rsidR="00252AE4" w:rsidRPr="00615E50" w:rsidRDefault="00252AE4" w:rsidP="00252AE4">
      <w:pPr>
        <w:pStyle w:val="CBDNormalNumber"/>
        <w:spacing w:before="0"/>
        <w:rPr>
          <w:lang w:val="es-419"/>
        </w:rPr>
      </w:pPr>
      <w:r w:rsidRPr="00615E50">
        <w:rPr>
          <w:lang w:val="es-419"/>
        </w:rPr>
        <w:t xml:space="preserve">El Grupo de Trabajo I aprobó el proyecto de decisión para que fuera remitido a la sesión plenaria como proyecto de decisión </w:t>
      </w:r>
      <w:r w:rsidRPr="00615E50">
        <w:rPr>
          <w:rFonts w:asciiTheme="majorBidi" w:hAnsiTheme="majorBidi"/>
          <w:lang w:val="es-419"/>
        </w:rPr>
        <w:t>CBD/CP/MOP/11/L.11.</w:t>
      </w:r>
    </w:p>
    <w:p w14:paraId="15A79BEB" w14:textId="42095978" w:rsidR="002D202F" w:rsidRPr="00615E50" w:rsidRDefault="002D202F" w:rsidP="002D202F">
      <w:pPr>
        <w:pStyle w:val="CBDNormalNumber"/>
        <w:rPr>
          <w:snapToGrid w:val="0"/>
          <w:lang w:val="es-419"/>
        </w:rPr>
      </w:pPr>
      <w:r w:rsidRPr="00615E50">
        <w:rPr>
          <w:lang w:val="es-419"/>
        </w:rPr>
        <w:t xml:space="preserve">En su quinta sesión plenaria, la Conferencia de las Partes que actúa como reunión de las Partes en el Protocolo consideró el proyecto de decisión CBD/CP/MOP/11/L.11, presentado por la Presidencia del Grupo de Trabajo I, y lo adoptó como decisión </w:t>
      </w:r>
      <w:hyperlink r:id="rId24" w:history="1">
        <w:r w:rsidRPr="00615E50">
          <w:rPr>
            <w:rStyle w:val="Hyperlink"/>
            <w:lang w:val="es-419"/>
          </w:rPr>
          <w:t>CP-11/6</w:t>
        </w:r>
      </w:hyperlink>
      <w:r w:rsidRPr="00615E50">
        <w:rPr>
          <w:lang w:val="es-419"/>
        </w:rPr>
        <w:t>.</w:t>
      </w:r>
    </w:p>
    <w:p w14:paraId="01F34AA4" w14:textId="59375B3D" w:rsidR="00620D2D" w:rsidRPr="00615E50" w:rsidRDefault="00620D2D" w:rsidP="00620D2D">
      <w:pPr>
        <w:pStyle w:val="CBDAgendaItem"/>
        <w:rPr>
          <w:lang w:val="es-419"/>
        </w:rPr>
      </w:pPr>
      <w:bookmarkStart w:id="15" w:name="_Hlk180940739"/>
      <w:bookmarkEnd w:id="13"/>
      <w:bookmarkEnd w:id="14"/>
      <w:r w:rsidRPr="00615E50">
        <w:rPr>
          <w:lang w:val="es-419"/>
        </w:rPr>
        <w:t>Tema 11</w:t>
      </w:r>
      <w:r w:rsidRPr="00615E50">
        <w:rPr>
          <w:lang w:val="es-419"/>
        </w:rPr>
        <w:br/>
        <w:t>Evaluación del riesgo y gestión del riesgo</w:t>
      </w:r>
    </w:p>
    <w:p w14:paraId="220D09CE" w14:textId="6B768AB5" w:rsidR="000D4E61" w:rsidRPr="00615E50" w:rsidRDefault="000D4E61" w:rsidP="00080541">
      <w:pPr>
        <w:pStyle w:val="CBDNormalNumber"/>
        <w:rPr>
          <w:lang w:val="es-419"/>
        </w:rPr>
      </w:pPr>
      <w:r w:rsidRPr="00615E50">
        <w:rPr>
          <w:lang w:val="es-419"/>
        </w:rPr>
        <w:t>El Grupo de Trabajo II consideró el tema 11 del programa en su segunda sesión. Tuvo ante sí un proyecto de decisión</w:t>
      </w:r>
      <w:r w:rsidR="008249AA" w:rsidRPr="00615E50">
        <w:rPr>
          <w:rStyle w:val="FootnoteReference"/>
          <w:lang w:val="es-419"/>
        </w:rPr>
        <w:footnoteReference w:id="36"/>
      </w:r>
      <w:r w:rsidRPr="00615E50">
        <w:rPr>
          <w:lang w:val="es-419"/>
        </w:rPr>
        <w:t xml:space="preserve"> y una nota de la Secretaría sobre materiales de orientación voluntaria adicionales para apoyar evaluaciones del riesgo caso por caso de organismos vivos modificados que contengan impulsores genéticos modificados</w:t>
      </w:r>
      <w:r w:rsidRPr="00615E50">
        <w:rPr>
          <w:rStyle w:val="FootnoteReference"/>
          <w:lang w:val="es-419"/>
        </w:rPr>
        <w:footnoteReference w:id="37"/>
      </w:r>
      <w:r w:rsidRPr="00615E50">
        <w:rPr>
          <w:lang w:val="es-419"/>
        </w:rPr>
        <w:t>.</w:t>
      </w:r>
    </w:p>
    <w:p w14:paraId="693DF4E8" w14:textId="43C63CEE" w:rsidR="000D4E61" w:rsidRPr="00615E50" w:rsidRDefault="000D4E61" w:rsidP="00B67283">
      <w:pPr>
        <w:pStyle w:val="CBDNormalNumber"/>
        <w:rPr>
          <w:lang w:val="es-419"/>
        </w:rPr>
      </w:pPr>
      <w:r w:rsidRPr="00615E50">
        <w:rPr>
          <w:lang w:val="es-419"/>
        </w:rPr>
        <w:t>Formularon declaraciones representantes de las siguientes Partes: Brasil, Burkina Faso, Colombia, Ecuador, Egipto, India, Kenya, Malawi (en nombre de los Estados de África</w:t>
      </w:r>
      <w:r w:rsidR="00EA4B40" w:rsidRPr="00615E50">
        <w:rPr>
          <w:lang w:val="es-419"/>
        </w:rPr>
        <w:t>), Noruega, Nueva</w:t>
      </w:r>
      <w:r w:rsidRPr="00615E50">
        <w:rPr>
          <w:lang w:val="es-419"/>
        </w:rPr>
        <w:t xml:space="preserve"> Zelandia, Panamá, Rwanda, Suriname, Uganda, Unión Europea y sus Estados miembros y Zambia.</w:t>
      </w:r>
    </w:p>
    <w:p w14:paraId="08E9650A" w14:textId="713758BC" w:rsidR="000D4E61" w:rsidRPr="00615E50" w:rsidRDefault="000D4E61" w:rsidP="00B67283">
      <w:pPr>
        <w:pStyle w:val="CBDNormalNumber"/>
        <w:rPr>
          <w:lang w:val="es-419"/>
        </w:rPr>
      </w:pPr>
      <w:r w:rsidRPr="00615E50">
        <w:rPr>
          <w:lang w:val="es-419"/>
        </w:rPr>
        <w:t>El Grupo de Trabajo</w:t>
      </w:r>
      <w:r w:rsidR="00112C78">
        <w:rPr>
          <w:lang w:val="es-419"/>
        </w:rPr>
        <w:t> </w:t>
      </w:r>
      <w:r w:rsidRPr="00615E50">
        <w:rPr>
          <w:lang w:val="es-419"/>
        </w:rPr>
        <w:t xml:space="preserve">II convino en establecer un grupo de contacto, presidido por Marja Ruohonen-Lehto (Finlandia) y Martha Kandawa-Schulz (Namibia), para conciliar opiniones divergentes sobre la cuestión relativa a la elaboración de materiales de orientación para apoyar las evaluaciones del riesgo caso por caso de peces vivos modificados, centrándose en los párrafos 7 a 10 y 15 c) a 15 f) </w:t>
      </w:r>
      <w:r w:rsidR="00255711" w:rsidRPr="00615E50">
        <w:rPr>
          <w:lang w:val="es-419"/>
        </w:rPr>
        <w:t>de</w:t>
      </w:r>
      <w:r w:rsidRPr="00615E50">
        <w:rPr>
          <w:lang w:val="es-419"/>
        </w:rPr>
        <w:t>l proyecto de decisión</w:t>
      </w:r>
      <w:r w:rsidR="00255711" w:rsidRPr="00615E50">
        <w:rPr>
          <w:lang w:val="es-419"/>
        </w:rPr>
        <w:t xml:space="preserve"> y </w:t>
      </w:r>
      <w:r w:rsidR="00112C78">
        <w:rPr>
          <w:lang w:val="es-419"/>
        </w:rPr>
        <w:t xml:space="preserve">en </w:t>
      </w:r>
      <w:r w:rsidR="00255711" w:rsidRPr="00615E50">
        <w:rPr>
          <w:lang w:val="es-419"/>
        </w:rPr>
        <w:t>su anexo</w:t>
      </w:r>
      <w:r w:rsidRPr="00615E50">
        <w:rPr>
          <w:lang w:val="es-419"/>
        </w:rPr>
        <w:t xml:space="preserve">, así como para resolver los corchetes </w:t>
      </w:r>
      <w:r w:rsidR="00255711" w:rsidRPr="00615E50">
        <w:rPr>
          <w:lang w:val="es-419"/>
        </w:rPr>
        <w:t xml:space="preserve">que quedaban </w:t>
      </w:r>
      <w:r w:rsidRPr="00615E50">
        <w:rPr>
          <w:lang w:val="es-419"/>
        </w:rPr>
        <w:t xml:space="preserve">en el texto, si hubiera tiempo suficiente. </w:t>
      </w:r>
    </w:p>
    <w:p w14:paraId="7CD5F4AA" w14:textId="3D809E5D" w:rsidR="000D4E61" w:rsidRPr="00615E50" w:rsidRDefault="000D4E61" w:rsidP="00B67283">
      <w:pPr>
        <w:pStyle w:val="CBDNormalNumber"/>
        <w:rPr>
          <w:lang w:val="es-419"/>
        </w:rPr>
      </w:pPr>
      <w:r w:rsidRPr="00615E50">
        <w:rPr>
          <w:lang w:val="es-419"/>
        </w:rPr>
        <w:t>En su séptima sesión, el Grupo de Trabajo II examinó un proyecto de decisión revisado presentado por la Presidencia tras deliberaciones mantenidas en el grupo de contacto.</w:t>
      </w:r>
    </w:p>
    <w:p w14:paraId="37181B43" w14:textId="1CD0A578" w:rsidR="000D4E61" w:rsidRPr="00615E50" w:rsidRDefault="000D4E61" w:rsidP="00B67283">
      <w:pPr>
        <w:pStyle w:val="CBDNormalNumber"/>
        <w:rPr>
          <w:lang w:val="es-419"/>
        </w:rPr>
      </w:pPr>
      <w:r w:rsidRPr="00615E50">
        <w:rPr>
          <w:lang w:val="es-419"/>
        </w:rPr>
        <w:t>El Grupo de Trabajo II aprobó el proyecto de decisión revisado para que fuera remitido a la sesión plenaria como proyecto de decisión CBD/CP/MOP/11/L.6.</w:t>
      </w:r>
    </w:p>
    <w:p w14:paraId="25330618" w14:textId="7BBA1839" w:rsidR="006D6C59" w:rsidRPr="00615E50" w:rsidRDefault="007F53D7" w:rsidP="00B67283">
      <w:pPr>
        <w:pStyle w:val="CBDNormalNumber"/>
        <w:rPr>
          <w:lang w:val="es-419"/>
        </w:rPr>
      </w:pPr>
      <w:r w:rsidRPr="00615E50">
        <w:rPr>
          <w:lang w:val="es-419"/>
        </w:rPr>
        <w:t xml:space="preserve">En su tercera sesión plenaria, la Conferencia de las Partes que actúa como reunión de las Partes en el Protocolo consideró el proyecto de decisión CBD/CP/MOP/11/L.6, presentado por la Presidencia del Grupo de Trabajo II, y lo adoptó como decisión </w:t>
      </w:r>
      <w:hyperlink r:id="rId25" w:history="1">
        <w:r w:rsidRPr="00615E50">
          <w:rPr>
            <w:rStyle w:val="Hyperlink"/>
            <w:lang w:val="es-419"/>
          </w:rPr>
          <w:t>CP-11/7</w:t>
        </w:r>
      </w:hyperlink>
      <w:r w:rsidRPr="00615E50">
        <w:rPr>
          <w:lang w:val="es-419"/>
        </w:rPr>
        <w:t>.</w:t>
      </w:r>
    </w:p>
    <w:p w14:paraId="78E86F42" w14:textId="526FE6B1" w:rsidR="00620D2D" w:rsidRPr="00615E50" w:rsidRDefault="00620D2D" w:rsidP="00620D2D">
      <w:pPr>
        <w:pStyle w:val="CBDAgendaItem"/>
        <w:rPr>
          <w:lang w:val="es-419"/>
        </w:rPr>
      </w:pPr>
      <w:r w:rsidRPr="00615E50">
        <w:rPr>
          <w:lang w:val="es-419"/>
        </w:rPr>
        <w:t>Tema 12</w:t>
      </w:r>
      <w:r w:rsidRPr="00615E50">
        <w:rPr>
          <w:lang w:val="es-419"/>
        </w:rPr>
        <w:br/>
        <w:t>Detección e identificación de organismos vivos modificados</w:t>
      </w:r>
    </w:p>
    <w:p w14:paraId="4F4621F4" w14:textId="0374AC69" w:rsidR="006839F0" w:rsidRPr="00615E50" w:rsidRDefault="006839F0" w:rsidP="006839F0">
      <w:pPr>
        <w:pStyle w:val="CBDNormalNumber"/>
        <w:spacing w:before="0"/>
        <w:rPr>
          <w:lang w:val="es-419"/>
        </w:rPr>
      </w:pPr>
      <w:r w:rsidRPr="00615E50">
        <w:rPr>
          <w:lang w:val="es-419"/>
        </w:rPr>
        <w:t>El Grupo de Trabajo</w:t>
      </w:r>
      <w:r w:rsidR="00255711" w:rsidRPr="00615E50">
        <w:rPr>
          <w:lang w:val="es-419"/>
        </w:rPr>
        <w:t> </w:t>
      </w:r>
      <w:r w:rsidRPr="00615E50">
        <w:rPr>
          <w:lang w:val="es-419"/>
        </w:rPr>
        <w:t>II consideró el tema 12 del programa en su segunda sesión. Tuvo ante sí un proyecto de decisión</w:t>
      </w:r>
      <w:r w:rsidR="00883C50" w:rsidRPr="00615E50">
        <w:rPr>
          <w:rStyle w:val="FootnoteReference"/>
          <w:lang w:val="es-419"/>
        </w:rPr>
        <w:footnoteReference w:id="38"/>
      </w:r>
      <w:r w:rsidRPr="00615E50">
        <w:rPr>
          <w:lang w:val="es-419"/>
        </w:rPr>
        <w:t xml:space="preserve">. </w:t>
      </w:r>
    </w:p>
    <w:p w14:paraId="50916D2C" w14:textId="1352D936" w:rsidR="006839F0" w:rsidRPr="00615E50" w:rsidRDefault="006839F0" w:rsidP="006839F0">
      <w:pPr>
        <w:pStyle w:val="CBDNormalNumber"/>
        <w:spacing w:before="0"/>
        <w:rPr>
          <w:lang w:val="es-419"/>
        </w:rPr>
      </w:pPr>
      <w:r w:rsidRPr="00615E50">
        <w:rPr>
          <w:lang w:val="es-419"/>
        </w:rPr>
        <w:lastRenderedPageBreak/>
        <w:t>El Grupo de Trabajo</w:t>
      </w:r>
      <w:r w:rsidR="00255711" w:rsidRPr="00615E50">
        <w:rPr>
          <w:lang w:val="es-419"/>
        </w:rPr>
        <w:t> </w:t>
      </w:r>
      <w:r w:rsidRPr="00615E50">
        <w:rPr>
          <w:lang w:val="es-419"/>
        </w:rPr>
        <w:t xml:space="preserve">II </w:t>
      </w:r>
      <w:r w:rsidR="00255711" w:rsidRPr="00615E50">
        <w:rPr>
          <w:lang w:val="es-419"/>
        </w:rPr>
        <w:t>convino en</w:t>
      </w:r>
      <w:r w:rsidRPr="00615E50">
        <w:rPr>
          <w:lang w:val="es-419"/>
        </w:rPr>
        <w:t xml:space="preserve"> que el Presidente prepararía un proyecto de decisión revisado para su consideración, con el apoyo de la Secretaría y </w:t>
      </w:r>
      <w:r w:rsidR="00112C78">
        <w:rPr>
          <w:lang w:val="es-419"/>
        </w:rPr>
        <w:t>a través de</w:t>
      </w:r>
      <w:r w:rsidRPr="00615E50">
        <w:rPr>
          <w:lang w:val="es-419"/>
        </w:rPr>
        <w:t xml:space="preserve"> consultas oficiosas con las Partes, según fuera necesario.</w:t>
      </w:r>
    </w:p>
    <w:p w14:paraId="76162186" w14:textId="25453E1F" w:rsidR="006839F0" w:rsidRPr="00615E50" w:rsidRDefault="006839F0" w:rsidP="006839F0">
      <w:pPr>
        <w:pStyle w:val="CBDNormalNumber"/>
        <w:spacing w:before="0"/>
        <w:rPr>
          <w:rFonts w:asciiTheme="majorBidi" w:hAnsiTheme="majorBidi" w:cstheme="majorBidi"/>
          <w:lang w:val="es-419"/>
        </w:rPr>
      </w:pPr>
      <w:r w:rsidRPr="00615E50">
        <w:rPr>
          <w:lang w:val="es-419"/>
        </w:rPr>
        <w:t>En su sexta sesión, el Grupo de Trabajo</w:t>
      </w:r>
      <w:r w:rsidR="00255711" w:rsidRPr="00615E50">
        <w:rPr>
          <w:lang w:val="es-419"/>
        </w:rPr>
        <w:t> </w:t>
      </w:r>
      <w:r w:rsidRPr="00615E50">
        <w:rPr>
          <w:lang w:val="es-419"/>
        </w:rPr>
        <w:t>II consideró un proyecto de decisión revisado presentado por la Presidencia.</w:t>
      </w:r>
    </w:p>
    <w:p w14:paraId="4A110B23" w14:textId="77777777" w:rsidR="006839F0" w:rsidRPr="00615E50" w:rsidRDefault="006839F0" w:rsidP="006839F0">
      <w:pPr>
        <w:pStyle w:val="CBDNormalNumber"/>
        <w:spacing w:before="0"/>
        <w:rPr>
          <w:lang w:val="es-419"/>
        </w:rPr>
      </w:pPr>
      <w:r w:rsidRPr="00615E50">
        <w:rPr>
          <w:rFonts w:asciiTheme="majorBidi" w:hAnsiTheme="majorBidi"/>
          <w:lang w:val="es-419"/>
        </w:rPr>
        <w:t xml:space="preserve">Formularon declaraciones representantes de las siguientes Partes: </w:t>
      </w:r>
      <w:r w:rsidRPr="00615E50">
        <w:rPr>
          <w:lang w:val="es-419"/>
        </w:rPr>
        <w:t xml:space="preserve">Brasil, Camerún, Colombia, Costa Rica, Guatemala, India, Kenya, Malasia, Malawi, México, Noruega, Nueva Zelandia, Panamá, Paraguay, Perú, Reino Unido, República de Moldova, Uganda, Unión Europea y sus Estados miembros y Uruguay. </w:t>
      </w:r>
    </w:p>
    <w:p w14:paraId="0AE5287E" w14:textId="4B9B012F" w:rsidR="006839F0" w:rsidRPr="00615E50" w:rsidRDefault="006839F0" w:rsidP="006839F0">
      <w:pPr>
        <w:pStyle w:val="CBDNormalNumber"/>
        <w:spacing w:before="0"/>
        <w:rPr>
          <w:lang w:val="es-419"/>
        </w:rPr>
      </w:pPr>
      <w:r w:rsidRPr="00615E50">
        <w:rPr>
          <w:lang w:val="es-419"/>
        </w:rPr>
        <w:t>En su séptima sesión, el Grupo de Trabajo II retomó la consideración del</w:t>
      </w:r>
      <w:r w:rsidR="00255711" w:rsidRPr="00615E50">
        <w:rPr>
          <w:lang w:val="es-419"/>
        </w:rPr>
        <w:t xml:space="preserve"> proyecto de decisión revisado.</w:t>
      </w:r>
    </w:p>
    <w:p w14:paraId="144F1708" w14:textId="77777777" w:rsidR="006839F0" w:rsidRPr="00615E50" w:rsidRDefault="006839F0" w:rsidP="006839F0">
      <w:pPr>
        <w:pStyle w:val="CBDNormalNumber"/>
        <w:spacing w:before="0"/>
        <w:rPr>
          <w:lang w:val="es-419"/>
        </w:rPr>
      </w:pPr>
      <w:r w:rsidRPr="00615E50">
        <w:rPr>
          <w:lang w:val="es-419"/>
        </w:rPr>
        <w:t>Formularon declaraciones representantes de las siguientes Partes: Brasil, Colombia, India, Rwanda, Togo, Unión Europea y sus Estados miembros y Uruguay.</w:t>
      </w:r>
    </w:p>
    <w:p w14:paraId="59867C9C" w14:textId="1046A839" w:rsidR="006D6C59" w:rsidRPr="00615E50" w:rsidRDefault="006839F0" w:rsidP="006839F0">
      <w:pPr>
        <w:pStyle w:val="CBDNormalNumber"/>
        <w:spacing w:before="0"/>
        <w:rPr>
          <w:lang w:val="es-419"/>
        </w:rPr>
      </w:pPr>
      <w:r w:rsidRPr="00615E50">
        <w:rPr>
          <w:lang w:val="es-419"/>
        </w:rPr>
        <w:t>El Grupo de Trabajo II aprobó el proyecto de decisión revisado, con las enmiendas efectuadas oralmente, para remiti</w:t>
      </w:r>
      <w:r w:rsidR="00615E50" w:rsidRPr="00615E50">
        <w:rPr>
          <w:lang w:val="es-419"/>
        </w:rPr>
        <w:t>rl</w:t>
      </w:r>
      <w:r w:rsidRPr="00615E50">
        <w:rPr>
          <w:lang w:val="es-419"/>
        </w:rPr>
        <w:t>o a la sesión plenaria como proyecto de decisión CBD/CP/MOP/11/L.5.</w:t>
      </w:r>
    </w:p>
    <w:p w14:paraId="216FF3D3" w14:textId="2D40356C" w:rsidR="00FA3B06" w:rsidRPr="00615E50" w:rsidRDefault="00AE4F18" w:rsidP="006839F0">
      <w:pPr>
        <w:pStyle w:val="CBDNormalNumber"/>
        <w:spacing w:before="0"/>
        <w:rPr>
          <w:lang w:val="es-419"/>
        </w:rPr>
      </w:pPr>
      <w:r w:rsidRPr="00615E50">
        <w:rPr>
          <w:lang w:val="es-419"/>
        </w:rPr>
        <w:t xml:space="preserve">En su tercera sesión plenaria, la Conferencia de las Partes que actúa como reunión de las Partes en el Protocolo consideró el proyecto de decisión CBD/CP/MOP/11/L.5, presentado por la Presidencia del Grupo de Trabajo II, y lo adoptó como decisión </w:t>
      </w:r>
      <w:hyperlink r:id="rId26" w:history="1">
        <w:r w:rsidRPr="00615E50">
          <w:rPr>
            <w:rStyle w:val="Hyperlink"/>
            <w:lang w:val="es-419"/>
          </w:rPr>
          <w:t>CP-11/8</w:t>
        </w:r>
      </w:hyperlink>
      <w:r w:rsidRPr="00615E50">
        <w:rPr>
          <w:lang w:val="es-419"/>
        </w:rPr>
        <w:t>.</w:t>
      </w:r>
    </w:p>
    <w:p w14:paraId="0C30C1D9" w14:textId="77777777" w:rsidR="00125A40" w:rsidRPr="00615E50" w:rsidRDefault="00125A40" w:rsidP="00125A40">
      <w:pPr>
        <w:pStyle w:val="CBDAgendaItem"/>
        <w:rPr>
          <w:lang w:val="es-419"/>
        </w:rPr>
      </w:pPr>
      <w:r w:rsidRPr="00615E50">
        <w:rPr>
          <w:lang w:val="es-419"/>
        </w:rPr>
        <w:t>Tema 13</w:t>
      </w:r>
      <w:r w:rsidRPr="00615E50">
        <w:rPr>
          <w:lang w:val="es-419"/>
        </w:rPr>
        <w:br/>
        <w:t>Consideraciones socioeconómicas</w:t>
      </w:r>
    </w:p>
    <w:p w14:paraId="41542305" w14:textId="53F66742" w:rsidR="00022AA4" w:rsidRPr="00615E50" w:rsidRDefault="00022AA4" w:rsidP="00022AA4">
      <w:pPr>
        <w:pStyle w:val="CBDNormalNumber"/>
        <w:spacing w:before="0"/>
        <w:rPr>
          <w:lang w:val="es-419"/>
        </w:rPr>
      </w:pPr>
      <w:r w:rsidRPr="00615E50">
        <w:rPr>
          <w:lang w:val="es-419"/>
        </w:rPr>
        <w:t>El Grupo de Trabajo II consideró el tema 13 del programa en su tercera sesión, el 23 de octubre. Tuvo ante sí un proyecto de decisión</w:t>
      </w:r>
      <w:r w:rsidR="002550B1" w:rsidRPr="00615E50">
        <w:rPr>
          <w:rStyle w:val="FootnoteReference"/>
          <w:lang w:val="es-419"/>
        </w:rPr>
        <w:footnoteReference w:id="39"/>
      </w:r>
      <w:r w:rsidRPr="00615E50">
        <w:rPr>
          <w:lang w:val="es-419"/>
        </w:rPr>
        <w:t xml:space="preserve"> y una nota de la Secretaría sobre consideraciones socioeconómicas</w:t>
      </w:r>
      <w:r w:rsidRPr="00615E50">
        <w:rPr>
          <w:rStyle w:val="FootnoteReference"/>
          <w:lang w:val="es-419"/>
        </w:rPr>
        <w:footnoteReference w:id="40"/>
      </w:r>
      <w:r w:rsidRPr="00615E50">
        <w:rPr>
          <w:lang w:val="es-419"/>
        </w:rPr>
        <w:t xml:space="preserve">. </w:t>
      </w:r>
    </w:p>
    <w:p w14:paraId="53D05633" w14:textId="77777777" w:rsidR="00022AA4" w:rsidRPr="00615E50" w:rsidRDefault="00022AA4" w:rsidP="00022AA4">
      <w:pPr>
        <w:pStyle w:val="CBDNormalNumber"/>
        <w:spacing w:before="0"/>
        <w:rPr>
          <w:lang w:val="es-419"/>
        </w:rPr>
      </w:pPr>
      <w:r w:rsidRPr="00615E50">
        <w:rPr>
          <w:lang w:val="es-419"/>
        </w:rPr>
        <w:t>Formularon declaraciones representantes de las siguientes Partes: India, Malasia, Malawi, Noruega, República de Moldova, Sudáfrica, Uganda, Unión Europea y sus Estados miembros y Zimbabwe (en nombre de los Estados de África).</w:t>
      </w:r>
    </w:p>
    <w:p w14:paraId="7A87C521" w14:textId="0BC7D919" w:rsidR="00022AA4" w:rsidRPr="00615E50" w:rsidRDefault="00022AA4" w:rsidP="00022AA4">
      <w:pPr>
        <w:pStyle w:val="CBDNormalNumber"/>
        <w:spacing w:before="0"/>
        <w:rPr>
          <w:lang w:val="es-419"/>
        </w:rPr>
      </w:pPr>
      <w:r w:rsidRPr="00615E50">
        <w:rPr>
          <w:lang w:val="es-419"/>
        </w:rPr>
        <w:t>El Grupo de Trabajo II convino en que el Presidente prepararía un proyecto de decisión revisado para su consideración, con el apoyo de la Secretaría.</w:t>
      </w:r>
    </w:p>
    <w:p w14:paraId="45A284B0" w14:textId="77777777" w:rsidR="00022AA4" w:rsidRPr="00615E50" w:rsidRDefault="00022AA4" w:rsidP="00022AA4">
      <w:pPr>
        <w:pStyle w:val="CBDNormalNumber"/>
        <w:spacing w:before="0"/>
        <w:rPr>
          <w:rFonts w:asciiTheme="majorBidi" w:hAnsiTheme="majorBidi" w:cstheme="majorBidi"/>
          <w:lang w:val="es-419"/>
        </w:rPr>
      </w:pPr>
      <w:r w:rsidRPr="00615E50">
        <w:rPr>
          <w:rFonts w:asciiTheme="majorBidi" w:hAnsiTheme="majorBidi"/>
          <w:lang w:val="es-419"/>
        </w:rPr>
        <w:t>En su sexta sesión, el Grupo de Trabajo II consideró un proyecto de decisión revisado presentado por la Presidencia.</w:t>
      </w:r>
    </w:p>
    <w:p w14:paraId="06C93DF7" w14:textId="77777777" w:rsidR="00022AA4" w:rsidRPr="00615E50" w:rsidRDefault="00022AA4" w:rsidP="00022AA4">
      <w:pPr>
        <w:pStyle w:val="CBDNormalNumber"/>
        <w:spacing w:before="0"/>
        <w:rPr>
          <w:lang w:val="es-419"/>
        </w:rPr>
      </w:pPr>
      <w:r w:rsidRPr="00615E50">
        <w:rPr>
          <w:lang w:val="es-419"/>
        </w:rPr>
        <w:t>El Grupo de Trabajo II aprobó el proyecto de decisión revisado para que fuera remitido a la sesión plenaria como proyecto de decisión CBD/CP/MOP/11/L.3.</w:t>
      </w:r>
    </w:p>
    <w:p w14:paraId="7FA48FB0" w14:textId="134E4DAC" w:rsidR="00FA3B06" w:rsidRPr="00615E50" w:rsidRDefault="00125A40" w:rsidP="00125A40">
      <w:pPr>
        <w:pStyle w:val="CBDNormalNumber"/>
        <w:rPr>
          <w:snapToGrid w:val="0"/>
          <w:lang w:val="es-419"/>
        </w:rPr>
      </w:pPr>
      <w:r w:rsidRPr="00615E50">
        <w:rPr>
          <w:lang w:val="es-419"/>
        </w:rPr>
        <w:t xml:space="preserve">En su segunda sesión plenaria, la Conferencia de las Partes que actúa como reunión de las Partes en el Protocolo consideró el proyecto de decisión CBD/CP/MOP/11/L.3, presentado por la Presidencia del Grupo de Trabajo II, y lo adoptó como decisión </w:t>
      </w:r>
      <w:hyperlink r:id="rId27" w:history="1">
        <w:r w:rsidRPr="00615E50">
          <w:rPr>
            <w:rStyle w:val="Hyperlink"/>
            <w:lang w:val="es-419"/>
          </w:rPr>
          <w:t>CP-11/9</w:t>
        </w:r>
      </w:hyperlink>
      <w:r w:rsidRPr="00615E50">
        <w:rPr>
          <w:lang w:val="es-419"/>
        </w:rPr>
        <w:t>.</w:t>
      </w:r>
    </w:p>
    <w:bookmarkEnd w:id="15"/>
    <w:p w14:paraId="0EECDB6B" w14:textId="77777777" w:rsidR="00125A40" w:rsidRPr="00615E50" w:rsidRDefault="00125A40" w:rsidP="004B0886">
      <w:pPr>
        <w:pStyle w:val="CBDAgendaItem"/>
        <w:rPr>
          <w:lang w:val="es-419"/>
        </w:rPr>
      </w:pPr>
      <w:r w:rsidRPr="00615E50">
        <w:rPr>
          <w:lang w:val="es-419"/>
        </w:rPr>
        <w:lastRenderedPageBreak/>
        <w:t>Tema 14</w:t>
      </w:r>
      <w:r w:rsidRPr="00615E50">
        <w:rPr>
          <w:lang w:val="es-419"/>
        </w:rPr>
        <w:br/>
        <w:t>Protocolo Suplementario de Nagoya-Kuala Lumpur sobre Responsabilidad y Compensación</w:t>
      </w:r>
    </w:p>
    <w:p w14:paraId="1835C1C1" w14:textId="4964215F" w:rsidR="001F3A26" w:rsidRPr="00615E50" w:rsidRDefault="001F3A26" w:rsidP="001F3A26">
      <w:pPr>
        <w:pStyle w:val="CBDNormalNumber"/>
        <w:spacing w:before="0"/>
        <w:rPr>
          <w:lang w:val="es-419"/>
        </w:rPr>
      </w:pPr>
      <w:r w:rsidRPr="00615E50">
        <w:rPr>
          <w:lang w:val="es-419"/>
        </w:rPr>
        <w:t>El Grupo de Trabajo II consideró el tema 14 del programa en su tercera sesión. Tuvo ante sí un proyecto de decisión</w:t>
      </w:r>
      <w:r w:rsidR="00D40F99" w:rsidRPr="00615E50">
        <w:rPr>
          <w:rStyle w:val="FootnoteReference"/>
          <w:lang w:val="es-419"/>
        </w:rPr>
        <w:footnoteReference w:id="41"/>
      </w:r>
      <w:r w:rsidRPr="00615E50">
        <w:rPr>
          <w:lang w:val="es-419"/>
        </w:rPr>
        <w:t xml:space="preserve"> y una nota de la Secretaría sobre el Protocolo Suplementario de Nagoya-Kuala Lumpur sobre Responsabilidad y Compensación</w:t>
      </w:r>
      <w:r w:rsidRPr="00615E50">
        <w:rPr>
          <w:rStyle w:val="FootnoteReference"/>
          <w:lang w:val="es-419"/>
        </w:rPr>
        <w:footnoteReference w:id="42"/>
      </w:r>
      <w:r w:rsidRPr="00615E50">
        <w:rPr>
          <w:lang w:val="es-419"/>
        </w:rPr>
        <w:t xml:space="preserve">. </w:t>
      </w:r>
    </w:p>
    <w:p w14:paraId="6156D16B" w14:textId="77777777" w:rsidR="001F3A26" w:rsidRPr="00615E50" w:rsidRDefault="001F3A26" w:rsidP="001F3A26">
      <w:pPr>
        <w:pStyle w:val="CBDNormalNumber"/>
        <w:spacing w:before="0"/>
        <w:rPr>
          <w:lang w:val="es-419"/>
        </w:rPr>
      </w:pPr>
      <w:r w:rsidRPr="00615E50">
        <w:rPr>
          <w:lang w:val="es-419"/>
        </w:rPr>
        <w:t>Formularon declaraciones representantes de las siguientes Partes: India, Malawi (en nombre de los Estados de África), República Centroafricana, República de Moldova, Uganda y Unión Europea y sus Estados miembros.</w:t>
      </w:r>
    </w:p>
    <w:p w14:paraId="5AACDA93" w14:textId="325FB345" w:rsidR="001F3A26" w:rsidRPr="00615E50" w:rsidRDefault="001F3A26" w:rsidP="001F3A26">
      <w:pPr>
        <w:pStyle w:val="CBDNormalNumber"/>
        <w:spacing w:before="0"/>
        <w:rPr>
          <w:lang w:val="es-419"/>
        </w:rPr>
      </w:pPr>
      <w:r w:rsidRPr="00615E50">
        <w:rPr>
          <w:lang w:val="es-419"/>
        </w:rPr>
        <w:t>El Grupo de Trabajo II convino en que el Presidente prepararía un proyecto de decisión revisado para que fuera considerado en una sesión posterior.</w:t>
      </w:r>
    </w:p>
    <w:p w14:paraId="344A180A" w14:textId="77777777" w:rsidR="001F3A26" w:rsidRPr="00615E50" w:rsidRDefault="001F3A26" w:rsidP="001F3A26">
      <w:pPr>
        <w:pStyle w:val="CBDNormalNumber"/>
        <w:spacing w:before="0"/>
        <w:rPr>
          <w:rFonts w:asciiTheme="majorBidi" w:hAnsiTheme="majorBidi" w:cstheme="majorBidi"/>
          <w:lang w:val="es-419"/>
        </w:rPr>
      </w:pPr>
      <w:r w:rsidRPr="00615E50">
        <w:rPr>
          <w:rFonts w:asciiTheme="majorBidi" w:hAnsiTheme="majorBidi"/>
          <w:lang w:val="es-419"/>
        </w:rPr>
        <w:t>En su sexta sesión, el Grupo de Trabajo II consideró un proyecto de decisión revisado presentado por la Presidencia.</w:t>
      </w:r>
    </w:p>
    <w:p w14:paraId="1988FAEC" w14:textId="77777777" w:rsidR="001F3A26" w:rsidRPr="00615E50" w:rsidRDefault="001F3A26" w:rsidP="001F3A26">
      <w:pPr>
        <w:pStyle w:val="CBDNormalNumber"/>
        <w:spacing w:before="0"/>
        <w:rPr>
          <w:lang w:val="es-419"/>
        </w:rPr>
      </w:pPr>
      <w:r w:rsidRPr="00615E50">
        <w:rPr>
          <w:rFonts w:asciiTheme="majorBidi" w:hAnsiTheme="majorBidi"/>
          <w:lang w:val="es-419"/>
        </w:rPr>
        <w:t xml:space="preserve">Formularon declaraciones representantes de las siguientes Partes: </w:t>
      </w:r>
      <w:r w:rsidRPr="00615E50">
        <w:rPr>
          <w:lang w:val="es-419"/>
        </w:rPr>
        <w:t>Japón, Nueva Zelandia y Unión Europea y sus Estados miembros.</w:t>
      </w:r>
    </w:p>
    <w:p w14:paraId="715A1A8F" w14:textId="1727F970" w:rsidR="001F3A26" w:rsidRPr="00615E50" w:rsidRDefault="001F3A26" w:rsidP="001F3A26">
      <w:pPr>
        <w:pStyle w:val="CBDNormalNumber"/>
        <w:rPr>
          <w:snapToGrid w:val="0"/>
          <w:lang w:val="es-419"/>
        </w:rPr>
      </w:pPr>
      <w:r w:rsidRPr="00615E50">
        <w:rPr>
          <w:lang w:val="es-419"/>
        </w:rPr>
        <w:t>El Grupo de Trabajo II aprobó el proyecto de decisión revisado, con las enmiendas efectuadas oralmente, para remiti</w:t>
      </w:r>
      <w:r w:rsidR="00615E50" w:rsidRPr="00615E50">
        <w:rPr>
          <w:lang w:val="es-419"/>
        </w:rPr>
        <w:t>rl</w:t>
      </w:r>
      <w:r w:rsidRPr="00615E50">
        <w:rPr>
          <w:lang w:val="es-419"/>
        </w:rPr>
        <w:t>o a la sesión plenaria como proyecto de decisión CBD/CP/MOP/11/L.4.</w:t>
      </w:r>
    </w:p>
    <w:p w14:paraId="33F6BD0C" w14:textId="3E06865E" w:rsidR="00125A40" w:rsidRPr="00615E50" w:rsidRDefault="00125A40" w:rsidP="001F3A26">
      <w:pPr>
        <w:pStyle w:val="CBDNormalNumber"/>
        <w:rPr>
          <w:snapToGrid w:val="0"/>
          <w:lang w:val="es-419"/>
        </w:rPr>
      </w:pPr>
      <w:r w:rsidRPr="00615E50">
        <w:rPr>
          <w:lang w:val="es-419"/>
        </w:rPr>
        <w:t xml:space="preserve">En su segunda sesión plenaria, la Conferencia de las Partes que actúa como reunión de las Partes en el Protocolo consideró el proyecto de decisión CBD/CP/MOP/11/L.4, presentado por la Presidencia del Grupo de Trabajo II, y lo adoptó como decisión </w:t>
      </w:r>
      <w:hyperlink r:id="rId28" w:history="1">
        <w:r w:rsidRPr="00615E50">
          <w:rPr>
            <w:rStyle w:val="Hyperlink"/>
            <w:lang w:val="es-419"/>
          </w:rPr>
          <w:t>CP-11/10</w:t>
        </w:r>
      </w:hyperlink>
      <w:r w:rsidRPr="00615E50">
        <w:rPr>
          <w:lang w:val="es-419"/>
        </w:rPr>
        <w:t xml:space="preserve">. </w:t>
      </w:r>
    </w:p>
    <w:p w14:paraId="78160E91" w14:textId="2C044ED9" w:rsidR="00557370" w:rsidRPr="00615E50" w:rsidRDefault="00C45D2D" w:rsidP="006F791E">
      <w:pPr>
        <w:pStyle w:val="CBDAgendaItem"/>
        <w:rPr>
          <w:lang w:val="es-419"/>
        </w:rPr>
      </w:pPr>
      <w:r w:rsidRPr="00615E50">
        <w:rPr>
          <w:lang w:val="es-419"/>
        </w:rPr>
        <w:t>Tema 15</w:t>
      </w:r>
      <w:r w:rsidRPr="00615E50">
        <w:rPr>
          <w:lang w:val="es-419"/>
        </w:rPr>
        <w:br/>
        <w:t>Otros asuntos</w:t>
      </w:r>
    </w:p>
    <w:bookmarkEnd w:id="12"/>
    <w:p w14:paraId="0139C378" w14:textId="68EA0FE4" w:rsidR="00557370" w:rsidRPr="00615E50" w:rsidRDefault="00E5364D" w:rsidP="00D34738">
      <w:pPr>
        <w:pStyle w:val="CBDNormalNumber"/>
        <w:rPr>
          <w:lang w:val="es-419"/>
        </w:rPr>
      </w:pPr>
      <w:r w:rsidRPr="00615E50">
        <w:rPr>
          <w:snapToGrid w:val="0"/>
          <w:lang w:val="es-419"/>
        </w:rPr>
        <w:t>[se completará]</w:t>
      </w:r>
    </w:p>
    <w:p w14:paraId="1D12A01C" w14:textId="3C519906" w:rsidR="00557370" w:rsidRPr="00615E50" w:rsidRDefault="00C45D2D" w:rsidP="006F791E">
      <w:pPr>
        <w:pStyle w:val="CBDAgendaItem"/>
        <w:rPr>
          <w:lang w:val="es-419"/>
        </w:rPr>
      </w:pPr>
      <w:r w:rsidRPr="00615E50">
        <w:rPr>
          <w:lang w:val="es-419"/>
        </w:rPr>
        <w:t>Tema 16</w:t>
      </w:r>
      <w:r w:rsidRPr="00615E50">
        <w:rPr>
          <w:lang w:val="es-419"/>
        </w:rPr>
        <w:br/>
        <w:t>Adopción del informe</w:t>
      </w:r>
    </w:p>
    <w:p w14:paraId="538C34C1" w14:textId="3771694A" w:rsidR="00E5364D" w:rsidRPr="00615E50" w:rsidRDefault="00E5364D" w:rsidP="00E5364D">
      <w:pPr>
        <w:pStyle w:val="CBDNormalNumber"/>
        <w:rPr>
          <w:snapToGrid w:val="0"/>
          <w:lang w:val="es-419"/>
        </w:rPr>
      </w:pPr>
      <w:r w:rsidRPr="00615E50">
        <w:rPr>
          <w:snapToGrid w:val="0"/>
          <w:lang w:val="es-419"/>
        </w:rPr>
        <w:t>[se completará]</w:t>
      </w:r>
    </w:p>
    <w:p w14:paraId="0EED474F" w14:textId="21684BE1" w:rsidR="00557370" w:rsidRPr="00615E50" w:rsidRDefault="00C45D2D" w:rsidP="006F791E">
      <w:pPr>
        <w:pStyle w:val="CBDAgendaItem"/>
        <w:rPr>
          <w:lang w:val="es-419"/>
        </w:rPr>
      </w:pPr>
      <w:r w:rsidRPr="00615E50">
        <w:rPr>
          <w:lang w:val="es-419"/>
        </w:rPr>
        <w:t>Tema 17</w:t>
      </w:r>
      <w:r w:rsidRPr="00615E50">
        <w:rPr>
          <w:lang w:val="es-419"/>
        </w:rPr>
        <w:br/>
        <w:t>Clausura de la reunión</w:t>
      </w:r>
    </w:p>
    <w:p w14:paraId="74E10AC6" w14:textId="3E9E9CB7" w:rsidR="00F31B9D" w:rsidRPr="00615E50" w:rsidRDefault="00F31B9D" w:rsidP="00842669">
      <w:pPr>
        <w:pStyle w:val="CBDNormalNumber"/>
        <w:rPr>
          <w:lang w:val="es-419"/>
        </w:rPr>
      </w:pPr>
      <w:bookmarkStart w:id="16" w:name="_Hlk182078196"/>
      <w:r w:rsidRPr="00615E50">
        <w:rPr>
          <w:lang w:val="es-419"/>
        </w:rPr>
        <w:t xml:space="preserve">En la quinta sesión plenaria, a pedido de un representante de Panamá se hizo un recuento de los asistentes para verificar el número de Partes que estaban presentes y determinar si se podía seguir adoptando decisiones de conformidad con el artículo 30 del Reglamento. Dado que no se llegaba al </w:t>
      </w:r>
      <w:r w:rsidRPr="00615E50">
        <w:rPr>
          <w:i/>
          <w:iCs/>
          <w:lang w:val="es-419"/>
        </w:rPr>
        <w:t>quorum</w:t>
      </w:r>
      <w:r w:rsidRPr="00615E50">
        <w:rPr>
          <w:lang w:val="es-419"/>
        </w:rPr>
        <w:t>, la Presidenta propuso suspender la reunión.</w:t>
      </w:r>
    </w:p>
    <w:p w14:paraId="78674330" w14:textId="65EEDD7D" w:rsidR="00F31B9D" w:rsidRPr="00615E50" w:rsidRDefault="00B05A6D" w:rsidP="00842669">
      <w:pPr>
        <w:pStyle w:val="CBDNormalNumber"/>
        <w:rPr>
          <w:lang w:val="es-419"/>
        </w:rPr>
      </w:pPr>
      <w:r w:rsidRPr="00615E50">
        <w:rPr>
          <w:lang w:val="es-419"/>
        </w:rPr>
        <w:t>La Presidenta suspendió seguidamente la reunión a las 8.30 horas del 2 de noviembre de 2024.</w:t>
      </w:r>
    </w:p>
    <w:bookmarkEnd w:id="16"/>
    <w:p w14:paraId="3FD569A1" w14:textId="626847B7" w:rsidR="00557370" w:rsidRPr="00615E50" w:rsidRDefault="00CB13BF" w:rsidP="00127F29">
      <w:pPr>
        <w:pStyle w:val="CBDNormalNumber"/>
        <w:rPr>
          <w:lang w:val="es-419"/>
        </w:rPr>
      </w:pPr>
      <w:r w:rsidRPr="00615E50">
        <w:rPr>
          <w:lang w:val="es-419"/>
        </w:rPr>
        <w:t>[se completará]</w:t>
      </w:r>
    </w:p>
    <w:p w14:paraId="79422DB6" w14:textId="77777777" w:rsidR="00557370" w:rsidRPr="00615E50" w:rsidRDefault="00557370" w:rsidP="00D9044B">
      <w:pPr>
        <w:pStyle w:val="StylePara1Before0pt"/>
        <w:numPr>
          <w:ilvl w:val="0"/>
          <w:numId w:val="0"/>
        </w:numPr>
        <w:suppressLineNumbers/>
        <w:suppressAutoHyphens/>
        <w:rPr>
          <w:kern w:val="22"/>
          <w:sz w:val="22"/>
          <w:szCs w:val="22"/>
          <w:lang w:val="es-419"/>
        </w:rPr>
      </w:pPr>
    </w:p>
    <w:p w14:paraId="453CE0E0" w14:textId="7D33AFE0" w:rsidR="002B559C" w:rsidRPr="00615E50" w:rsidRDefault="00557370" w:rsidP="00191C16">
      <w:pPr>
        <w:suppressLineNumbers/>
        <w:suppressAutoHyphens/>
        <w:jc w:val="center"/>
        <w:rPr>
          <w:lang w:val="es-419"/>
        </w:rPr>
      </w:pPr>
      <w:r w:rsidRPr="00615E50">
        <w:rPr>
          <w:lang w:val="es-419"/>
        </w:rPr>
        <w:t>__________</w:t>
      </w:r>
    </w:p>
    <w:sectPr w:rsidR="002B559C" w:rsidRPr="00615E50" w:rsidSect="004B552A">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E255" w14:textId="77777777" w:rsidR="00224561" w:rsidRPr="00AA1338" w:rsidRDefault="00224561" w:rsidP="00A96B21">
      <w:r w:rsidRPr="00AA1338">
        <w:separator/>
      </w:r>
    </w:p>
  </w:endnote>
  <w:endnote w:type="continuationSeparator" w:id="0">
    <w:p w14:paraId="41B3F547" w14:textId="77777777" w:rsidR="00224561" w:rsidRPr="00AA1338" w:rsidRDefault="00224561" w:rsidP="00A96B21">
      <w:r w:rsidRPr="00AA1338">
        <w:continuationSeparator/>
      </w:r>
    </w:p>
  </w:endnote>
  <w:endnote w:type="continuationNotice" w:id="1">
    <w:p w14:paraId="294BA259" w14:textId="77777777" w:rsidR="00224561" w:rsidRPr="00AA1338" w:rsidRDefault="00224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02BB7EBA" w:rsidR="002B559C" w:rsidRPr="00AA1338" w:rsidRDefault="002B559C">
            <w:pPr>
              <w:pStyle w:val="Footer"/>
            </w:pPr>
            <w:r w:rsidRPr="00AA1338">
              <w:fldChar w:fldCharType="begin"/>
            </w:r>
            <w:r w:rsidRPr="00AA1338">
              <w:instrText xml:space="preserve"> PAGE </w:instrText>
            </w:r>
            <w:r w:rsidRPr="00AA1338">
              <w:fldChar w:fldCharType="separate"/>
            </w:r>
            <w:r w:rsidR="00C97912">
              <w:rPr>
                <w:noProof/>
              </w:rPr>
              <w:t>14</w:t>
            </w:r>
            <w:r w:rsidRPr="00AA1338">
              <w:fldChar w:fldCharType="end"/>
            </w:r>
            <w:r>
              <w:t>/</w:t>
            </w:r>
            <w:fldSimple w:instr=" NUMPAGES  ">
              <w:r w:rsidR="00C97912">
                <w:rPr>
                  <w:noProof/>
                </w:rPr>
                <w:t>14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133AEDE6" w:rsidR="002B559C" w:rsidRPr="00AA1338" w:rsidRDefault="002B559C" w:rsidP="002B559C">
            <w:pPr>
              <w:pStyle w:val="Footer"/>
              <w:jc w:val="right"/>
            </w:pPr>
            <w:r w:rsidRPr="00AA1338">
              <w:fldChar w:fldCharType="begin"/>
            </w:r>
            <w:r w:rsidRPr="00AA1338">
              <w:instrText xml:space="preserve"> PAGE </w:instrText>
            </w:r>
            <w:r w:rsidRPr="00AA1338">
              <w:fldChar w:fldCharType="separate"/>
            </w:r>
            <w:r w:rsidR="00C97912">
              <w:rPr>
                <w:noProof/>
              </w:rPr>
              <w:t>13</w:t>
            </w:r>
            <w:r w:rsidRPr="00AA1338">
              <w:fldChar w:fldCharType="end"/>
            </w:r>
            <w:r>
              <w:t>/</w:t>
            </w:r>
            <w:fldSimple w:instr=" NUMPAGES  ">
              <w:r w:rsidR="00C97912">
                <w:rPr>
                  <w:noProof/>
                </w:rPr>
                <w:t>14</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EED2" w14:textId="77777777" w:rsidR="00224561" w:rsidRPr="00AA1338" w:rsidRDefault="00224561" w:rsidP="00A96B21">
      <w:r w:rsidRPr="00AA1338">
        <w:separator/>
      </w:r>
    </w:p>
  </w:footnote>
  <w:footnote w:type="continuationSeparator" w:id="0">
    <w:p w14:paraId="22E4E1E4" w14:textId="77777777" w:rsidR="00224561" w:rsidRPr="00AA1338" w:rsidRDefault="00224561" w:rsidP="00A96B21">
      <w:r w:rsidRPr="00AA1338">
        <w:continuationSeparator/>
      </w:r>
    </w:p>
  </w:footnote>
  <w:footnote w:type="continuationNotice" w:id="1">
    <w:p w14:paraId="30911DBD" w14:textId="77777777" w:rsidR="00224561" w:rsidRPr="00AA1338" w:rsidRDefault="00224561"/>
  </w:footnote>
  <w:footnote w:id="2">
    <w:p w14:paraId="29155098" w14:textId="4154D6A1" w:rsidR="004E45A6" w:rsidRPr="00A35754" w:rsidRDefault="004E45A6" w:rsidP="004E45A6">
      <w:pPr>
        <w:pStyle w:val="FootnoteText"/>
      </w:pPr>
      <w:r w:rsidRPr="00A35754">
        <w:rPr>
          <w:rStyle w:val="FootnoteReference"/>
        </w:rPr>
        <w:footnoteRef/>
      </w:r>
      <w:r w:rsidRPr="00A35754">
        <w:t xml:space="preserve"> </w:t>
      </w:r>
      <w:r w:rsidRPr="004E45A6">
        <w:t>Se puede leer un resumen de los discursos y declaraciones de apertura en el documento CBD/COP/16/</w:t>
      </w:r>
      <w:r w:rsidR="00C53270">
        <w:t>13</w:t>
      </w:r>
      <w:r w:rsidRPr="004E45A6">
        <w:t>, párrs. xx</w:t>
      </w:r>
      <w:r w:rsidRPr="00A35754">
        <w:t>.</w:t>
      </w:r>
    </w:p>
  </w:footnote>
  <w:footnote w:id="3">
    <w:p w14:paraId="4E74F73D" w14:textId="692C4F8C" w:rsidR="00864E89" w:rsidRDefault="00864E89">
      <w:pPr>
        <w:pStyle w:val="FootnoteText"/>
      </w:pPr>
      <w:r>
        <w:rPr>
          <w:rStyle w:val="FootnoteReference"/>
        </w:rPr>
        <w:footnoteRef/>
      </w:r>
      <w:r>
        <w:t xml:space="preserve"> Véase “Elección del Presidente” </w:t>
      </w:r>
      <w:r w:rsidR="00B821C4">
        <w:t>en el tema 2.</w:t>
      </w:r>
    </w:p>
  </w:footnote>
  <w:footnote w:id="4">
    <w:p w14:paraId="52530D78" w14:textId="276FD2EF" w:rsidR="00B8040D" w:rsidRDefault="00B8040D">
      <w:pPr>
        <w:pStyle w:val="FootnoteText"/>
      </w:pPr>
      <w:r>
        <w:rPr>
          <w:rStyle w:val="FootnoteReference"/>
        </w:rPr>
        <w:footnoteRef/>
      </w:r>
      <w:r>
        <w:t xml:space="preserve"> La primera continuación de la reunión, en representación de la sexta sesión plenaria, se celebró en línea</w:t>
      </w:r>
      <w:r w:rsidRPr="00B8040D">
        <w:rPr>
          <w:lang w:val="es-419"/>
        </w:rPr>
        <w:t xml:space="preserve"> </w:t>
      </w:r>
      <w:r w:rsidRPr="00615E50">
        <w:rPr>
          <w:lang w:val="es-419"/>
        </w:rPr>
        <w:t>conforme a un procedimiento de acuerdo tácito,</w:t>
      </w:r>
      <w:r w:rsidR="00752D4B">
        <w:rPr>
          <w:lang w:val="es-419"/>
        </w:rPr>
        <w:t xml:space="preserve"> del 3 al 6 de diciembre de 2024 (véase el tema 6).</w:t>
      </w:r>
      <w:r>
        <w:t xml:space="preserve"> </w:t>
      </w:r>
    </w:p>
  </w:footnote>
  <w:footnote w:id="5">
    <w:p w14:paraId="12F76977" w14:textId="37FCC5D5" w:rsidR="00446200" w:rsidRPr="00BF5B42" w:rsidRDefault="00446200">
      <w:pPr>
        <w:pStyle w:val="FootnoteText"/>
        <w:rPr>
          <w:lang w:val="es-UY"/>
        </w:rPr>
      </w:pPr>
      <w:r>
        <w:rPr>
          <w:rStyle w:val="FootnoteReference"/>
        </w:rPr>
        <w:footnoteRef/>
      </w:r>
      <w:r w:rsidRPr="00BF5B42">
        <w:rPr>
          <w:lang w:val="es-UY"/>
        </w:rPr>
        <w:t xml:space="preserve"> </w:t>
      </w:r>
      <w:r w:rsidR="00D807B3" w:rsidRPr="00BF5B42">
        <w:rPr>
          <w:lang w:val="es-UY"/>
        </w:rPr>
        <w:t xml:space="preserve">Véase </w:t>
      </w:r>
      <w:r w:rsidR="00BF5B42" w:rsidRPr="00BF5B42">
        <w:rPr>
          <w:lang w:val="es-UY"/>
        </w:rPr>
        <w:t xml:space="preserve">en </w:t>
      </w:r>
      <w:r w:rsidR="00D807B3" w:rsidRPr="00BF5B42">
        <w:rPr>
          <w:lang w:val="es-UY"/>
        </w:rPr>
        <w:t>CBD/COP/16/13, p</w:t>
      </w:r>
      <w:r w:rsidR="00E638B7" w:rsidRPr="00BF5B42">
        <w:rPr>
          <w:lang w:val="es-UY"/>
        </w:rPr>
        <w:t>á</w:t>
      </w:r>
      <w:r w:rsidR="00D807B3" w:rsidRPr="00BF5B42">
        <w:rPr>
          <w:lang w:val="es-UY"/>
        </w:rPr>
        <w:t>r</w:t>
      </w:r>
      <w:r w:rsidR="00E638B7" w:rsidRPr="00BF5B42">
        <w:rPr>
          <w:lang w:val="es-UY"/>
        </w:rPr>
        <w:t>r</w:t>
      </w:r>
      <w:r w:rsidR="00D807B3" w:rsidRPr="00BF5B42">
        <w:rPr>
          <w:lang w:val="es-UY"/>
        </w:rPr>
        <w:t xml:space="preserve">s. </w:t>
      </w:r>
      <w:r w:rsidR="00E638B7" w:rsidRPr="00BF5B42">
        <w:rPr>
          <w:lang w:val="es-UY"/>
        </w:rPr>
        <w:t xml:space="preserve">xx a </w:t>
      </w:r>
      <w:r w:rsidR="00D807B3" w:rsidRPr="00BF5B42">
        <w:rPr>
          <w:lang w:val="es-UY"/>
        </w:rPr>
        <w:t xml:space="preserve">xx, </w:t>
      </w:r>
      <w:r w:rsidR="00BF5B42" w:rsidRPr="00BF5B42">
        <w:rPr>
          <w:lang w:val="es-UY"/>
        </w:rPr>
        <w:t xml:space="preserve">un resumen de los discursos de </w:t>
      </w:r>
      <w:r w:rsidR="00BF5B42">
        <w:rPr>
          <w:lang w:val="es-UY"/>
        </w:rPr>
        <w:t>apertura de la segunda continuación de la reunión.</w:t>
      </w:r>
    </w:p>
  </w:footnote>
  <w:footnote w:id="6">
    <w:p w14:paraId="500763B5" w14:textId="1BC4EAAA" w:rsidR="00045A72" w:rsidRPr="00115557" w:rsidRDefault="00045A72" w:rsidP="00EF6CBE">
      <w:pPr>
        <w:pStyle w:val="FootnoteText"/>
        <w:rPr>
          <w:lang w:val="es-UY"/>
        </w:rPr>
      </w:pPr>
      <w:r>
        <w:rPr>
          <w:rStyle w:val="FootnoteReference"/>
        </w:rPr>
        <w:footnoteRef/>
      </w:r>
      <w:r w:rsidRPr="00115557">
        <w:rPr>
          <w:lang w:val="es-UY"/>
        </w:rPr>
        <w:t xml:space="preserve"> CBD/CP/MOP/11/1.</w:t>
      </w:r>
    </w:p>
  </w:footnote>
  <w:footnote w:id="7">
    <w:p w14:paraId="4688E880" w14:textId="6D0A2903" w:rsidR="00045A72" w:rsidRPr="00A35754" w:rsidRDefault="00045A72" w:rsidP="00586722">
      <w:pPr>
        <w:pStyle w:val="FootnoteText"/>
      </w:pPr>
      <w:r>
        <w:rPr>
          <w:rStyle w:val="FootnoteReference"/>
        </w:rPr>
        <w:footnoteRef/>
      </w:r>
      <w:r>
        <w:t xml:space="preserve"> CBD/CP/MOP/11/1/Add.1.</w:t>
      </w:r>
    </w:p>
  </w:footnote>
  <w:footnote w:id="8">
    <w:p w14:paraId="0D4C56DC" w14:textId="5BFF2D3F" w:rsidR="00045A72" w:rsidRPr="000B2190" w:rsidRDefault="00045A72" w:rsidP="00045A72">
      <w:pPr>
        <w:pStyle w:val="FootnoteText"/>
        <w:rPr>
          <w:lang w:val="en-US"/>
        </w:rPr>
      </w:pPr>
      <w:r>
        <w:rPr>
          <w:rStyle w:val="FootnoteReference"/>
        </w:rPr>
        <w:footnoteRef/>
      </w:r>
      <w:r w:rsidRPr="000B2190">
        <w:rPr>
          <w:lang w:val="en-US"/>
        </w:rPr>
        <w:t xml:space="preserve"> CBD/CP/MOP/11/1/Add.2.</w:t>
      </w:r>
    </w:p>
  </w:footnote>
  <w:footnote w:id="9">
    <w:p w14:paraId="44AD0007" w14:textId="2DC67759" w:rsidR="00045A72" w:rsidRPr="000B2190" w:rsidRDefault="00045A72" w:rsidP="00045A72">
      <w:pPr>
        <w:pStyle w:val="FootnoteText"/>
        <w:rPr>
          <w:lang w:val="en-US"/>
        </w:rPr>
      </w:pPr>
      <w:r>
        <w:rPr>
          <w:rStyle w:val="FootnoteReference"/>
        </w:rPr>
        <w:footnoteRef/>
      </w:r>
      <w:r w:rsidRPr="000B2190">
        <w:rPr>
          <w:lang w:val="en-US"/>
        </w:rPr>
        <w:t xml:space="preserve"> CBD/CP/MOP/11/INF/4.</w:t>
      </w:r>
    </w:p>
  </w:footnote>
  <w:footnote w:id="10">
    <w:p w14:paraId="08FA918C" w14:textId="31DD5DE9" w:rsidR="00BB00D8" w:rsidRPr="000B2190" w:rsidRDefault="00BB00D8" w:rsidP="00BB00D8">
      <w:pPr>
        <w:pStyle w:val="FootnoteText"/>
        <w:rPr>
          <w:lang w:val="en-US"/>
        </w:rPr>
      </w:pPr>
      <w:r>
        <w:rPr>
          <w:rStyle w:val="FootnoteReference"/>
        </w:rPr>
        <w:footnoteRef/>
      </w:r>
      <w:r w:rsidRPr="000B2190">
        <w:rPr>
          <w:lang w:val="en-US"/>
        </w:rPr>
        <w:t xml:space="preserve"> CBD/CP/MOP/11/WGI/L.1.</w:t>
      </w:r>
    </w:p>
  </w:footnote>
  <w:footnote w:id="11">
    <w:p w14:paraId="0FAE7018" w14:textId="14687F8D" w:rsidR="00BB00D8" w:rsidRPr="000B2190" w:rsidRDefault="00BB00D8" w:rsidP="00BB00D8">
      <w:pPr>
        <w:pStyle w:val="FootnoteText"/>
        <w:rPr>
          <w:lang w:val="en-US"/>
        </w:rPr>
      </w:pPr>
      <w:r>
        <w:rPr>
          <w:rStyle w:val="FootnoteReference"/>
        </w:rPr>
        <w:footnoteRef/>
      </w:r>
      <w:r w:rsidRPr="000B2190">
        <w:rPr>
          <w:lang w:val="en-US"/>
        </w:rPr>
        <w:t xml:space="preserve"> CBD/CP/MOP/11/WGII/L.1.</w:t>
      </w:r>
    </w:p>
  </w:footnote>
  <w:footnote w:id="12">
    <w:p w14:paraId="124FA73B" w14:textId="174FD374" w:rsidR="009F02FB" w:rsidRPr="00A35754" w:rsidRDefault="009F02FB" w:rsidP="009F02FB">
      <w:pPr>
        <w:pStyle w:val="FootnoteText"/>
      </w:pPr>
      <w:r>
        <w:rPr>
          <w:rStyle w:val="FootnoteReference"/>
        </w:rPr>
        <w:footnoteRef/>
      </w:r>
      <w:r>
        <w:t xml:space="preserve"> </w:t>
      </w:r>
      <w:r w:rsidR="00757484">
        <w:t>Haití, l</w:t>
      </w:r>
      <w:r>
        <w:t>as Islas Cook, Micronesia (Estados Federados de), Vanuatu y algunos Estados de África no son Partes en el Protocolo de Cartagena.</w:t>
      </w:r>
    </w:p>
  </w:footnote>
  <w:footnote w:id="13">
    <w:p w14:paraId="62E506BA" w14:textId="130A5C7C" w:rsidR="00C86BCF" w:rsidRPr="00A35754" w:rsidRDefault="00C86BCF" w:rsidP="00C86BCF">
      <w:pPr>
        <w:pStyle w:val="FootnoteText"/>
      </w:pPr>
      <w:r>
        <w:rPr>
          <w:rStyle w:val="FootnoteReference"/>
        </w:rPr>
        <w:footnoteRef/>
      </w:r>
      <w:r>
        <w:t xml:space="preserve"> Disponible en </w:t>
      </w:r>
      <w:hyperlink r:id="rId1" w:history="1">
        <w:r>
          <w:rPr>
            <w:rStyle w:val="Hyperlink"/>
          </w:rPr>
          <w:t>www.cbd.int/meetings/CP-MOP-11-R1</w:t>
        </w:r>
      </w:hyperlink>
      <w:r>
        <w:t>, junto con todos los documentos referidos a la continuación de la reunión</w:t>
      </w:r>
      <w:r w:rsidR="00757484" w:rsidRPr="00757484">
        <w:t xml:space="preserve"> </w:t>
      </w:r>
      <w:r w:rsidR="00757484">
        <w:t>en línea</w:t>
      </w:r>
      <w:r>
        <w:t>.</w:t>
      </w:r>
    </w:p>
  </w:footnote>
  <w:footnote w:id="14">
    <w:p w14:paraId="073FE684" w14:textId="2DEEF451" w:rsidR="00C86BCF" w:rsidRPr="00A35754" w:rsidRDefault="00C86BCF" w:rsidP="00C86BCF">
      <w:pPr>
        <w:pStyle w:val="FootnoteText"/>
      </w:pPr>
      <w:r>
        <w:rPr>
          <w:rStyle w:val="FootnoteReference"/>
        </w:rPr>
        <w:footnoteRef/>
      </w:r>
      <w:r>
        <w:t xml:space="preserve"> </w:t>
      </w:r>
      <w:hyperlink r:id="rId2" w:history="1">
        <w:r>
          <w:rPr>
            <w:rStyle w:val="Hyperlink"/>
          </w:rPr>
          <w:t>CBD/CP/MOP/11/1/Add.3</w:t>
        </w:r>
      </w:hyperlink>
      <w:r>
        <w:t>.</w:t>
      </w:r>
    </w:p>
  </w:footnote>
  <w:footnote w:id="15">
    <w:p w14:paraId="397AFA5E" w14:textId="2BC8C9ED" w:rsidR="00C86BCF" w:rsidRPr="00A35754" w:rsidRDefault="00C86BCF" w:rsidP="00C86BCF">
      <w:pPr>
        <w:pStyle w:val="FootnoteText"/>
      </w:pPr>
      <w:r>
        <w:rPr>
          <w:rStyle w:val="FootnoteReference"/>
        </w:rPr>
        <w:footnoteRef/>
      </w:r>
      <w:r>
        <w:t xml:space="preserve"> </w:t>
      </w:r>
      <w:hyperlink r:id="rId3" w:history="1">
        <w:r>
          <w:rPr>
            <w:rStyle w:val="Hyperlink"/>
          </w:rPr>
          <w:t>CBD/CP/MOP/11/L.12/Rev.1</w:t>
        </w:r>
      </w:hyperlink>
      <w:r>
        <w:t xml:space="preserve"> y </w:t>
      </w:r>
      <w:hyperlink r:id="rId4" w:history="1">
        <w:r>
          <w:rPr>
            <w:rStyle w:val="Hyperlink"/>
          </w:rPr>
          <w:t>CBD/CP/MOP/11/L.13</w:t>
        </w:r>
      </w:hyperlink>
      <w:r>
        <w:t>.</w:t>
      </w:r>
    </w:p>
  </w:footnote>
  <w:footnote w:id="16">
    <w:p w14:paraId="162123B2" w14:textId="50F7493C" w:rsidR="00035500" w:rsidRPr="00A35754" w:rsidRDefault="00035500" w:rsidP="00035500">
      <w:pPr>
        <w:pStyle w:val="FootnoteText"/>
      </w:pPr>
      <w:r>
        <w:rPr>
          <w:rStyle w:val="FootnoteReference"/>
        </w:rPr>
        <w:footnoteRef/>
      </w:r>
      <w:r>
        <w:t xml:space="preserve"> </w:t>
      </w:r>
      <w:bookmarkStart w:id="4" w:name="_Hlk190684059"/>
      <w:r>
        <w:fldChar w:fldCharType="begin"/>
      </w:r>
      <w:r>
        <w:instrText>HYPERLINK "https://www.cbd.int/documents/CBD/COP/16/1/ADD4"</w:instrText>
      </w:r>
      <w:r>
        <w:fldChar w:fldCharType="separate"/>
      </w:r>
      <w:r>
        <w:rPr>
          <w:rStyle w:val="Hyperlink"/>
        </w:rPr>
        <w:t>CBD/CP/MOP/11/1/Add.4</w:t>
      </w:r>
      <w:r>
        <w:fldChar w:fldCharType="end"/>
      </w:r>
      <w:r>
        <w:t>.</w:t>
      </w:r>
      <w:bookmarkEnd w:id="4"/>
    </w:p>
  </w:footnote>
  <w:footnote w:id="17">
    <w:p w14:paraId="106323CE" w14:textId="48EDDF39" w:rsidR="00035500" w:rsidRPr="006C3CEC" w:rsidRDefault="00035500" w:rsidP="00035500">
      <w:pPr>
        <w:pStyle w:val="FootnoteText"/>
      </w:pPr>
      <w:r>
        <w:rPr>
          <w:rStyle w:val="FootnoteReference"/>
        </w:rPr>
        <w:footnoteRef/>
      </w:r>
      <w:r w:rsidRPr="006C3CEC">
        <w:t xml:space="preserve"> </w:t>
      </w:r>
      <w:bookmarkStart w:id="5" w:name="_Hlk190684050"/>
      <w:r>
        <w:fldChar w:fldCharType="begin"/>
      </w:r>
      <w:r w:rsidRPr="006C3CEC">
        <w:instrText>HYPERLINK "https://www.cbd.int/documents/CBD/COP/16/1/ADD5"</w:instrText>
      </w:r>
      <w:r>
        <w:fldChar w:fldCharType="separate"/>
      </w:r>
      <w:r w:rsidRPr="006C3CEC">
        <w:rPr>
          <w:rStyle w:val="Hyperlink"/>
        </w:rPr>
        <w:t>CBD/CP/MOP/11/1/Add.5</w:t>
      </w:r>
      <w:r>
        <w:fldChar w:fldCharType="end"/>
      </w:r>
      <w:bookmarkEnd w:id="5"/>
      <w:r w:rsidR="00386CF0" w:rsidRPr="006C3CEC">
        <w:t>.</w:t>
      </w:r>
    </w:p>
  </w:footnote>
  <w:footnote w:id="18">
    <w:p w14:paraId="399E0601" w14:textId="4CD48AD0" w:rsidR="00A53A16" w:rsidRPr="00386CF0" w:rsidRDefault="00A53A16" w:rsidP="00A53A16">
      <w:pPr>
        <w:pStyle w:val="FootnoteText"/>
        <w:rPr>
          <w:lang w:val="en-US"/>
        </w:rPr>
      </w:pPr>
      <w:r>
        <w:rPr>
          <w:rStyle w:val="FootnoteReference"/>
        </w:rPr>
        <w:footnoteRef/>
      </w:r>
      <w:r w:rsidRPr="00386CF0">
        <w:rPr>
          <w:lang w:val="en-US"/>
        </w:rPr>
        <w:t xml:space="preserve"> </w:t>
      </w:r>
      <w:hyperlink r:id="rId5" w:history="1">
        <w:r w:rsidRPr="00386CF0">
          <w:rPr>
            <w:rStyle w:val="Hyperlink"/>
            <w:lang w:val="en-US"/>
          </w:rPr>
          <w:t>CBD/CP/MOP/11/INF/5</w:t>
        </w:r>
      </w:hyperlink>
      <w:r w:rsidRPr="00386CF0">
        <w:rPr>
          <w:lang w:val="en-US"/>
        </w:rPr>
        <w:t>, anexo.</w:t>
      </w:r>
    </w:p>
  </w:footnote>
  <w:footnote w:id="19">
    <w:p w14:paraId="274BEA6D" w14:textId="10DE34BE" w:rsidR="001C71E0" w:rsidRPr="00A35754" w:rsidRDefault="001C71E0" w:rsidP="001C71E0">
      <w:pPr>
        <w:pStyle w:val="FootnoteText"/>
      </w:pPr>
      <w:r>
        <w:rPr>
          <w:rStyle w:val="FootnoteReference"/>
        </w:rPr>
        <w:footnoteRef/>
      </w:r>
      <w:r>
        <w:t xml:space="preserve"> La República Bolivariana de Venezuela presentó credenciales luego de publicado el informe y el 26 de noviembre se publicó una versión revisada del informe con datos actualizados (</w:t>
      </w:r>
      <w:hyperlink r:id="rId6" w:history="1">
        <w:r>
          <w:rPr>
            <w:rStyle w:val="Hyperlink"/>
          </w:rPr>
          <w:t>CBD/CP/MOP/11/INF/6/Rev.1</w:t>
        </w:r>
      </w:hyperlink>
      <w:r>
        <w:t>).</w:t>
      </w:r>
    </w:p>
  </w:footnote>
  <w:footnote w:id="20">
    <w:p w14:paraId="7F97B9F8" w14:textId="089088EF" w:rsidR="00DF3BD1" w:rsidRPr="00A35754" w:rsidRDefault="00DF3BD1" w:rsidP="00DF3BD1">
      <w:pPr>
        <w:pStyle w:val="FootnoteText"/>
      </w:pPr>
      <w:r>
        <w:rPr>
          <w:rStyle w:val="FootnoteReference"/>
        </w:rPr>
        <w:footnoteRef/>
      </w:r>
      <w:r>
        <w:t xml:space="preserve"> </w:t>
      </w:r>
      <w:r>
        <w:rPr>
          <w:rFonts w:asciiTheme="majorBidi" w:hAnsiTheme="majorBidi"/>
        </w:rPr>
        <w:t>CBD/SBSTTA/26/9.</w:t>
      </w:r>
    </w:p>
  </w:footnote>
  <w:footnote w:id="21">
    <w:p w14:paraId="34DCE28F" w14:textId="173E401C" w:rsidR="0070457B" w:rsidRPr="00A35754" w:rsidRDefault="0070457B">
      <w:pPr>
        <w:pStyle w:val="FootnoteText"/>
      </w:pPr>
      <w:r>
        <w:rPr>
          <w:rStyle w:val="FootnoteReference"/>
        </w:rPr>
        <w:footnoteRef/>
      </w:r>
      <w:r>
        <w:t xml:space="preserve"> </w:t>
      </w:r>
      <w:r>
        <w:rPr>
          <w:snapToGrid w:val="0"/>
        </w:rPr>
        <w:t xml:space="preserve">CBD/SBI/4/17 y </w:t>
      </w:r>
      <w:r>
        <w:rPr>
          <w:rFonts w:asciiTheme="majorBidi" w:hAnsiTheme="majorBidi"/>
        </w:rPr>
        <w:t>CBD/SBI/5/4, respectivamente.</w:t>
      </w:r>
    </w:p>
  </w:footnote>
  <w:footnote w:id="22">
    <w:p w14:paraId="4589786E" w14:textId="7ACAE045" w:rsidR="00207B7C" w:rsidRPr="00A35754" w:rsidRDefault="00207B7C">
      <w:pPr>
        <w:pStyle w:val="FootnoteText"/>
      </w:pPr>
      <w:r>
        <w:rPr>
          <w:rStyle w:val="FootnoteReference"/>
        </w:rPr>
        <w:footnoteRef/>
      </w:r>
      <w:r>
        <w:t xml:space="preserve"> CBD/CP/MOP/11/2, tema 5.</w:t>
      </w:r>
    </w:p>
  </w:footnote>
  <w:footnote w:id="23">
    <w:p w14:paraId="5ACA3C43" w14:textId="15B7AC0E" w:rsidR="004E0973" w:rsidRPr="00A35754" w:rsidRDefault="004E0973">
      <w:pPr>
        <w:pStyle w:val="FootnoteText"/>
      </w:pPr>
      <w:r>
        <w:rPr>
          <w:rStyle w:val="FootnoteReference"/>
        </w:rPr>
        <w:footnoteRef/>
      </w:r>
      <w:r w:rsidR="004E45A6">
        <w:rPr>
          <w:rFonts w:asciiTheme="majorBidi" w:hAnsiTheme="majorBidi"/>
          <w:color w:val="000000" w:themeColor="text1"/>
        </w:rPr>
        <w:t xml:space="preserve"> </w:t>
      </w:r>
      <w:r>
        <w:rPr>
          <w:rFonts w:asciiTheme="majorBidi" w:hAnsiTheme="majorBidi"/>
          <w:color w:val="000000" w:themeColor="text1"/>
        </w:rPr>
        <w:t>CBD/CP/MOP/11/3.</w:t>
      </w:r>
    </w:p>
  </w:footnote>
  <w:footnote w:id="24">
    <w:p w14:paraId="1B6EAD4E" w14:textId="379A1512" w:rsidR="008B291B" w:rsidRPr="000B2190" w:rsidRDefault="008B291B" w:rsidP="008B291B">
      <w:pPr>
        <w:pStyle w:val="FootnoteText"/>
        <w:rPr>
          <w:lang w:val="en-US"/>
        </w:rPr>
      </w:pPr>
      <w:r>
        <w:rPr>
          <w:rStyle w:val="FootnoteReference"/>
        </w:rPr>
        <w:footnoteRef/>
      </w:r>
      <w:r w:rsidRPr="000B2190">
        <w:rPr>
          <w:lang w:val="en-US"/>
        </w:rPr>
        <w:t xml:space="preserve"> </w:t>
      </w:r>
      <w:hyperlink r:id="rId7" w:history="1">
        <w:r w:rsidRPr="000B2190">
          <w:rPr>
            <w:rStyle w:val="Hyperlink"/>
            <w:lang w:val="en-US"/>
          </w:rPr>
          <w:t>CBD/CP/MOP/11/INF/2</w:t>
        </w:r>
      </w:hyperlink>
      <w:r w:rsidRPr="000B2190">
        <w:rPr>
          <w:lang w:val="en-US"/>
        </w:rPr>
        <w:t>.</w:t>
      </w:r>
    </w:p>
  </w:footnote>
  <w:footnote w:id="25">
    <w:p w14:paraId="44746D5E" w14:textId="1FFAA5A8" w:rsidR="00BF4643" w:rsidRPr="000B2190" w:rsidRDefault="00BF4643">
      <w:pPr>
        <w:pStyle w:val="FootnoteText"/>
        <w:rPr>
          <w:lang w:val="en-US"/>
        </w:rPr>
      </w:pPr>
      <w:r>
        <w:rPr>
          <w:rStyle w:val="FootnoteReference"/>
        </w:rPr>
        <w:footnoteRef/>
      </w:r>
      <w:r w:rsidRPr="000B2190">
        <w:rPr>
          <w:lang w:val="en-US"/>
        </w:rPr>
        <w:t xml:space="preserve"> </w:t>
      </w:r>
      <w:r w:rsidRPr="000B2190">
        <w:rPr>
          <w:snapToGrid w:val="0"/>
          <w:lang w:val="en-US"/>
        </w:rPr>
        <w:t>CBD/COP/16/4/Add.1, tema 7.</w:t>
      </w:r>
    </w:p>
  </w:footnote>
  <w:footnote w:id="26">
    <w:p w14:paraId="5DD8E1E7" w14:textId="0CA581B8" w:rsidR="007E2135" w:rsidRPr="000B2190" w:rsidRDefault="007E2135">
      <w:pPr>
        <w:pStyle w:val="FootnoteText"/>
        <w:rPr>
          <w:lang w:val="en-US"/>
        </w:rPr>
      </w:pPr>
      <w:r>
        <w:rPr>
          <w:rStyle w:val="FootnoteReference"/>
        </w:rPr>
        <w:footnoteRef/>
      </w:r>
      <w:r w:rsidRPr="000B2190">
        <w:rPr>
          <w:lang w:val="en-US"/>
        </w:rPr>
        <w:t xml:space="preserve"> </w:t>
      </w:r>
      <w:r w:rsidRPr="000B2190">
        <w:rPr>
          <w:snapToGrid w:val="0"/>
          <w:lang w:val="en-US"/>
        </w:rPr>
        <w:t>CBD/CP/MOP/11/4.</w:t>
      </w:r>
    </w:p>
  </w:footnote>
  <w:footnote w:id="27">
    <w:p w14:paraId="701F75B7" w14:textId="5C09B113" w:rsidR="007E2135" w:rsidRPr="000B2190" w:rsidRDefault="007E2135">
      <w:pPr>
        <w:pStyle w:val="FootnoteText"/>
        <w:rPr>
          <w:lang w:val="en-US"/>
        </w:rPr>
      </w:pPr>
      <w:r>
        <w:rPr>
          <w:rStyle w:val="FootnoteReference"/>
        </w:rPr>
        <w:footnoteRef/>
      </w:r>
      <w:r w:rsidRPr="000B2190">
        <w:rPr>
          <w:lang w:val="en-US"/>
        </w:rPr>
        <w:t xml:space="preserve"> </w:t>
      </w:r>
      <w:r w:rsidRPr="000B2190">
        <w:rPr>
          <w:snapToGrid w:val="0"/>
          <w:lang w:val="en-US"/>
        </w:rPr>
        <w:t>CBD/CP/MOP/11/5.</w:t>
      </w:r>
    </w:p>
  </w:footnote>
  <w:footnote w:id="28">
    <w:p w14:paraId="5EA8748F" w14:textId="231BD4E5" w:rsidR="006F0978" w:rsidRPr="000B2190" w:rsidRDefault="006F0978" w:rsidP="006F0978">
      <w:pPr>
        <w:pStyle w:val="FootnoteText"/>
        <w:rPr>
          <w:lang w:val="en-US"/>
        </w:rPr>
      </w:pPr>
      <w:r>
        <w:rPr>
          <w:rStyle w:val="FootnoteReference"/>
        </w:rPr>
        <w:footnoteRef/>
      </w:r>
      <w:r w:rsidRPr="000B2190">
        <w:rPr>
          <w:lang w:val="en-US"/>
        </w:rPr>
        <w:t xml:space="preserve"> CBD/CP/MOP/11/5/Add.1.</w:t>
      </w:r>
    </w:p>
  </w:footnote>
  <w:footnote w:id="29">
    <w:p w14:paraId="7E11290E" w14:textId="348C5641" w:rsidR="005177C0" w:rsidRPr="000B2190" w:rsidRDefault="005177C0">
      <w:pPr>
        <w:pStyle w:val="FootnoteText"/>
        <w:rPr>
          <w:lang w:val="en-US"/>
        </w:rPr>
      </w:pPr>
      <w:r>
        <w:rPr>
          <w:rStyle w:val="FootnoteReference"/>
        </w:rPr>
        <w:footnoteRef/>
      </w:r>
      <w:r w:rsidRPr="000B2190">
        <w:rPr>
          <w:lang w:val="en-US"/>
        </w:rPr>
        <w:t xml:space="preserve"> </w:t>
      </w:r>
      <w:r w:rsidRPr="000B2190">
        <w:rPr>
          <w:rFonts w:asciiTheme="majorBidi" w:hAnsiTheme="majorBidi"/>
          <w:color w:val="000000"/>
          <w:lang w:val="en-US"/>
        </w:rPr>
        <w:t>CBD/CP/MOP/11/5/Add.2.</w:t>
      </w:r>
    </w:p>
  </w:footnote>
  <w:footnote w:id="30">
    <w:p w14:paraId="42F6AFF7" w14:textId="24B30352" w:rsidR="000D47B5" w:rsidRPr="000B2190" w:rsidRDefault="000D47B5">
      <w:pPr>
        <w:pStyle w:val="FootnoteText"/>
        <w:rPr>
          <w:lang w:val="en-US"/>
        </w:rPr>
      </w:pPr>
      <w:r>
        <w:rPr>
          <w:rStyle w:val="FootnoteReference"/>
        </w:rPr>
        <w:footnoteRef/>
      </w:r>
      <w:r w:rsidRPr="000B2190">
        <w:rPr>
          <w:lang w:val="en-US"/>
        </w:rPr>
        <w:t xml:space="preserve"> CBD/CP/MOP/11/2, tema 7.</w:t>
      </w:r>
    </w:p>
  </w:footnote>
  <w:footnote w:id="31">
    <w:p w14:paraId="4282FC8B" w14:textId="77777777" w:rsidR="000363D0" w:rsidRPr="000B2190" w:rsidRDefault="000363D0" w:rsidP="000363D0">
      <w:pPr>
        <w:pStyle w:val="FootnoteText"/>
        <w:rPr>
          <w:lang w:val="en-US"/>
        </w:rPr>
      </w:pPr>
      <w:r>
        <w:rPr>
          <w:rStyle w:val="FootnoteReference"/>
        </w:rPr>
        <w:footnoteRef/>
      </w:r>
      <w:r w:rsidRPr="000B2190">
        <w:rPr>
          <w:lang w:val="en-US"/>
        </w:rPr>
        <w:t xml:space="preserve"> CBD/CP/MOP/11/6.</w:t>
      </w:r>
    </w:p>
  </w:footnote>
  <w:footnote w:id="32">
    <w:p w14:paraId="2F97A1A1" w14:textId="3962BD73" w:rsidR="00740991" w:rsidRPr="000B2190" w:rsidRDefault="00740991">
      <w:pPr>
        <w:pStyle w:val="FootnoteText"/>
        <w:rPr>
          <w:lang w:val="en-US"/>
        </w:rPr>
      </w:pPr>
      <w:r>
        <w:rPr>
          <w:rStyle w:val="FootnoteReference"/>
        </w:rPr>
        <w:footnoteRef/>
      </w:r>
      <w:r w:rsidRPr="000B2190">
        <w:rPr>
          <w:lang w:val="en-US"/>
        </w:rPr>
        <w:t xml:space="preserve"> CBD/CP/MOP/11/2, tema 8.</w:t>
      </w:r>
    </w:p>
  </w:footnote>
  <w:footnote w:id="33">
    <w:p w14:paraId="00124BCD" w14:textId="1ABF8033" w:rsidR="007A6DE7" w:rsidRPr="000B2190" w:rsidRDefault="007A6DE7" w:rsidP="007A6DE7">
      <w:pPr>
        <w:pStyle w:val="FootnoteText"/>
        <w:rPr>
          <w:lang w:val="en-US"/>
        </w:rPr>
      </w:pPr>
      <w:r>
        <w:rPr>
          <w:rStyle w:val="FootnoteReference"/>
        </w:rPr>
        <w:footnoteRef/>
      </w:r>
      <w:r w:rsidRPr="000B2190">
        <w:rPr>
          <w:lang w:val="en-US"/>
        </w:rPr>
        <w:t xml:space="preserve"> CBD/CP/MOP/11/7.</w:t>
      </w:r>
    </w:p>
  </w:footnote>
  <w:footnote w:id="34">
    <w:p w14:paraId="1D10E455" w14:textId="77777777" w:rsidR="00FD13CC" w:rsidRPr="000B2190" w:rsidRDefault="00FD13CC" w:rsidP="00FD13CC">
      <w:pPr>
        <w:pStyle w:val="FootnoteText"/>
        <w:rPr>
          <w:lang w:val="en-US"/>
        </w:rPr>
      </w:pPr>
      <w:r>
        <w:rPr>
          <w:rStyle w:val="FootnoteReference"/>
        </w:rPr>
        <w:footnoteRef/>
      </w:r>
      <w:r w:rsidRPr="000B2190">
        <w:rPr>
          <w:lang w:val="en-US"/>
        </w:rPr>
        <w:t xml:space="preserve"> CBD/CP/MOP/11/8/Rev.1.</w:t>
      </w:r>
    </w:p>
  </w:footnote>
  <w:footnote w:id="35">
    <w:p w14:paraId="635F003A" w14:textId="5633421D" w:rsidR="00F65A81" w:rsidRPr="000B2190" w:rsidRDefault="00F65A81">
      <w:pPr>
        <w:pStyle w:val="FootnoteText"/>
        <w:rPr>
          <w:lang w:val="en-US"/>
        </w:rPr>
      </w:pPr>
      <w:r>
        <w:rPr>
          <w:rStyle w:val="FootnoteReference"/>
        </w:rPr>
        <w:footnoteRef/>
      </w:r>
      <w:r w:rsidRPr="000B2190">
        <w:rPr>
          <w:lang w:val="en-US"/>
        </w:rPr>
        <w:t xml:space="preserve"> CBD/CP/MOP/11/2, tema 10.</w:t>
      </w:r>
    </w:p>
  </w:footnote>
  <w:footnote w:id="36">
    <w:p w14:paraId="49A10FA8" w14:textId="5A58AD1C" w:rsidR="008249AA" w:rsidRPr="000B2190" w:rsidRDefault="008249AA">
      <w:pPr>
        <w:pStyle w:val="FootnoteText"/>
        <w:rPr>
          <w:lang w:val="en-US"/>
        </w:rPr>
      </w:pPr>
      <w:r>
        <w:rPr>
          <w:rStyle w:val="FootnoteReference"/>
        </w:rPr>
        <w:footnoteRef/>
      </w:r>
      <w:r w:rsidRPr="000B2190">
        <w:rPr>
          <w:lang w:val="en-US"/>
        </w:rPr>
        <w:t xml:space="preserve"> CBD/CP/MOP/11/2, tema 11.</w:t>
      </w:r>
    </w:p>
  </w:footnote>
  <w:footnote w:id="37">
    <w:p w14:paraId="32DABCC5" w14:textId="77777777" w:rsidR="000D4E61" w:rsidRPr="000B2190" w:rsidRDefault="000D4E61" w:rsidP="000D4E61">
      <w:pPr>
        <w:pStyle w:val="FootnoteText"/>
        <w:rPr>
          <w:lang w:val="en-US"/>
        </w:rPr>
      </w:pPr>
      <w:r>
        <w:rPr>
          <w:rStyle w:val="FootnoteReference"/>
        </w:rPr>
        <w:footnoteRef/>
      </w:r>
      <w:r w:rsidRPr="000B2190">
        <w:rPr>
          <w:lang w:val="en-US"/>
        </w:rPr>
        <w:t xml:space="preserve"> CBD/CP/MOP/11/9.</w:t>
      </w:r>
    </w:p>
  </w:footnote>
  <w:footnote w:id="38">
    <w:p w14:paraId="7084734A" w14:textId="6C75AFD8" w:rsidR="00883C50" w:rsidRPr="000B2190" w:rsidRDefault="00883C50">
      <w:pPr>
        <w:pStyle w:val="FootnoteText"/>
        <w:rPr>
          <w:lang w:val="en-US"/>
        </w:rPr>
      </w:pPr>
      <w:r>
        <w:rPr>
          <w:rStyle w:val="FootnoteReference"/>
        </w:rPr>
        <w:footnoteRef/>
      </w:r>
      <w:r w:rsidRPr="000B2190">
        <w:rPr>
          <w:lang w:val="en-US"/>
        </w:rPr>
        <w:t xml:space="preserve"> CBD/CP/MOP/11/2, tema 12.</w:t>
      </w:r>
    </w:p>
  </w:footnote>
  <w:footnote w:id="39">
    <w:p w14:paraId="25D66E10" w14:textId="72D03AE7" w:rsidR="002550B1" w:rsidRPr="000B2190" w:rsidRDefault="002550B1">
      <w:pPr>
        <w:pStyle w:val="FootnoteText"/>
        <w:rPr>
          <w:lang w:val="en-US"/>
        </w:rPr>
      </w:pPr>
      <w:r>
        <w:rPr>
          <w:rStyle w:val="FootnoteReference"/>
        </w:rPr>
        <w:footnoteRef/>
      </w:r>
      <w:r w:rsidRPr="000B2190">
        <w:rPr>
          <w:lang w:val="en-US"/>
        </w:rPr>
        <w:t xml:space="preserve"> CBD/CP/MOP/11/2, tema 13.</w:t>
      </w:r>
    </w:p>
  </w:footnote>
  <w:footnote w:id="40">
    <w:p w14:paraId="715AE107" w14:textId="77777777" w:rsidR="00022AA4" w:rsidRPr="000B2190" w:rsidRDefault="00022AA4" w:rsidP="00022AA4">
      <w:pPr>
        <w:pStyle w:val="FootnoteText"/>
        <w:rPr>
          <w:lang w:val="en-US"/>
        </w:rPr>
      </w:pPr>
      <w:r>
        <w:rPr>
          <w:rStyle w:val="FootnoteReference"/>
        </w:rPr>
        <w:footnoteRef/>
      </w:r>
      <w:r w:rsidRPr="000B2190">
        <w:rPr>
          <w:lang w:val="en-US"/>
        </w:rPr>
        <w:t xml:space="preserve"> CBD/CP/MOP/11/10.</w:t>
      </w:r>
    </w:p>
  </w:footnote>
  <w:footnote w:id="41">
    <w:p w14:paraId="07DA2B52" w14:textId="030951C6" w:rsidR="00D40F99" w:rsidRPr="000B2190" w:rsidRDefault="00D40F99">
      <w:pPr>
        <w:pStyle w:val="FootnoteText"/>
        <w:rPr>
          <w:lang w:val="en-US"/>
        </w:rPr>
      </w:pPr>
      <w:r>
        <w:rPr>
          <w:rStyle w:val="FootnoteReference"/>
        </w:rPr>
        <w:footnoteRef/>
      </w:r>
      <w:r w:rsidRPr="000B2190">
        <w:rPr>
          <w:lang w:val="en-US"/>
        </w:rPr>
        <w:t xml:space="preserve"> CBD/CP/MOP/11/2, tema 14.</w:t>
      </w:r>
    </w:p>
  </w:footnote>
  <w:footnote w:id="42">
    <w:p w14:paraId="51D618CA" w14:textId="77777777" w:rsidR="001F3A26" w:rsidRPr="003B0604" w:rsidRDefault="001F3A26" w:rsidP="001F3A26">
      <w:pPr>
        <w:pStyle w:val="FootnoteText"/>
      </w:pPr>
      <w:r>
        <w:rPr>
          <w:rStyle w:val="FootnoteReference"/>
        </w:rPr>
        <w:footnoteRef/>
      </w:r>
      <w:r>
        <w:t xml:space="preserve"> CBD/CP/MOP/11/11.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137802784"/>
  <w:bookmarkStart w:id="18" w:name="_Hlk137802785"/>
  <w:p w14:paraId="2F8A26D5" w14:textId="17B3E96B" w:rsidR="002B559C" w:rsidRPr="00AA1338"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5329" w:rsidRPr="00AA1338">
          <w:rPr>
            <w:sz w:val="20"/>
            <w:szCs w:val="20"/>
          </w:rPr>
          <w:t>CBD/CP/MOP/11/L.1/Rev.1</w:t>
        </w:r>
      </w:sdtContent>
    </w:sdt>
    <w:bookmarkEnd w:id="17"/>
    <w:bookmarkEnd w:id="1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C0E5BA6" w:rsidR="002B559C" w:rsidRPr="00AA1338" w:rsidRDefault="00115329" w:rsidP="002B559C">
        <w:pPr>
          <w:pBdr>
            <w:bottom w:val="single" w:sz="4" w:space="1" w:color="auto"/>
          </w:pBdr>
          <w:spacing w:after="240"/>
          <w:jc w:val="right"/>
          <w:rPr>
            <w:sz w:val="20"/>
            <w:szCs w:val="20"/>
          </w:rPr>
        </w:pPr>
        <w:r w:rsidRPr="00AA1338">
          <w:rPr>
            <w:sz w:val="20"/>
            <w:szCs w:val="20"/>
          </w:rPr>
          <w:t>CBD/CP/MOP/11/L.1/Rev.1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7709070">
    <w:abstractNumId w:val="7"/>
  </w:num>
  <w:num w:numId="2" w16cid:durableId="1790472229">
    <w:abstractNumId w:val="0"/>
  </w:num>
  <w:num w:numId="3" w16cid:durableId="504367961">
    <w:abstractNumId w:val="2"/>
  </w:num>
  <w:num w:numId="4" w16cid:durableId="1797487963">
    <w:abstractNumId w:val="6"/>
  </w:num>
  <w:num w:numId="5" w16cid:durableId="1968311438">
    <w:abstractNumId w:val="1"/>
  </w:num>
  <w:num w:numId="6" w16cid:durableId="990911634">
    <w:abstractNumId w:val="5"/>
  </w:num>
  <w:num w:numId="7" w16cid:durableId="1711414913">
    <w:abstractNumId w:val="4"/>
  </w:num>
  <w:num w:numId="8" w16cid:durableId="71612983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80570820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881516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42435172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1F8"/>
    <w:rsid w:val="000008AD"/>
    <w:rsid w:val="000009D1"/>
    <w:rsid w:val="00000B1F"/>
    <w:rsid w:val="00000FDC"/>
    <w:rsid w:val="000011AB"/>
    <w:rsid w:val="00001250"/>
    <w:rsid w:val="00001C44"/>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4F9"/>
    <w:rsid w:val="00017B5D"/>
    <w:rsid w:val="00020E2E"/>
    <w:rsid w:val="00022AA4"/>
    <w:rsid w:val="0002373F"/>
    <w:rsid w:val="000243FD"/>
    <w:rsid w:val="0002491C"/>
    <w:rsid w:val="00024982"/>
    <w:rsid w:val="00025E82"/>
    <w:rsid w:val="000301D9"/>
    <w:rsid w:val="00030465"/>
    <w:rsid w:val="00030AC4"/>
    <w:rsid w:val="0003203C"/>
    <w:rsid w:val="00033DB3"/>
    <w:rsid w:val="00034A4C"/>
    <w:rsid w:val="00035500"/>
    <w:rsid w:val="000363D0"/>
    <w:rsid w:val="00040598"/>
    <w:rsid w:val="00040D0B"/>
    <w:rsid w:val="0004115E"/>
    <w:rsid w:val="00042345"/>
    <w:rsid w:val="0004334E"/>
    <w:rsid w:val="00043CF0"/>
    <w:rsid w:val="00043E83"/>
    <w:rsid w:val="000448CB"/>
    <w:rsid w:val="000456E7"/>
    <w:rsid w:val="00045A72"/>
    <w:rsid w:val="00047D4D"/>
    <w:rsid w:val="00051B37"/>
    <w:rsid w:val="00051B8E"/>
    <w:rsid w:val="0005487B"/>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49A"/>
    <w:rsid w:val="000714E6"/>
    <w:rsid w:val="0007157A"/>
    <w:rsid w:val="00074C6C"/>
    <w:rsid w:val="00075B94"/>
    <w:rsid w:val="00076608"/>
    <w:rsid w:val="00076AD4"/>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2190"/>
    <w:rsid w:val="000B433B"/>
    <w:rsid w:val="000B4DFE"/>
    <w:rsid w:val="000B4E83"/>
    <w:rsid w:val="000B5D52"/>
    <w:rsid w:val="000B6714"/>
    <w:rsid w:val="000B69D1"/>
    <w:rsid w:val="000B734B"/>
    <w:rsid w:val="000C180C"/>
    <w:rsid w:val="000C25A0"/>
    <w:rsid w:val="000C25A5"/>
    <w:rsid w:val="000C25DE"/>
    <w:rsid w:val="000C2759"/>
    <w:rsid w:val="000C34E1"/>
    <w:rsid w:val="000C4370"/>
    <w:rsid w:val="000C54F7"/>
    <w:rsid w:val="000C74F9"/>
    <w:rsid w:val="000D16A5"/>
    <w:rsid w:val="000D47B5"/>
    <w:rsid w:val="000D4E61"/>
    <w:rsid w:val="000D4F1B"/>
    <w:rsid w:val="000D648B"/>
    <w:rsid w:val="000D6591"/>
    <w:rsid w:val="000D6B03"/>
    <w:rsid w:val="000D6E91"/>
    <w:rsid w:val="000E0CBC"/>
    <w:rsid w:val="000E1404"/>
    <w:rsid w:val="000E1810"/>
    <w:rsid w:val="000E3CF8"/>
    <w:rsid w:val="000E4CCD"/>
    <w:rsid w:val="000E4D43"/>
    <w:rsid w:val="000E7539"/>
    <w:rsid w:val="000E7BA0"/>
    <w:rsid w:val="000E7F83"/>
    <w:rsid w:val="000F054D"/>
    <w:rsid w:val="000F0E94"/>
    <w:rsid w:val="000F16F9"/>
    <w:rsid w:val="000F1F57"/>
    <w:rsid w:val="000F3090"/>
    <w:rsid w:val="000F5346"/>
    <w:rsid w:val="000F55B7"/>
    <w:rsid w:val="000F5F1C"/>
    <w:rsid w:val="000F6361"/>
    <w:rsid w:val="000F6FBB"/>
    <w:rsid w:val="000F70FA"/>
    <w:rsid w:val="000F7213"/>
    <w:rsid w:val="000F773B"/>
    <w:rsid w:val="000F7F8A"/>
    <w:rsid w:val="00102F79"/>
    <w:rsid w:val="001038CE"/>
    <w:rsid w:val="00103ED5"/>
    <w:rsid w:val="00105E1E"/>
    <w:rsid w:val="00106AD0"/>
    <w:rsid w:val="00112162"/>
    <w:rsid w:val="00112C78"/>
    <w:rsid w:val="00112CC6"/>
    <w:rsid w:val="00113BD7"/>
    <w:rsid w:val="0011497F"/>
    <w:rsid w:val="00114EA8"/>
    <w:rsid w:val="00115329"/>
    <w:rsid w:val="00115557"/>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B99"/>
    <w:rsid w:val="001274B6"/>
    <w:rsid w:val="00127EE6"/>
    <w:rsid w:val="00127F29"/>
    <w:rsid w:val="00131910"/>
    <w:rsid w:val="00131A33"/>
    <w:rsid w:val="00132581"/>
    <w:rsid w:val="00132C81"/>
    <w:rsid w:val="001346B3"/>
    <w:rsid w:val="00134903"/>
    <w:rsid w:val="00136F8A"/>
    <w:rsid w:val="00137121"/>
    <w:rsid w:val="00140021"/>
    <w:rsid w:val="0014075A"/>
    <w:rsid w:val="00143C7A"/>
    <w:rsid w:val="0014784B"/>
    <w:rsid w:val="001478D9"/>
    <w:rsid w:val="00147CE6"/>
    <w:rsid w:val="00147DF8"/>
    <w:rsid w:val="00150E1D"/>
    <w:rsid w:val="00151C26"/>
    <w:rsid w:val="00152821"/>
    <w:rsid w:val="00152898"/>
    <w:rsid w:val="00153EAE"/>
    <w:rsid w:val="0015441A"/>
    <w:rsid w:val="00154D76"/>
    <w:rsid w:val="001558EC"/>
    <w:rsid w:val="00155DD1"/>
    <w:rsid w:val="0015660B"/>
    <w:rsid w:val="00156EBD"/>
    <w:rsid w:val="00157F6F"/>
    <w:rsid w:val="00162592"/>
    <w:rsid w:val="00162F37"/>
    <w:rsid w:val="001632C7"/>
    <w:rsid w:val="001633F8"/>
    <w:rsid w:val="00163993"/>
    <w:rsid w:val="00163D1D"/>
    <w:rsid w:val="00164246"/>
    <w:rsid w:val="00165881"/>
    <w:rsid w:val="00167F60"/>
    <w:rsid w:val="0017046C"/>
    <w:rsid w:val="00171C6C"/>
    <w:rsid w:val="00171C84"/>
    <w:rsid w:val="001723F2"/>
    <w:rsid w:val="001729CC"/>
    <w:rsid w:val="00173260"/>
    <w:rsid w:val="001736CA"/>
    <w:rsid w:val="00174869"/>
    <w:rsid w:val="00174920"/>
    <w:rsid w:val="00174C69"/>
    <w:rsid w:val="00174DC4"/>
    <w:rsid w:val="00175744"/>
    <w:rsid w:val="0017633A"/>
    <w:rsid w:val="00176EF3"/>
    <w:rsid w:val="0017742C"/>
    <w:rsid w:val="00182866"/>
    <w:rsid w:val="0018355D"/>
    <w:rsid w:val="00183BB7"/>
    <w:rsid w:val="001842F0"/>
    <w:rsid w:val="00184909"/>
    <w:rsid w:val="00185D1B"/>
    <w:rsid w:val="00187E36"/>
    <w:rsid w:val="00191171"/>
    <w:rsid w:val="001919AF"/>
    <w:rsid w:val="00191B8B"/>
    <w:rsid w:val="00191C16"/>
    <w:rsid w:val="00193052"/>
    <w:rsid w:val="00193CB8"/>
    <w:rsid w:val="00195B51"/>
    <w:rsid w:val="00195FE4"/>
    <w:rsid w:val="00196A49"/>
    <w:rsid w:val="0019772A"/>
    <w:rsid w:val="00197820"/>
    <w:rsid w:val="001A0034"/>
    <w:rsid w:val="001A04BF"/>
    <w:rsid w:val="001A0882"/>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619A"/>
    <w:rsid w:val="001B78BD"/>
    <w:rsid w:val="001B7F63"/>
    <w:rsid w:val="001C1AE5"/>
    <w:rsid w:val="001C1D8A"/>
    <w:rsid w:val="001C1EF4"/>
    <w:rsid w:val="001C320F"/>
    <w:rsid w:val="001C3225"/>
    <w:rsid w:val="001C40F9"/>
    <w:rsid w:val="001C5985"/>
    <w:rsid w:val="001C5E3D"/>
    <w:rsid w:val="001C60C8"/>
    <w:rsid w:val="001C6824"/>
    <w:rsid w:val="001C6B05"/>
    <w:rsid w:val="001C71E0"/>
    <w:rsid w:val="001D2459"/>
    <w:rsid w:val="001D2D16"/>
    <w:rsid w:val="001D2DD0"/>
    <w:rsid w:val="001D7BB9"/>
    <w:rsid w:val="001E1D93"/>
    <w:rsid w:val="001E2F4B"/>
    <w:rsid w:val="001E389B"/>
    <w:rsid w:val="001E3E90"/>
    <w:rsid w:val="001E448E"/>
    <w:rsid w:val="001E4566"/>
    <w:rsid w:val="001E6A05"/>
    <w:rsid w:val="001F0248"/>
    <w:rsid w:val="001F079B"/>
    <w:rsid w:val="001F08B5"/>
    <w:rsid w:val="001F1A75"/>
    <w:rsid w:val="001F209D"/>
    <w:rsid w:val="001F2A1A"/>
    <w:rsid w:val="001F2EA3"/>
    <w:rsid w:val="001F3A26"/>
    <w:rsid w:val="001F3F0A"/>
    <w:rsid w:val="001F3F92"/>
    <w:rsid w:val="001F762D"/>
    <w:rsid w:val="002009BD"/>
    <w:rsid w:val="00200A51"/>
    <w:rsid w:val="00200D17"/>
    <w:rsid w:val="00201CC1"/>
    <w:rsid w:val="00202BFD"/>
    <w:rsid w:val="0020331A"/>
    <w:rsid w:val="002039C1"/>
    <w:rsid w:val="00204E8B"/>
    <w:rsid w:val="00207736"/>
    <w:rsid w:val="00207B7C"/>
    <w:rsid w:val="002102C5"/>
    <w:rsid w:val="00211F68"/>
    <w:rsid w:val="0021219F"/>
    <w:rsid w:val="0021241E"/>
    <w:rsid w:val="002133DA"/>
    <w:rsid w:val="0021344F"/>
    <w:rsid w:val="00213780"/>
    <w:rsid w:val="0021408A"/>
    <w:rsid w:val="0021488E"/>
    <w:rsid w:val="00214B5F"/>
    <w:rsid w:val="00214C3A"/>
    <w:rsid w:val="00214D12"/>
    <w:rsid w:val="00215857"/>
    <w:rsid w:val="00215B99"/>
    <w:rsid w:val="00215FC5"/>
    <w:rsid w:val="002170D6"/>
    <w:rsid w:val="00217796"/>
    <w:rsid w:val="00221DFE"/>
    <w:rsid w:val="00224561"/>
    <w:rsid w:val="002259F5"/>
    <w:rsid w:val="00226A4A"/>
    <w:rsid w:val="0023094B"/>
    <w:rsid w:val="00233AEC"/>
    <w:rsid w:val="00233E34"/>
    <w:rsid w:val="00234D17"/>
    <w:rsid w:val="0023543A"/>
    <w:rsid w:val="002355ED"/>
    <w:rsid w:val="00235A6A"/>
    <w:rsid w:val="00236944"/>
    <w:rsid w:val="002437BA"/>
    <w:rsid w:val="0024417F"/>
    <w:rsid w:val="002446C9"/>
    <w:rsid w:val="00244774"/>
    <w:rsid w:val="00244F30"/>
    <w:rsid w:val="00245947"/>
    <w:rsid w:val="002468E0"/>
    <w:rsid w:val="002472F9"/>
    <w:rsid w:val="00247DC6"/>
    <w:rsid w:val="0025062E"/>
    <w:rsid w:val="00252AE4"/>
    <w:rsid w:val="002530CE"/>
    <w:rsid w:val="00253A54"/>
    <w:rsid w:val="002550B1"/>
    <w:rsid w:val="00255711"/>
    <w:rsid w:val="002559A4"/>
    <w:rsid w:val="00256861"/>
    <w:rsid w:val="002572A4"/>
    <w:rsid w:val="00257B18"/>
    <w:rsid w:val="00260381"/>
    <w:rsid w:val="00260D9F"/>
    <w:rsid w:val="00260E0B"/>
    <w:rsid w:val="002619BD"/>
    <w:rsid w:val="00262BA1"/>
    <w:rsid w:val="002630BF"/>
    <w:rsid w:val="002639D4"/>
    <w:rsid w:val="00264248"/>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3009"/>
    <w:rsid w:val="00285780"/>
    <w:rsid w:val="0028646E"/>
    <w:rsid w:val="00287378"/>
    <w:rsid w:val="00287B32"/>
    <w:rsid w:val="0029008A"/>
    <w:rsid w:val="00290BAF"/>
    <w:rsid w:val="00291781"/>
    <w:rsid w:val="00291D23"/>
    <w:rsid w:val="0029297A"/>
    <w:rsid w:val="00292B1E"/>
    <w:rsid w:val="00293CC8"/>
    <w:rsid w:val="002958CC"/>
    <w:rsid w:val="0029718A"/>
    <w:rsid w:val="00297255"/>
    <w:rsid w:val="002A0866"/>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6ED1"/>
    <w:rsid w:val="002B714B"/>
    <w:rsid w:val="002B7BE1"/>
    <w:rsid w:val="002C019E"/>
    <w:rsid w:val="002C0AB0"/>
    <w:rsid w:val="002C1B10"/>
    <w:rsid w:val="002C273F"/>
    <w:rsid w:val="002C2FE5"/>
    <w:rsid w:val="002C4809"/>
    <w:rsid w:val="002C4EF1"/>
    <w:rsid w:val="002C589A"/>
    <w:rsid w:val="002C5984"/>
    <w:rsid w:val="002C656B"/>
    <w:rsid w:val="002C65CC"/>
    <w:rsid w:val="002C7190"/>
    <w:rsid w:val="002D1876"/>
    <w:rsid w:val="002D1A51"/>
    <w:rsid w:val="002D202F"/>
    <w:rsid w:val="002D21D8"/>
    <w:rsid w:val="002D2790"/>
    <w:rsid w:val="002D27D9"/>
    <w:rsid w:val="002D402A"/>
    <w:rsid w:val="002D42D0"/>
    <w:rsid w:val="002D5579"/>
    <w:rsid w:val="002D561A"/>
    <w:rsid w:val="002D6803"/>
    <w:rsid w:val="002D69EF"/>
    <w:rsid w:val="002D6AAF"/>
    <w:rsid w:val="002D70BE"/>
    <w:rsid w:val="002D7EA8"/>
    <w:rsid w:val="002E0734"/>
    <w:rsid w:val="002E0B5E"/>
    <w:rsid w:val="002E23E8"/>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52EB"/>
    <w:rsid w:val="00316781"/>
    <w:rsid w:val="00316C1D"/>
    <w:rsid w:val="003171D4"/>
    <w:rsid w:val="003200AB"/>
    <w:rsid w:val="00320549"/>
    <w:rsid w:val="00320A08"/>
    <w:rsid w:val="0032130D"/>
    <w:rsid w:val="00323F22"/>
    <w:rsid w:val="003242BD"/>
    <w:rsid w:val="00325671"/>
    <w:rsid w:val="003263D5"/>
    <w:rsid w:val="0032775F"/>
    <w:rsid w:val="00330DEA"/>
    <w:rsid w:val="00331B4F"/>
    <w:rsid w:val="003334F2"/>
    <w:rsid w:val="00334413"/>
    <w:rsid w:val="0033445F"/>
    <w:rsid w:val="003349E4"/>
    <w:rsid w:val="00336C3F"/>
    <w:rsid w:val="00336E6E"/>
    <w:rsid w:val="0033711F"/>
    <w:rsid w:val="0033718E"/>
    <w:rsid w:val="0034007E"/>
    <w:rsid w:val="003405AD"/>
    <w:rsid w:val="00342119"/>
    <w:rsid w:val="00342651"/>
    <w:rsid w:val="0034273A"/>
    <w:rsid w:val="00342B37"/>
    <w:rsid w:val="0034322D"/>
    <w:rsid w:val="00344A6A"/>
    <w:rsid w:val="00344C6A"/>
    <w:rsid w:val="0034625E"/>
    <w:rsid w:val="003476A9"/>
    <w:rsid w:val="00350E21"/>
    <w:rsid w:val="0035127C"/>
    <w:rsid w:val="00351372"/>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1974"/>
    <w:rsid w:val="00362FB6"/>
    <w:rsid w:val="00364AA7"/>
    <w:rsid w:val="00366543"/>
    <w:rsid w:val="00366A66"/>
    <w:rsid w:val="00367AB2"/>
    <w:rsid w:val="00367D4D"/>
    <w:rsid w:val="00367F3C"/>
    <w:rsid w:val="003703DE"/>
    <w:rsid w:val="00370E99"/>
    <w:rsid w:val="00371C42"/>
    <w:rsid w:val="00372EE7"/>
    <w:rsid w:val="00373FA5"/>
    <w:rsid w:val="0037543C"/>
    <w:rsid w:val="00376A8A"/>
    <w:rsid w:val="00377528"/>
    <w:rsid w:val="003817A9"/>
    <w:rsid w:val="00382290"/>
    <w:rsid w:val="00382596"/>
    <w:rsid w:val="00383F78"/>
    <w:rsid w:val="00386CF0"/>
    <w:rsid w:val="00386EC3"/>
    <w:rsid w:val="00386FCD"/>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53C3"/>
    <w:rsid w:val="003A53FD"/>
    <w:rsid w:val="003A5F76"/>
    <w:rsid w:val="003A6063"/>
    <w:rsid w:val="003A668C"/>
    <w:rsid w:val="003A6925"/>
    <w:rsid w:val="003A6A94"/>
    <w:rsid w:val="003B0604"/>
    <w:rsid w:val="003B10AB"/>
    <w:rsid w:val="003B26FD"/>
    <w:rsid w:val="003B3573"/>
    <w:rsid w:val="003B4857"/>
    <w:rsid w:val="003B6212"/>
    <w:rsid w:val="003B6BF3"/>
    <w:rsid w:val="003B736C"/>
    <w:rsid w:val="003C002D"/>
    <w:rsid w:val="003C079A"/>
    <w:rsid w:val="003C0A75"/>
    <w:rsid w:val="003C0F0A"/>
    <w:rsid w:val="003C1BEA"/>
    <w:rsid w:val="003C2C3B"/>
    <w:rsid w:val="003C4451"/>
    <w:rsid w:val="003C4D97"/>
    <w:rsid w:val="003C4FA7"/>
    <w:rsid w:val="003C51D3"/>
    <w:rsid w:val="003C6E20"/>
    <w:rsid w:val="003C6F10"/>
    <w:rsid w:val="003C75C5"/>
    <w:rsid w:val="003D03B9"/>
    <w:rsid w:val="003D04E7"/>
    <w:rsid w:val="003D069E"/>
    <w:rsid w:val="003D1870"/>
    <w:rsid w:val="003D22D7"/>
    <w:rsid w:val="003D240E"/>
    <w:rsid w:val="003D359A"/>
    <w:rsid w:val="003D3A68"/>
    <w:rsid w:val="003D3E92"/>
    <w:rsid w:val="003D62DE"/>
    <w:rsid w:val="003D6731"/>
    <w:rsid w:val="003D6FE8"/>
    <w:rsid w:val="003D748F"/>
    <w:rsid w:val="003D7DB4"/>
    <w:rsid w:val="003E3210"/>
    <w:rsid w:val="003E44D0"/>
    <w:rsid w:val="003E44D7"/>
    <w:rsid w:val="003E5517"/>
    <w:rsid w:val="003E5C01"/>
    <w:rsid w:val="003E6A9F"/>
    <w:rsid w:val="003E717B"/>
    <w:rsid w:val="003F0082"/>
    <w:rsid w:val="003F0B34"/>
    <w:rsid w:val="003F428E"/>
    <w:rsid w:val="003F4885"/>
    <w:rsid w:val="003F4A35"/>
    <w:rsid w:val="003F6858"/>
    <w:rsid w:val="003F69A1"/>
    <w:rsid w:val="003F6F72"/>
    <w:rsid w:val="003F77F3"/>
    <w:rsid w:val="003F7C9F"/>
    <w:rsid w:val="00400010"/>
    <w:rsid w:val="00402040"/>
    <w:rsid w:val="00402798"/>
    <w:rsid w:val="00404B5C"/>
    <w:rsid w:val="00404DB0"/>
    <w:rsid w:val="00406035"/>
    <w:rsid w:val="004063FA"/>
    <w:rsid w:val="00414F8C"/>
    <w:rsid w:val="00415323"/>
    <w:rsid w:val="00416906"/>
    <w:rsid w:val="00416C76"/>
    <w:rsid w:val="00417524"/>
    <w:rsid w:val="00420EDD"/>
    <w:rsid w:val="00421456"/>
    <w:rsid w:val="00423B16"/>
    <w:rsid w:val="00424B2A"/>
    <w:rsid w:val="00425F19"/>
    <w:rsid w:val="004268A5"/>
    <w:rsid w:val="0042712B"/>
    <w:rsid w:val="00430A2B"/>
    <w:rsid w:val="00430A75"/>
    <w:rsid w:val="00431A9C"/>
    <w:rsid w:val="00432050"/>
    <w:rsid w:val="004335E2"/>
    <w:rsid w:val="004338B9"/>
    <w:rsid w:val="0043420D"/>
    <w:rsid w:val="00435A96"/>
    <w:rsid w:val="00435E81"/>
    <w:rsid w:val="0043718E"/>
    <w:rsid w:val="004372B3"/>
    <w:rsid w:val="00437ED1"/>
    <w:rsid w:val="00441E5C"/>
    <w:rsid w:val="00442C4B"/>
    <w:rsid w:val="00445062"/>
    <w:rsid w:val="00445AE3"/>
    <w:rsid w:val="00445BEA"/>
    <w:rsid w:val="00446200"/>
    <w:rsid w:val="004462F2"/>
    <w:rsid w:val="004470B8"/>
    <w:rsid w:val="004476FB"/>
    <w:rsid w:val="004517F8"/>
    <w:rsid w:val="00451DFE"/>
    <w:rsid w:val="004521A0"/>
    <w:rsid w:val="004526FA"/>
    <w:rsid w:val="004566F3"/>
    <w:rsid w:val="00456AE4"/>
    <w:rsid w:val="004570B9"/>
    <w:rsid w:val="00460D9A"/>
    <w:rsid w:val="004616CB"/>
    <w:rsid w:val="004627E7"/>
    <w:rsid w:val="004631EB"/>
    <w:rsid w:val="00463779"/>
    <w:rsid w:val="00463BFB"/>
    <w:rsid w:val="00466E54"/>
    <w:rsid w:val="004701EE"/>
    <w:rsid w:val="00470496"/>
    <w:rsid w:val="00470634"/>
    <w:rsid w:val="00471154"/>
    <w:rsid w:val="00471CB8"/>
    <w:rsid w:val="00473709"/>
    <w:rsid w:val="00473903"/>
    <w:rsid w:val="00473A27"/>
    <w:rsid w:val="00474A1A"/>
    <w:rsid w:val="00476E03"/>
    <w:rsid w:val="00477D2C"/>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62F7"/>
    <w:rsid w:val="00496479"/>
    <w:rsid w:val="00496C71"/>
    <w:rsid w:val="00497538"/>
    <w:rsid w:val="0049771C"/>
    <w:rsid w:val="00497D9A"/>
    <w:rsid w:val="004A0193"/>
    <w:rsid w:val="004A01E6"/>
    <w:rsid w:val="004A085B"/>
    <w:rsid w:val="004A118C"/>
    <w:rsid w:val="004A1441"/>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00A7"/>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5A6"/>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57D7"/>
    <w:rsid w:val="00535E0D"/>
    <w:rsid w:val="00535E0F"/>
    <w:rsid w:val="00535E8A"/>
    <w:rsid w:val="005364D9"/>
    <w:rsid w:val="00537248"/>
    <w:rsid w:val="00537419"/>
    <w:rsid w:val="00537BA9"/>
    <w:rsid w:val="00541AA8"/>
    <w:rsid w:val="00545117"/>
    <w:rsid w:val="00546525"/>
    <w:rsid w:val="00546A24"/>
    <w:rsid w:val="00547C8B"/>
    <w:rsid w:val="00550394"/>
    <w:rsid w:val="00551650"/>
    <w:rsid w:val="00552E57"/>
    <w:rsid w:val="00553515"/>
    <w:rsid w:val="00553DC5"/>
    <w:rsid w:val="0055617E"/>
    <w:rsid w:val="00556CF2"/>
    <w:rsid w:val="00557370"/>
    <w:rsid w:val="00557A5E"/>
    <w:rsid w:val="00561F0C"/>
    <w:rsid w:val="0056265D"/>
    <w:rsid w:val="0056296E"/>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CA3"/>
    <w:rsid w:val="00575A16"/>
    <w:rsid w:val="005769CE"/>
    <w:rsid w:val="005779EB"/>
    <w:rsid w:val="00580DCF"/>
    <w:rsid w:val="00580F2D"/>
    <w:rsid w:val="00581804"/>
    <w:rsid w:val="00584E4F"/>
    <w:rsid w:val="005852BD"/>
    <w:rsid w:val="00586722"/>
    <w:rsid w:val="00586D77"/>
    <w:rsid w:val="00587309"/>
    <w:rsid w:val="00590B00"/>
    <w:rsid w:val="0059131D"/>
    <w:rsid w:val="0059159D"/>
    <w:rsid w:val="00592CD5"/>
    <w:rsid w:val="005930E9"/>
    <w:rsid w:val="00593470"/>
    <w:rsid w:val="00593933"/>
    <w:rsid w:val="00594B4E"/>
    <w:rsid w:val="0059523D"/>
    <w:rsid w:val="00596821"/>
    <w:rsid w:val="00596EE4"/>
    <w:rsid w:val="005A0118"/>
    <w:rsid w:val="005A05C8"/>
    <w:rsid w:val="005A089C"/>
    <w:rsid w:val="005A0B25"/>
    <w:rsid w:val="005A116F"/>
    <w:rsid w:val="005A1F8C"/>
    <w:rsid w:val="005A206E"/>
    <w:rsid w:val="005A209C"/>
    <w:rsid w:val="005A3209"/>
    <w:rsid w:val="005A3C23"/>
    <w:rsid w:val="005A4CF5"/>
    <w:rsid w:val="005A56EB"/>
    <w:rsid w:val="005A60E8"/>
    <w:rsid w:val="005B1CCB"/>
    <w:rsid w:val="005B1F83"/>
    <w:rsid w:val="005B22F5"/>
    <w:rsid w:val="005B3385"/>
    <w:rsid w:val="005B4E4B"/>
    <w:rsid w:val="005B54E4"/>
    <w:rsid w:val="005B7E5E"/>
    <w:rsid w:val="005C0045"/>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7F3"/>
    <w:rsid w:val="005E2605"/>
    <w:rsid w:val="005E30AC"/>
    <w:rsid w:val="005E3308"/>
    <w:rsid w:val="005E44DA"/>
    <w:rsid w:val="005E4A59"/>
    <w:rsid w:val="005E6457"/>
    <w:rsid w:val="005E6703"/>
    <w:rsid w:val="005E6B9C"/>
    <w:rsid w:val="005E6E93"/>
    <w:rsid w:val="005F004F"/>
    <w:rsid w:val="005F1066"/>
    <w:rsid w:val="005F12BA"/>
    <w:rsid w:val="005F26EF"/>
    <w:rsid w:val="005F3251"/>
    <w:rsid w:val="005F4E87"/>
    <w:rsid w:val="005F5F00"/>
    <w:rsid w:val="005F6331"/>
    <w:rsid w:val="005F6573"/>
    <w:rsid w:val="005F6883"/>
    <w:rsid w:val="005F6A00"/>
    <w:rsid w:val="005F73BA"/>
    <w:rsid w:val="006024A7"/>
    <w:rsid w:val="006031EF"/>
    <w:rsid w:val="00603DFD"/>
    <w:rsid w:val="00603F8B"/>
    <w:rsid w:val="00605200"/>
    <w:rsid w:val="006077F3"/>
    <w:rsid w:val="00610C79"/>
    <w:rsid w:val="006123EF"/>
    <w:rsid w:val="0061367A"/>
    <w:rsid w:val="006143F6"/>
    <w:rsid w:val="00614F60"/>
    <w:rsid w:val="00615138"/>
    <w:rsid w:val="00615E50"/>
    <w:rsid w:val="00616159"/>
    <w:rsid w:val="00616B9C"/>
    <w:rsid w:val="00617168"/>
    <w:rsid w:val="00620CD7"/>
    <w:rsid w:val="00620D2D"/>
    <w:rsid w:val="00621920"/>
    <w:rsid w:val="00622057"/>
    <w:rsid w:val="00622D03"/>
    <w:rsid w:val="006236F9"/>
    <w:rsid w:val="006240F3"/>
    <w:rsid w:val="006246CB"/>
    <w:rsid w:val="00624784"/>
    <w:rsid w:val="006256A6"/>
    <w:rsid w:val="00625C9B"/>
    <w:rsid w:val="006265BB"/>
    <w:rsid w:val="00627404"/>
    <w:rsid w:val="006305AE"/>
    <w:rsid w:val="006306BA"/>
    <w:rsid w:val="006314DB"/>
    <w:rsid w:val="00631EE7"/>
    <w:rsid w:val="0063251F"/>
    <w:rsid w:val="0063335D"/>
    <w:rsid w:val="00637608"/>
    <w:rsid w:val="00637962"/>
    <w:rsid w:val="006418D5"/>
    <w:rsid w:val="006419E5"/>
    <w:rsid w:val="00642413"/>
    <w:rsid w:val="00642A26"/>
    <w:rsid w:val="00643E3D"/>
    <w:rsid w:val="006443BD"/>
    <w:rsid w:val="00644AD7"/>
    <w:rsid w:val="0064552E"/>
    <w:rsid w:val="0064559A"/>
    <w:rsid w:val="006456F1"/>
    <w:rsid w:val="00650039"/>
    <w:rsid w:val="006523B3"/>
    <w:rsid w:val="0065526C"/>
    <w:rsid w:val="00655BD3"/>
    <w:rsid w:val="00655D19"/>
    <w:rsid w:val="00657ED6"/>
    <w:rsid w:val="00660948"/>
    <w:rsid w:val="0066179A"/>
    <w:rsid w:val="00661BF2"/>
    <w:rsid w:val="00661C36"/>
    <w:rsid w:val="00663D2C"/>
    <w:rsid w:val="0066402B"/>
    <w:rsid w:val="00665474"/>
    <w:rsid w:val="00666286"/>
    <w:rsid w:val="00666782"/>
    <w:rsid w:val="006667CD"/>
    <w:rsid w:val="00666E24"/>
    <w:rsid w:val="006709B5"/>
    <w:rsid w:val="00670C74"/>
    <w:rsid w:val="00671289"/>
    <w:rsid w:val="006720BE"/>
    <w:rsid w:val="0067368A"/>
    <w:rsid w:val="00675221"/>
    <w:rsid w:val="00675373"/>
    <w:rsid w:val="006759C1"/>
    <w:rsid w:val="00675F55"/>
    <w:rsid w:val="0067600B"/>
    <w:rsid w:val="0067671B"/>
    <w:rsid w:val="006800DF"/>
    <w:rsid w:val="00680593"/>
    <w:rsid w:val="00680FB6"/>
    <w:rsid w:val="0068175F"/>
    <w:rsid w:val="006826F9"/>
    <w:rsid w:val="0068292C"/>
    <w:rsid w:val="00682E81"/>
    <w:rsid w:val="0068334D"/>
    <w:rsid w:val="006839F0"/>
    <w:rsid w:val="00684117"/>
    <w:rsid w:val="00684AAF"/>
    <w:rsid w:val="00684CF0"/>
    <w:rsid w:val="00684E3A"/>
    <w:rsid w:val="00685668"/>
    <w:rsid w:val="00685DFD"/>
    <w:rsid w:val="0068687A"/>
    <w:rsid w:val="00687670"/>
    <w:rsid w:val="006905B0"/>
    <w:rsid w:val="0069082E"/>
    <w:rsid w:val="00690B67"/>
    <w:rsid w:val="00690F39"/>
    <w:rsid w:val="00691611"/>
    <w:rsid w:val="00691CFA"/>
    <w:rsid w:val="00694C51"/>
    <w:rsid w:val="006954EA"/>
    <w:rsid w:val="00696A42"/>
    <w:rsid w:val="006A1264"/>
    <w:rsid w:val="006A13A8"/>
    <w:rsid w:val="006A1C71"/>
    <w:rsid w:val="006A24E7"/>
    <w:rsid w:val="006A25D9"/>
    <w:rsid w:val="006A2906"/>
    <w:rsid w:val="006A2EB7"/>
    <w:rsid w:val="006A3C15"/>
    <w:rsid w:val="006A4402"/>
    <w:rsid w:val="006A5260"/>
    <w:rsid w:val="006A6489"/>
    <w:rsid w:val="006A6821"/>
    <w:rsid w:val="006A6C73"/>
    <w:rsid w:val="006A75CD"/>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723A"/>
    <w:rsid w:val="006C0D76"/>
    <w:rsid w:val="006C0F84"/>
    <w:rsid w:val="006C12B1"/>
    <w:rsid w:val="006C13BA"/>
    <w:rsid w:val="006C3CEC"/>
    <w:rsid w:val="006C41E6"/>
    <w:rsid w:val="006D0150"/>
    <w:rsid w:val="006D050E"/>
    <w:rsid w:val="006D05A6"/>
    <w:rsid w:val="006D06EC"/>
    <w:rsid w:val="006D1FC0"/>
    <w:rsid w:val="006D2225"/>
    <w:rsid w:val="006D253B"/>
    <w:rsid w:val="006D29BB"/>
    <w:rsid w:val="006D3402"/>
    <w:rsid w:val="006D45E0"/>
    <w:rsid w:val="006D4817"/>
    <w:rsid w:val="006D488C"/>
    <w:rsid w:val="006D4E67"/>
    <w:rsid w:val="006D57A3"/>
    <w:rsid w:val="006D57E9"/>
    <w:rsid w:val="006D6C59"/>
    <w:rsid w:val="006D752D"/>
    <w:rsid w:val="006E02DD"/>
    <w:rsid w:val="006E0832"/>
    <w:rsid w:val="006E0C34"/>
    <w:rsid w:val="006E1286"/>
    <w:rsid w:val="006E32DA"/>
    <w:rsid w:val="006E4489"/>
    <w:rsid w:val="006E44B4"/>
    <w:rsid w:val="006E5EBE"/>
    <w:rsid w:val="006E6EA0"/>
    <w:rsid w:val="006E71FA"/>
    <w:rsid w:val="006E7820"/>
    <w:rsid w:val="006F0978"/>
    <w:rsid w:val="006F11C3"/>
    <w:rsid w:val="006F22B0"/>
    <w:rsid w:val="006F3B36"/>
    <w:rsid w:val="006F40D4"/>
    <w:rsid w:val="006F5712"/>
    <w:rsid w:val="006F5DDC"/>
    <w:rsid w:val="006F7367"/>
    <w:rsid w:val="006F791E"/>
    <w:rsid w:val="006F7F9D"/>
    <w:rsid w:val="00700727"/>
    <w:rsid w:val="007008FC"/>
    <w:rsid w:val="00700A64"/>
    <w:rsid w:val="00700DF9"/>
    <w:rsid w:val="00703450"/>
    <w:rsid w:val="007037D8"/>
    <w:rsid w:val="007040FA"/>
    <w:rsid w:val="0070457B"/>
    <w:rsid w:val="00705BE1"/>
    <w:rsid w:val="007067C5"/>
    <w:rsid w:val="00706B7F"/>
    <w:rsid w:val="00707845"/>
    <w:rsid w:val="00707FE7"/>
    <w:rsid w:val="00710C3A"/>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6568"/>
    <w:rsid w:val="00726736"/>
    <w:rsid w:val="007300CB"/>
    <w:rsid w:val="00730751"/>
    <w:rsid w:val="0073107A"/>
    <w:rsid w:val="007316B7"/>
    <w:rsid w:val="00731B58"/>
    <w:rsid w:val="00733754"/>
    <w:rsid w:val="00733940"/>
    <w:rsid w:val="00735005"/>
    <w:rsid w:val="00736694"/>
    <w:rsid w:val="00736DCA"/>
    <w:rsid w:val="007379BE"/>
    <w:rsid w:val="00737A96"/>
    <w:rsid w:val="00740534"/>
    <w:rsid w:val="00740991"/>
    <w:rsid w:val="00740E50"/>
    <w:rsid w:val="0074200E"/>
    <w:rsid w:val="00742AC8"/>
    <w:rsid w:val="0074412F"/>
    <w:rsid w:val="00745147"/>
    <w:rsid w:val="00746721"/>
    <w:rsid w:val="00746C94"/>
    <w:rsid w:val="00752D4B"/>
    <w:rsid w:val="00753156"/>
    <w:rsid w:val="00753BAC"/>
    <w:rsid w:val="00754166"/>
    <w:rsid w:val="00754214"/>
    <w:rsid w:val="007544E8"/>
    <w:rsid w:val="0075458F"/>
    <w:rsid w:val="00754801"/>
    <w:rsid w:val="007553C1"/>
    <w:rsid w:val="00755C10"/>
    <w:rsid w:val="00755D74"/>
    <w:rsid w:val="00757484"/>
    <w:rsid w:val="007605DD"/>
    <w:rsid w:val="00761BBE"/>
    <w:rsid w:val="00764EAD"/>
    <w:rsid w:val="007659D7"/>
    <w:rsid w:val="00765A58"/>
    <w:rsid w:val="0076668C"/>
    <w:rsid w:val="00766756"/>
    <w:rsid w:val="007668D6"/>
    <w:rsid w:val="007671BA"/>
    <w:rsid w:val="0076734A"/>
    <w:rsid w:val="00767F72"/>
    <w:rsid w:val="00770822"/>
    <w:rsid w:val="007731F3"/>
    <w:rsid w:val="00774673"/>
    <w:rsid w:val="007751E8"/>
    <w:rsid w:val="00776848"/>
    <w:rsid w:val="0078196D"/>
    <w:rsid w:val="00782D7B"/>
    <w:rsid w:val="00783751"/>
    <w:rsid w:val="0078500E"/>
    <w:rsid w:val="007853F5"/>
    <w:rsid w:val="0078682D"/>
    <w:rsid w:val="00786865"/>
    <w:rsid w:val="00786C6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EBD"/>
    <w:rsid w:val="007A7ED7"/>
    <w:rsid w:val="007B0359"/>
    <w:rsid w:val="007B1B95"/>
    <w:rsid w:val="007B4273"/>
    <w:rsid w:val="007B4341"/>
    <w:rsid w:val="007B4840"/>
    <w:rsid w:val="007B5061"/>
    <w:rsid w:val="007B55D5"/>
    <w:rsid w:val="007B58CE"/>
    <w:rsid w:val="007B60F1"/>
    <w:rsid w:val="007B6395"/>
    <w:rsid w:val="007C1056"/>
    <w:rsid w:val="007C234F"/>
    <w:rsid w:val="007C40EA"/>
    <w:rsid w:val="007C4292"/>
    <w:rsid w:val="007C4A5D"/>
    <w:rsid w:val="007C4D34"/>
    <w:rsid w:val="007C4E0C"/>
    <w:rsid w:val="007C5764"/>
    <w:rsid w:val="007C65DA"/>
    <w:rsid w:val="007C77BC"/>
    <w:rsid w:val="007D0624"/>
    <w:rsid w:val="007D2021"/>
    <w:rsid w:val="007D22B3"/>
    <w:rsid w:val="007D23A7"/>
    <w:rsid w:val="007D2B41"/>
    <w:rsid w:val="007D4E7F"/>
    <w:rsid w:val="007D5AC9"/>
    <w:rsid w:val="007E1020"/>
    <w:rsid w:val="007E12C0"/>
    <w:rsid w:val="007E1698"/>
    <w:rsid w:val="007E1DB9"/>
    <w:rsid w:val="007E1F85"/>
    <w:rsid w:val="007E2135"/>
    <w:rsid w:val="007E2342"/>
    <w:rsid w:val="007E2863"/>
    <w:rsid w:val="007E29D9"/>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3510"/>
    <w:rsid w:val="00803E96"/>
    <w:rsid w:val="008047B0"/>
    <w:rsid w:val="00804BA8"/>
    <w:rsid w:val="00805292"/>
    <w:rsid w:val="00805689"/>
    <w:rsid w:val="008060B6"/>
    <w:rsid w:val="0080647C"/>
    <w:rsid w:val="00806BDD"/>
    <w:rsid w:val="008079B4"/>
    <w:rsid w:val="00807B9C"/>
    <w:rsid w:val="00810EE4"/>
    <w:rsid w:val="00812237"/>
    <w:rsid w:val="00812EE8"/>
    <w:rsid w:val="00814249"/>
    <w:rsid w:val="0081493B"/>
    <w:rsid w:val="00814D5C"/>
    <w:rsid w:val="00814E04"/>
    <w:rsid w:val="0081553B"/>
    <w:rsid w:val="00816F6C"/>
    <w:rsid w:val="00816FD4"/>
    <w:rsid w:val="0082195E"/>
    <w:rsid w:val="00821AFC"/>
    <w:rsid w:val="00821B9B"/>
    <w:rsid w:val="0082394F"/>
    <w:rsid w:val="00823A9A"/>
    <w:rsid w:val="00823B7B"/>
    <w:rsid w:val="0082433B"/>
    <w:rsid w:val="008249AA"/>
    <w:rsid w:val="00824D08"/>
    <w:rsid w:val="00824DDE"/>
    <w:rsid w:val="008270BA"/>
    <w:rsid w:val="00827AC0"/>
    <w:rsid w:val="00830B8C"/>
    <w:rsid w:val="008313B7"/>
    <w:rsid w:val="00836ECA"/>
    <w:rsid w:val="00841ADE"/>
    <w:rsid w:val="00842669"/>
    <w:rsid w:val="00844946"/>
    <w:rsid w:val="0084573E"/>
    <w:rsid w:val="00846FDA"/>
    <w:rsid w:val="008478BD"/>
    <w:rsid w:val="008479B9"/>
    <w:rsid w:val="00847DE7"/>
    <w:rsid w:val="00850BB6"/>
    <w:rsid w:val="00852C29"/>
    <w:rsid w:val="008554BE"/>
    <w:rsid w:val="00856078"/>
    <w:rsid w:val="0085638E"/>
    <w:rsid w:val="00856C81"/>
    <w:rsid w:val="00856F2F"/>
    <w:rsid w:val="008570CA"/>
    <w:rsid w:val="0086247D"/>
    <w:rsid w:val="00862B5F"/>
    <w:rsid w:val="0086338D"/>
    <w:rsid w:val="00863A09"/>
    <w:rsid w:val="00863B45"/>
    <w:rsid w:val="0086425D"/>
    <w:rsid w:val="00864E89"/>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4B1E"/>
    <w:rsid w:val="008953EE"/>
    <w:rsid w:val="008964A7"/>
    <w:rsid w:val="00897B0D"/>
    <w:rsid w:val="00897D30"/>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291B"/>
    <w:rsid w:val="008B32A3"/>
    <w:rsid w:val="008B36B0"/>
    <w:rsid w:val="008B36C3"/>
    <w:rsid w:val="008B3A0D"/>
    <w:rsid w:val="008B6068"/>
    <w:rsid w:val="008B6928"/>
    <w:rsid w:val="008B78FC"/>
    <w:rsid w:val="008C0F7B"/>
    <w:rsid w:val="008C2603"/>
    <w:rsid w:val="008C2CDA"/>
    <w:rsid w:val="008C3705"/>
    <w:rsid w:val="008C39FA"/>
    <w:rsid w:val="008C4AA8"/>
    <w:rsid w:val="008C5693"/>
    <w:rsid w:val="008C5F3C"/>
    <w:rsid w:val="008C77CB"/>
    <w:rsid w:val="008C7AE7"/>
    <w:rsid w:val="008C7EAE"/>
    <w:rsid w:val="008D0427"/>
    <w:rsid w:val="008D2345"/>
    <w:rsid w:val="008D2EBD"/>
    <w:rsid w:val="008D3488"/>
    <w:rsid w:val="008D3914"/>
    <w:rsid w:val="008D3B62"/>
    <w:rsid w:val="008D4B8E"/>
    <w:rsid w:val="008D651F"/>
    <w:rsid w:val="008D701B"/>
    <w:rsid w:val="008D7F3C"/>
    <w:rsid w:val="008E00AF"/>
    <w:rsid w:val="008E0581"/>
    <w:rsid w:val="008E1477"/>
    <w:rsid w:val="008E18D3"/>
    <w:rsid w:val="008E1F4C"/>
    <w:rsid w:val="008E257B"/>
    <w:rsid w:val="008E3361"/>
    <w:rsid w:val="008E3EDB"/>
    <w:rsid w:val="008E42D8"/>
    <w:rsid w:val="008E530C"/>
    <w:rsid w:val="008E616A"/>
    <w:rsid w:val="008E662F"/>
    <w:rsid w:val="008E70DC"/>
    <w:rsid w:val="008F0AF2"/>
    <w:rsid w:val="008F2FCE"/>
    <w:rsid w:val="008F42EB"/>
    <w:rsid w:val="008F4E3F"/>
    <w:rsid w:val="008F70F7"/>
    <w:rsid w:val="008F7427"/>
    <w:rsid w:val="008F7965"/>
    <w:rsid w:val="009006FC"/>
    <w:rsid w:val="009021F3"/>
    <w:rsid w:val="00903066"/>
    <w:rsid w:val="009037F9"/>
    <w:rsid w:val="0090555D"/>
    <w:rsid w:val="00905BEB"/>
    <w:rsid w:val="00907398"/>
    <w:rsid w:val="00907C1A"/>
    <w:rsid w:val="009107B3"/>
    <w:rsid w:val="00910A70"/>
    <w:rsid w:val="009148CF"/>
    <w:rsid w:val="00914F4A"/>
    <w:rsid w:val="00914FFF"/>
    <w:rsid w:val="009159EE"/>
    <w:rsid w:val="00917091"/>
    <w:rsid w:val="00917222"/>
    <w:rsid w:val="00920B95"/>
    <w:rsid w:val="00921320"/>
    <w:rsid w:val="00921865"/>
    <w:rsid w:val="00922554"/>
    <w:rsid w:val="00923238"/>
    <w:rsid w:val="00923746"/>
    <w:rsid w:val="00923A0F"/>
    <w:rsid w:val="00924B82"/>
    <w:rsid w:val="00924D62"/>
    <w:rsid w:val="00925B1C"/>
    <w:rsid w:val="0093460F"/>
    <w:rsid w:val="0093532A"/>
    <w:rsid w:val="00935461"/>
    <w:rsid w:val="009371E1"/>
    <w:rsid w:val="00940B92"/>
    <w:rsid w:val="009413CC"/>
    <w:rsid w:val="009427DA"/>
    <w:rsid w:val="00943622"/>
    <w:rsid w:val="009463B3"/>
    <w:rsid w:val="00946D00"/>
    <w:rsid w:val="00946EE1"/>
    <w:rsid w:val="009475F0"/>
    <w:rsid w:val="009477EA"/>
    <w:rsid w:val="0095089E"/>
    <w:rsid w:val="0095137B"/>
    <w:rsid w:val="009515B8"/>
    <w:rsid w:val="00951657"/>
    <w:rsid w:val="00951EC1"/>
    <w:rsid w:val="00953794"/>
    <w:rsid w:val="00953E4C"/>
    <w:rsid w:val="0095460B"/>
    <w:rsid w:val="00956177"/>
    <w:rsid w:val="00957A5C"/>
    <w:rsid w:val="00961919"/>
    <w:rsid w:val="0096246A"/>
    <w:rsid w:val="00962667"/>
    <w:rsid w:val="0096319C"/>
    <w:rsid w:val="00964CBC"/>
    <w:rsid w:val="009659FA"/>
    <w:rsid w:val="00970731"/>
    <w:rsid w:val="0097150A"/>
    <w:rsid w:val="0097184F"/>
    <w:rsid w:val="00971F76"/>
    <w:rsid w:val="00972E1F"/>
    <w:rsid w:val="00973D94"/>
    <w:rsid w:val="00976893"/>
    <w:rsid w:val="00976E5A"/>
    <w:rsid w:val="00976F92"/>
    <w:rsid w:val="009770D6"/>
    <w:rsid w:val="009776DD"/>
    <w:rsid w:val="00977AE9"/>
    <w:rsid w:val="00980541"/>
    <w:rsid w:val="009805ED"/>
    <w:rsid w:val="00981307"/>
    <w:rsid w:val="009813DA"/>
    <w:rsid w:val="00981686"/>
    <w:rsid w:val="00981C20"/>
    <w:rsid w:val="009831DC"/>
    <w:rsid w:val="00983C93"/>
    <w:rsid w:val="009858AF"/>
    <w:rsid w:val="009863D2"/>
    <w:rsid w:val="00986A4D"/>
    <w:rsid w:val="00987DD3"/>
    <w:rsid w:val="009911AD"/>
    <w:rsid w:val="00991D9E"/>
    <w:rsid w:val="00992C49"/>
    <w:rsid w:val="00992F32"/>
    <w:rsid w:val="00993FF5"/>
    <w:rsid w:val="009940F0"/>
    <w:rsid w:val="0099552F"/>
    <w:rsid w:val="00995DDC"/>
    <w:rsid w:val="00996709"/>
    <w:rsid w:val="00996865"/>
    <w:rsid w:val="00996A46"/>
    <w:rsid w:val="00997AB1"/>
    <w:rsid w:val="00997C02"/>
    <w:rsid w:val="00997CD4"/>
    <w:rsid w:val="009A27D5"/>
    <w:rsid w:val="009A4A6E"/>
    <w:rsid w:val="009A5033"/>
    <w:rsid w:val="009A5538"/>
    <w:rsid w:val="009A6B1B"/>
    <w:rsid w:val="009A73DC"/>
    <w:rsid w:val="009A745E"/>
    <w:rsid w:val="009B16DA"/>
    <w:rsid w:val="009B2D88"/>
    <w:rsid w:val="009B3353"/>
    <w:rsid w:val="009B3FFD"/>
    <w:rsid w:val="009B50F5"/>
    <w:rsid w:val="009C0E85"/>
    <w:rsid w:val="009C10B9"/>
    <w:rsid w:val="009C1114"/>
    <w:rsid w:val="009C1D0C"/>
    <w:rsid w:val="009C1EFA"/>
    <w:rsid w:val="009C1F59"/>
    <w:rsid w:val="009C3137"/>
    <w:rsid w:val="009C3C25"/>
    <w:rsid w:val="009C4230"/>
    <w:rsid w:val="009C52F1"/>
    <w:rsid w:val="009C574E"/>
    <w:rsid w:val="009D0329"/>
    <w:rsid w:val="009D1593"/>
    <w:rsid w:val="009D2B6D"/>
    <w:rsid w:val="009D4FC8"/>
    <w:rsid w:val="009D6407"/>
    <w:rsid w:val="009D7597"/>
    <w:rsid w:val="009E0252"/>
    <w:rsid w:val="009E1D8E"/>
    <w:rsid w:val="009E22AB"/>
    <w:rsid w:val="009E2BF2"/>
    <w:rsid w:val="009E3565"/>
    <w:rsid w:val="009E3B01"/>
    <w:rsid w:val="009E4185"/>
    <w:rsid w:val="009E4980"/>
    <w:rsid w:val="009E551E"/>
    <w:rsid w:val="009E5626"/>
    <w:rsid w:val="009E5687"/>
    <w:rsid w:val="009E6006"/>
    <w:rsid w:val="009E649F"/>
    <w:rsid w:val="009E77C6"/>
    <w:rsid w:val="009E7855"/>
    <w:rsid w:val="009E7EFF"/>
    <w:rsid w:val="009F02B6"/>
    <w:rsid w:val="009F02FB"/>
    <w:rsid w:val="009F08DB"/>
    <w:rsid w:val="009F288C"/>
    <w:rsid w:val="009F2C9B"/>
    <w:rsid w:val="009F34FA"/>
    <w:rsid w:val="009F40F5"/>
    <w:rsid w:val="009F6EB3"/>
    <w:rsid w:val="00A0088F"/>
    <w:rsid w:val="00A01C93"/>
    <w:rsid w:val="00A026BF"/>
    <w:rsid w:val="00A02EDB"/>
    <w:rsid w:val="00A030B1"/>
    <w:rsid w:val="00A03CBE"/>
    <w:rsid w:val="00A05E10"/>
    <w:rsid w:val="00A05F16"/>
    <w:rsid w:val="00A06BE5"/>
    <w:rsid w:val="00A07D19"/>
    <w:rsid w:val="00A07F9D"/>
    <w:rsid w:val="00A10099"/>
    <w:rsid w:val="00A10913"/>
    <w:rsid w:val="00A1130E"/>
    <w:rsid w:val="00A13475"/>
    <w:rsid w:val="00A13C10"/>
    <w:rsid w:val="00A16916"/>
    <w:rsid w:val="00A16DAC"/>
    <w:rsid w:val="00A1781B"/>
    <w:rsid w:val="00A205E1"/>
    <w:rsid w:val="00A23275"/>
    <w:rsid w:val="00A24D38"/>
    <w:rsid w:val="00A26550"/>
    <w:rsid w:val="00A26CD4"/>
    <w:rsid w:val="00A2733F"/>
    <w:rsid w:val="00A2746D"/>
    <w:rsid w:val="00A279DB"/>
    <w:rsid w:val="00A321E7"/>
    <w:rsid w:val="00A33221"/>
    <w:rsid w:val="00A3390B"/>
    <w:rsid w:val="00A33BB0"/>
    <w:rsid w:val="00A342DB"/>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3265"/>
    <w:rsid w:val="00A6375D"/>
    <w:rsid w:val="00A642D6"/>
    <w:rsid w:val="00A67AC8"/>
    <w:rsid w:val="00A71471"/>
    <w:rsid w:val="00A7162F"/>
    <w:rsid w:val="00A71F8E"/>
    <w:rsid w:val="00A72A3E"/>
    <w:rsid w:val="00A73860"/>
    <w:rsid w:val="00A74CD7"/>
    <w:rsid w:val="00A764BB"/>
    <w:rsid w:val="00A80623"/>
    <w:rsid w:val="00A80A0D"/>
    <w:rsid w:val="00A8203F"/>
    <w:rsid w:val="00A82E84"/>
    <w:rsid w:val="00A83C37"/>
    <w:rsid w:val="00A8433D"/>
    <w:rsid w:val="00A86F28"/>
    <w:rsid w:val="00A873DE"/>
    <w:rsid w:val="00A90C66"/>
    <w:rsid w:val="00A90D3F"/>
    <w:rsid w:val="00A90DFD"/>
    <w:rsid w:val="00A91499"/>
    <w:rsid w:val="00A939E4"/>
    <w:rsid w:val="00A943B1"/>
    <w:rsid w:val="00A94AA9"/>
    <w:rsid w:val="00A94C7D"/>
    <w:rsid w:val="00A94EBA"/>
    <w:rsid w:val="00A955DA"/>
    <w:rsid w:val="00A9690D"/>
    <w:rsid w:val="00A96B21"/>
    <w:rsid w:val="00A97C9E"/>
    <w:rsid w:val="00AA1338"/>
    <w:rsid w:val="00AA1D92"/>
    <w:rsid w:val="00AA28F3"/>
    <w:rsid w:val="00AA2CD5"/>
    <w:rsid w:val="00AA3525"/>
    <w:rsid w:val="00AA3A3E"/>
    <w:rsid w:val="00AA3AE9"/>
    <w:rsid w:val="00AA4288"/>
    <w:rsid w:val="00AA4395"/>
    <w:rsid w:val="00AA46D0"/>
    <w:rsid w:val="00AA53F3"/>
    <w:rsid w:val="00AA5827"/>
    <w:rsid w:val="00AA5F2B"/>
    <w:rsid w:val="00AA643B"/>
    <w:rsid w:val="00AA67E0"/>
    <w:rsid w:val="00AA6BAA"/>
    <w:rsid w:val="00AA6F70"/>
    <w:rsid w:val="00AA77F2"/>
    <w:rsid w:val="00AB01AD"/>
    <w:rsid w:val="00AB02D2"/>
    <w:rsid w:val="00AB0490"/>
    <w:rsid w:val="00AB1332"/>
    <w:rsid w:val="00AB24E2"/>
    <w:rsid w:val="00AB3D6C"/>
    <w:rsid w:val="00AB3F3C"/>
    <w:rsid w:val="00AB5602"/>
    <w:rsid w:val="00AB5B5E"/>
    <w:rsid w:val="00AB7967"/>
    <w:rsid w:val="00AB7AE4"/>
    <w:rsid w:val="00AC03CF"/>
    <w:rsid w:val="00AC06F3"/>
    <w:rsid w:val="00AC1F1A"/>
    <w:rsid w:val="00AC3431"/>
    <w:rsid w:val="00AC3651"/>
    <w:rsid w:val="00AC43EA"/>
    <w:rsid w:val="00AC47D7"/>
    <w:rsid w:val="00AC6E09"/>
    <w:rsid w:val="00AC7192"/>
    <w:rsid w:val="00AC7B52"/>
    <w:rsid w:val="00AD27E2"/>
    <w:rsid w:val="00AD4023"/>
    <w:rsid w:val="00AD435A"/>
    <w:rsid w:val="00AD4C0F"/>
    <w:rsid w:val="00AD5455"/>
    <w:rsid w:val="00AD5599"/>
    <w:rsid w:val="00AD78B4"/>
    <w:rsid w:val="00AD7C0F"/>
    <w:rsid w:val="00AE083D"/>
    <w:rsid w:val="00AE196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F5E"/>
    <w:rsid w:val="00B10FEE"/>
    <w:rsid w:val="00B116AF"/>
    <w:rsid w:val="00B12B28"/>
    <w:rsid w:val="00B130B5"/>
    <w:rsid w:val="00B134E6"/>
    <w:rsid w:val="00B13B74"/>
    <w:rsid w:val="00B15572"/>
    <w:rsid w:val="00B20885"/>
    <w:rsid w:val="00B20A9F"/>
    <w:rsid w:val="00B22258"/>
    <w:rsid w:val="00B24E8B"/>
    <w:rsid w:val="00B25654"/>
    <w:rsid w:val="00B26352"/>
    <w:rsid w:val="00B270E2"/>
    <w:rsid w:val="00B27E1C"/>
    <w:rsid w:val="00B31260"/>
    <w:rsid w:val="00B31F68"/>
    <w:rsid w:val="00B320AA"/>
    <w:rsid w:val="00B33C17"/>
    <w:rsid w:val="00B3566E"/>
    <w:rsid w:val="00B36089"/>
    <w:rsid w:val="00B36214"/>
    <w:rsid w:val="00B36EA9"/>
    <w:rsid w:val="00B37EBF"/>
    <w:rsid w:val="00B447CA"/>
    <w:rsid w:val="00B45054"/>
    <w:rsid w:val="00B46256"/>
    <w:rsid w:val="00B47289"/>
    <w:rsid w:val="00B47764"/>
    <w:rsid w:val="00B47A84"/>
    <w:rsid w:val="00B47AAD"/>
    <w:rsid w:val="00B47B5C"/>
    <w:rsid w:val="00B511B7"/>
    <w:rsid w:val="00B54646"/>
    <w:rsid w:val="00B55710"/>
    <w:rsid w:val="00B55D9E"/>
    <w:rsid w:val="00B57BFB"/>
    <w:rsid w:val="00B60676"/>
    <w:rsid w:val="00B60858"/>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80230"/>
    <w:rsid w:val="00B8040D"/>
    <w:rsid w:val="00B8190D"/>
    <w:rsid w:val="00B81A38"/>
    <w:rsid w:val="00B82127"/>
    <w:rsid w:val="00B821C4"/>
    <w:rsid w:val="00B82767"/>
    <w:rsid w:val="00B84A49"/>
    <w:rsid w:val="00B84DDD"/>
    <w:rsid w:val="00B86EEC"/>
    <w:rsid w:val="00B871CB"/>
    <w:rsid w:val="00B87232"/>
    <w:rsid w:val="00B93350"/>
    <w:rsid w:val="00B9405D"/>
    <w:rsid w:val="00B951A5"/>
    <w:rsid w:val="00B95801"/>
    <w:rsid w:val="00B95A6D"/>
    <w:rsid w:val="00B95A7F"/>
    <w:rsid w:val="00BA41D0"/>
    <w:rsid w:val="00BA4481"/>
    <w:rsid w:val="00BA4BF5"/>
    <w:rsid w:val="00BA5BA1"/>
    <w:rsid w:val="00BA6997"/>
    <w:rsid w:val="00BB00D8"/>
    <w:rsid w:val="00BB0672"/>
    <w:rsid w:val="00BB0AFD"/>
    <w:rsid w:val="00BB10F5"/>
    <w:rsid w:val="00BB2B33"/>
    <w:rsid w:val="00BB2C5C"/>
    <w:rsid w:val="00BB4FBD"/>
    <w:rsid w:val="00BC264E"/>
    <w:rsid w:val="00BC38D7"/>
    <w:rsid w:val="00BC4029"/>
    <w:rsid w:val="00BC4CAC"/>
    <w:rsid w:val="00BC533D"/>
    <w:rsid w:val="00BC5AD7"/>
    <w:rsid w:val="00BC5DCA"/>
    <w:rsid w:val="00BC5E15"/>
    <w:rsid w:val="00BC5F52"/>
    <w:rsid w:val="00BC67C9"/>
    <w:rsid w:val="00BC7971"/>
    <w:rsid w:val="00BD1BCB"/>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2331"/>
    <w:rsid w:val="00BE392C"/>
    <w:rsid w:val="00BE3ACE"/>
    <w:rsid w:val="00BE3E9D"/>
    <w:rsid w:val="00BE4891"/>
    <w:rsid w:val="00BE5195"/>
    <w:rsid w:val="00BE7663"/>
    <w:rsid w:val="00BF172F"/>
    <w:rsid w:val="00BF178A"/>
    <w:rsid w:val="00BF19E6"/>
    <w:rsid w:val="00BF1E0E"/>
    <w:rsid w:val="00BF4440"/>
    <w:rsid w:val="00BF4643"/>
    <w:rsid w:val="00BF5251"/>
    <w:rsid w:val="00BF5B42"/>
    <w:rsid w:val="00BF60B0"/>
    <w:rsid w:val="00BF678C"/>
    <w:rsid w:val="00BF6C5C"/>
    <w:rsid w:val="00BF6D4C"/>
    <w:rsid w:val="00BF6F3C"/>
    <w:rsid w:val="00BF702F"/>
    <w:rsid w:val="00C000B7"/>
    <w:rsid w:val="00C0180E"/>
    <w:rsid w:val="00C0257E"/>
    <w:rsid w:val="00C0297F"/>
    <w:rsid w:val="00C037B2"/>
    <w:rsid w:val="00C041AC"/>
    <w:rsid w:val="00C0437C"/>
    <w:rsid w:val="00C04501"/>
    <w:rsid w:val="00C0572D"/>
    <w:rsid w:val="00C05ACB"/>
    <w:rsid w:val="00C05B19"/>
    <w:rsid w:val="00C063B4"/>
    <w:rsid w:val="00C06F7F"/>
    <w:rsid w:val="00C104BD"/>
    <w:rsid w:val="00C105B0"/>
    <w:rsid w:val="00C10904"/>
    <w:rsid w:val="00C112DF"/>
    <w:rsid w:val="00C11525"/>
    <w:rsid w:val="00C12958"/>
    <w:rsid w:val="00C1297F"/>
    <w:rsid w:val="00C12BAE"/>
    <w:rsid w:val="00C13845"/>
    <w:rsid w:val="00C171E2"/>
    <w:rsid w:val="00C1788F"/>
    <w:rsid w:val="00C20855"/>
    <w:rsid w:val="00C20EB3"/>
    <w:rsid w:val="00C210FC"/>
    <w:rsid w:val="00C21D7F"/>
    <w:rsid w:val="00C222BF"/>
    <w:rsid w:val="00C22E29"/>
    <w:rsid w:val="00C22F67"/>
    <w:rsid w:val="00C2354A"/>
    <w:rsid w:val="00C239BE"/>
    <w:rsid w:val="00C239DB"/>
    <w:rsid w:val="00C23B05"/>
    <w:rsid w:val="00C23D7E"/>
    <w:rsid w:val="00C24E84"/>
    <w:rsid w:val="00C25CD5"/>
    <w:rsid w:val="00C262DF"/>
    <w:rsid w:val="00C32940"/>
    <w:rsid w:val="00C338C3"/>
    <w:rsid w:val="00C33A95"/>
    <w:rsid w:val="00C379EE"/>
    <w:rsid w:val="00C40B76"/>
    <w:rsid w:val="00C40B94"/>
    <w:rsid w:val="00C4242C"/>
    <w:rsid w:val="00C426BE"/>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270"/>
    <w:rsid w:val="00C53351"/>
    <w:rsid w:val="00C53B22"/>
    <w:rsid w:val="00C53F3F"/>
    <w:rsid w:val="00C54134"/>
    <w:rsid w:val="00C5491B"/>
    <w:rsid w:val="00C554A6"/>
    <w:rsid w:val="00C55C4A"/>
    <w:rsid w:val="00C56081"/>
    <w:rsid w:val="00C5753F"/>
    <w:rsid w:val="00C57A4C"/>
    <w:rsid w:val="00C605D9"/>
    <w:rsid w:val="00C612C5"/>
    <w:rsid w:val="00C6197B"/>
    <w:rsid w:val="00C61ABC"/>
    <w:rsid w:val="00C61E2B"/>
    <w:rsid w:val="00C6277D"/>
    <w:rsid w:val="00C62B2D"/>
    <w:rsid w:val="00C6393E"/>
    <w:rsid w:val="00C64043"/>
    <w:rsid w:val="00C65944"/>
    <w:rsid w:val="00C664D3"/>
    <w:rsid w:val="00C66ACF"/>
    <w:rsid w:val="00C70DA3"/>
    <w:rsid w:val="00C710BC"/>
    <w:rsid w:val="00C72499"/>
    <w:rsid w:val="00C72E07"/>
    <w:rsid w:val="00C747A5"/>
    <w:rsid w:val="00C77FF8"/>
    <w:rsid w:val="00C8007F"/>
    <w:rsid w:val="00C8021B"/>
    <w:rsid w:val="00C804DB"/>
    <w:rsid w:val="00C80A6D"/>
    <w:rsid w:val="00C80C1C"/>
    <w:rsid w:val="00C80D80"/>
    <w:rsid w:val="00C817A9"/>
    <w:rsid w:val="00C81CDF"/>
    <w:rsid w:val="00C8255F"/>
    <w:rsid w:val="00C842AE"/>
    <w:rsid w:val="00C84634"/>
    <w:rsid w:val="00C84F2D"/>
    <w:rsid w:val="00C859D1"/>
    <w:rsid w:val="00C85ABF"/>
    <w:rsid w:val="00C86BCF"/>
    <w:rsid w:val="00C86C76"/>
    <w:rsid w:val="00C87308"/>
    <w:rsid w:val="00C87A9C"/>
    <w:rsid w:val="00C90669"/>
    <w:rsid w:val="00C9367D"/>
    <w:rsid w:val="00C93828"/>
    <w:rsid w:val="00C94BD9"/>
    <w:rsid w:val="00C955A1"/>
    <w:rsid w:val="00C966AD"/>
    <w:rsid w:val="00C97912"/>
    <w:rsid w:val="00C97B30"/>
    <w:rsid w:val="00CA0A1F"/>
    <w:rsid w:val="00CA1215"/>
    <w:rsid w:val="00CA1483"/>
    <w:rsid w:val="00CA1583"/>
    <w:rsid w:val="00CA1A6E"/>
    <w:rsid w:val="00CA1B65"/>
    <w:rsid w:val="00CA1DB0"/>
    <w:rsid w:val="00CA2DED"/>
    <w:rsid w:val="00CA6929"/>
    <w:rsid w:val="00CB02BC"/>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C11"/>
    <w:rsid w:val="00CC7B72"/>
    <w:rsid w:val="00CD07C8"/>
    <w:rsid w:val="00CD3E49"/>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D7"/>
    <w:rsid w:val="00CF1ADD"/>
    <w:rsid w:val="00CF2117"/>
    <w:rsid w:val="00CF55E9"/>
    <w:rsid w:val="00CF5BCC"/>
    <w:rsid w:val="00CF5EE7"/>
    <w:rsid w:val="00CF6A56"/>
    <w:rsid w:val="00CF70AB"/>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AEB"/>
    <w:rsid w:val="00D37EAA"/>
    <w:rsid w:val="00D40086"/>
    <w:rsid w:val="00D40177"/>
    <w:rsid w:val="00D40F95"/>
    <w:rsid w:val="00D40F99"/>
    <w:rsid w:val="00D41B4A"/>
    <w:rsid w:val="00D41D03"/>
    <w:rsid w:val="00D42311"/>
    <w:rsid w:val="00D442BA"/>
    <w:rsid w:val="00D47013"/>
    <w:rsid w:val="00D47BEE"/>
    <w:rsid w:val="00D5080E"/>
    <w:rsid w:val="00D509EC"/>
    <w:rsid w:val="00D5120D"/>
    <w:rsid w:val="00D52234"/>
    <w:rsid w:val="00D53403"/>
    <w:rsid w:val="00D537BC"/>
    <w:rsid w:val="00D53AD6"/>
    <w:rsid w:val="00D53C08"/>
    <w:rsid w:val="00D540A8"/>
    <w:rsid w:val="00D5530E"/>
    <w:rsid w:val="00D57EFA"/>
    <w:rsid w:val="00D60046"/>
    <w:rsid w:val="00D6066F"/>
    <w:rsid w:val="00D60E14"/>
    <w:rsid w:val="00D61FF8"/>
    <w:rsid w:val="00D623A0"/>
    <w:rsid w:val="00D6276C"/>
    <w:rsid w:val="00D6374C"/>
    <w:rsid w:val="00D64106"/>
    <w:rsid w:val="00D64F35"/>
    <w:rsid w:val="00D65551"/>
    <w:rsid w:val="00D65CF6"/>
    <w:rsid w:val="00D66CA9"/>
    <w:rsid w:val="00D71FD3"/>
    <w:rsid w:val="00D71FFB"/>
    <w:rsid w:val="00D72547"/>
    <w:rsid w:val="00D7350A"/>
    <w:rsid w:val="00D74663"/>
    <w:rsid w:val="00D751FA"/>
    <w:rsid w:val="00D75E8B"/>
    <w:rsid w:val="00D7633E"/>
    <w:rsid w:val="00D7694D"/>
    <w:rsid w:val="00D773A9"/>
    <w:rsid w:val="00D807B3"/>
    <w:rsid w:val="00D82B42"/>
    <w:rsid w:val="00D82DFB"/>
    <w:rsid w:val="00D8501A"/>
    <w:rsid w:val="00D86B08"/>
    <w:rsid w:val="00D86CE3"/>
    <w:rsid w:val="00D87063"/>
    <w:rsid w:val="00D902B7"/>
    <w:rsid w:val="00D9044B"/>
    <w:rsid w:val="00D92206"/>
    <w:rsid w:val="00D938BB"/>
    <w:rsid w:val="00D96375"/>
    <w:rsid w:val="00D970D6"/>
    <w:rsid w:val="00D97F39"/>
    <w:rsid w:val="00DA0487"/>
    <w:rsid w:val="00DA077E"/>
    <w:rsid w:val="00DA1CB7"/>
    <w:rsid w:val="00DA2858"/>
    <w:rsid w:val="00DA57E0"/>
    <w:rsid w:val="00DA5F4A"/>
    <w:rsid w:val="00DA6AA6"/>
    <w:rsid w:val="00DB0040"/>
    <w:rsid w:val="00DB03F5"/>
    <w:rsid w:val="00DB1015"/>
    <w:rsid w:val="00DB1075"/>
    <w:rsid w:val="00DB16A2"/>
    <w:rsid w:val="00DB38BF"/>
    <w:rsid w:val="00DB4120"/>
    <w:rsid w:val="00DB4AB7"/>
    <w:rsid w:val="00DB51B7"/>
    <w:rsid w:val="00DB5463"/>
    <w:rsid w:val="00DB7058"/>
    <w:rsid w:val="00DC092E"/>
    <w:rsid w:val="00DC1A17"/>
    <w:rsid w:val="00DC42F3"/>
    <w:rsid w:val="00DC44CE"/>
    <w:rsid w:val="00DC4E81"/>
    <w:rsid w:val="00DC5470"/>
    <w:rsid w:val="00DC7153"/>
    <w:rsid w:val="00DD18BD"/>
    <w:rsid w:val="00DD2333"/>
    <w:rsid w:val="00DD3751"/>
    <w:rsid w:val="00DD43E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E24"/>
    <w:rsid w:val="00DF56F0"/>
    <w:rsid w:val="00DF5D07"/>
    <w:rsid w:val="00DF61CC"/>
    <w:rsid w:val="00DF6EFB"/>
    <w:rsid w:val="00DF7AA4"/>
    <w:rsid w:val="00E008E0"/>
    <w:rsid w:val="00E018B3"/>
    <w:rsid w:val="00E03400"/>
    <w:rsid w:val="00E04367"/>
    <w:rsid w:val="00E050CC"/>
    <w:rsid w:val="00E0573A"/>
    <w:rsid w:val="00E05CEC"/>
    <w:rsid w:val="00E05D6E"/>
    <w:rsid w:val="00E060BD"/>
    <w:rsid w:val="00E100A2"/>
    <w:rsid w:val="00E10F6B"/>
    <w:rsid w:val="00E114C9"/>
    <w:rsid w:val="00E11827"/>
    <w:rsid w:val="00E12AFF"/>
    <w:rsid w:val="00E13C94"/>
    <w:rsid w:val="00E13F00"/>
    <w:rsid w:val="00E1597C"/>
    <w:rsid w:val="00E15DB0"/>
    <w:rsid w:val="00E1724A"/>
    <w:rsid w:val="00E17AA8"/>
    <w:rsid w:val="00E20922"/>
    <w:rsid w:val="00E20CD2"/>
    <w:rsid w:val="00E22EFB"/>
    <w:rsid w:val="00E22F2B"/>
    <w:rsid w:val="00E242F3"/>
    <w:rsid w:val="00E248CE"/>
    <w:rsid w:val="00E26291"/>
    <w:rsid w:val="00E27242"/>
    <w:rsid w:val="00E3243A"/>
    <w:rsid w:val="00E33029"/>
    <w:rsid w:val="00E33564"/>
    <w:rsid w:val="00E34CD6"/>
    <w:rsid w:val="00E40694"/>
    <w:rsid w:val="00E409B1"/>
    <w:rsid w:val="00E42465"/>
    <w:rsid w:val="00E42861"/>
    <w:rsid w:val="00E434D2"/>
    <w:rsid w:val="00E438E6"/>
    <w:rsid w:val="00E44A51"/>
    <w:rsid w:val="00E45599"/>
    <w:rsid w:val="00E47039"/>
    <w:rsid w:val="00E50A27"/>
    <w:rsid w:val="00E52C4F"/>
    <w:rsid w:val="00E5364D"/>
    <w:rsid w:val="00E5645C"/>
    <w:rsid w:val="00E564C2"/>
    <w:rsid w:val="00E6036F"/>
    <w:rsid w:val="00E60902"/>
    <w:rsid w:val="00E61C34"/>
    <w:rsid w:val="00E638B7"/>
    <w:rsid w:val="00E64439"/>
    <w:rsid w:val="00E6453B"/>
    <w:rsid w:val="00E653F7"/>
    <w:rsid w:val="00E668E6"/>
    <w:rsid w:val="00E67E90"/>
    <w:rsid w:val="00E7090B"/>
    <w:rsid w:val="00E710AE"/>
    <w:rsid w:val="00E72690"/>
    <w:rsid w:val="00E72699"/>
    <w:rsid w:val="00E75FBE"/>
    <w:rsid w:val="00E765A9"/>
    <w:rsid w:val="00E80646"/>
    <w:rsid w:val="00E815FC"/>
    <w:rsid w:val="00E81F63"/>
    <w:rsid w:val="00E823DC"/>
    <w:rsid w:val="00E82544"/>
    <w:rsid w:val="00E844BF"/>
    <w:rsid w:val="00E84BAD"/>
    <w:rsid w:val="00E86401"/>
    <w:rsid w:val="00E864C2"/>
    <w:rsid w:val="00E90C7C"/>
    <w:rsid w:val="00E90DA6"/>
    <w:rsid w:val="00E9372B"/>
    <w:rsid w:val="00E93EE7"/>
    <w:rsid w:val="00E94A15"/>
    <w:rsid w:val="00E97E7A"/>
    <w:rsid w:val="00EA0C1D"/>
    <w:rsid w:val="00EA0E91"/>
    <w:rsid w:val="00EA35E8"/>
    <w:rsid w:val="00EA3DE8"/>
    <w:rsid w:val="00EA4B40"/>
    <w:rsid w:val="00EA4F98"/>
    <w:rsid w:val="00EA5CCD"/>
    <w:rsid w:val="00EA5DEC"/>
    <w:rsid w:val="00EA60FE"/>
    <w:rsid w:val="00EA7642"/>
    <w:rsid w:val="00EB1A67"/>
    <w:rsid w:val="00EB1EB2"/>
    <w:rsid w:val="00EB2C52"/>
    <w:rsid w:val="00EB33DC"/>
    <w:rsid w:val="00EB3E6F"/>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3288"/>
    <w:rsid w:val="00ED337B"/>
    <w:rsid w:val="00ED3849"/>
    <w:rsid w:val="00ED4A0D"/>
    <w:rsid w:val="00ED4D08"/>
    <w:rsid w:val="00ED564A"/>
    <w:rsid w:val="00ED64F3"/>
    <w:rsid w:val="00EE1573"/>
    <w:rsid w:val="00EE1BD0"/>
    <w:rsid w:val="00EE265B"/>
    <w:rsid w:val="00EE2FF8"/>
    <w:rsid w:val="00EE53C2"/>
    <w:rsid w:val="00EE6354"/>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8D6"/>
    <w:rsid w:val="00F03C79"/>
    <w:rsid w:val="00F06D0B"/>
    <w:rsid w:val="00F07E9E"/>
    <w:rsid w:val="00F107D0"/>
    <w:rsid w:val="00F108E7"/>
    <w:rsid w:val="00F10CBD"/>
    <w:rsid w:val="00F115FF"/>
    <w:rsid w:val="00F12115"/>
    <w:rsid w:val="00F1345E"/>
    <w:rsid w:val="00F13DE2"/>
    <w:rsid w:val="00F14826"/>
    <w:rsid w:val="00F17CFB"/>
    <w:rsid w:val="00F17D17"/>
    <w:rsid w:val="00F2052B"/>
    <w:rsid w:val="00F22823"/>
    <w:rsid w:val="00F2406B"/>
    <w:rsid w:val="00F24143"/>
    <w:rsid w:val="00F242CE"/>
    <w:rsid w:val="00F243FF"/>
    <w:rsid w:val="00F24B8A"/>
    <w:rsid w:val="00F258FB"/>
    <w:rsid w:val="00F302E7"/>
    <w:rsid w:val="00F3062F"/>
    <w:rsid w:val="00F31B9D"/>
    <w:rsid w:val="00F32445"/>
    <w:rsid w:val="00F33162"/>
    <w:rsid w:val="00F33247"/>
    <w:rsid w:val="00F349B8"/>
    <w:rsid w:val="00F35366"/>
    <w:rsid w:val="00F364B6"/>
    <w:rsid w:val="00F36999"/>
    <w:rsid w:val="00F371DF"/>
    <w:rsid w:val="00F3789D"/>
    <w:rsid w:val="00F37DC6"/>
    <w:rsid w:val="00F40B09"/>
    <w:rsid w:val="00F41639"/>
    <w:rsid w:val="00F417A1"/>
    <w:rsid w:val="00F42664"/>
    <w:rsid w:val="00F42BE7"/>
    <w:rsid w:val="00F442FC"/>
    <w:rsid w:val="00F467CC"/>
    <w:rsid w:val="00F46ABF"/>
    <w:rsid w:val="00F505B7"/>
    <w:rsid w:val="00F50F9F"/>
    <w:rsid w:val="00F511EB"/>
    <w:rsid w:val="00F513B0"/>
    <w:rsid w:val="00F5421F"/>
    <w:rsid w:val="00F5561A"/>
    <w:rsid w:val="00F55BC9"/>
    <w:rsid w:val="00F55CF8"/>
    <w:rsid w:val="00F57145"/>
    <w:rsid w:val="00F57405"/>
    <w:rsid w:val="00F57AC7"/>
    <w:rsid w:val="00F6167F"/>
    <w:rsid w:val="00F61A2E"/>
    <w:rsid w:val="00F62325"/>
    <w:rsid w:val="00F62CB6"/>
    <w:rsid w:val="00F63366"/>
    <w:rsid w:val="00F6557E"/>
    <w:rsid w:val="00F65851"/>
    <w:rsid w:val="00F65A81"/>
    <w:rsid w:val="00F65CDB"/>
    <w:rsid w:val="00F67A45"/>
    <w:rsid w:val="00F70309"/>
    <w:rsid w:val="00F70BE9"/>
    <w:rsid w:val="00F70C83"/>
    <w:rsid w:val="00F7126F"/>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41F5"/>
    <w:rsid w:val="00F845B2"/>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571B"/>
    <w:rsid w:val="00FA59B4"/>
    <w:rsid w:val="00FA62B7"/>
    <w:rsid w:val="00FA66F9"/>
    <w:rsid w:val="00FA7BF3"/>
    <w:rsid w:val="00FB1DB8"/>
    <w:rsid w:val="00FB35E3"/>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5D0"/>
    <w:rsid w:val="00FE488D"/>
    <w:rsid w:val="00FE60D2"/>
    <w:rsid w:val="00FE6B1B"/>
    <w:rsid w:val="00FE713A"/>
    <w:rsid w:val="00FE7175"/>
    <w:rsid w:val="00FE7255"/>
    <w:rsid w:val="00FE75F3"/>
    <w:rsid w:val="00FE76BF"/>
    <w:rsid w:val="00FF09CD"/>
    <w:rsid w:val="00FF0D76"/>
    <w:rsid w:val="00FF0E7B"/>
    <w:rsid w:val="00FF115B"/>
    <w:rsid w:val="00FF217A"/>
    <w:rsid w:val="00FF2372"/>
    <w:rsid w:val="00FF3777"/>
    <w:rsid w:val="00FF6748"/>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A1338"/>
    <w:rPr>
      <w:vertAlign w:val="superscript"/>
      <w:lang w:val="es-ES"/>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lang w:val="es-ES"/>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AA1338"/>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unhideWhenUsed/>
    <w:rsid w:val="00AA1338"/>
    <w:rPr>
      <w:sz w:val="16"/>
      <w:szCs w:val="16"/>
      <w:lang w:val="es-ES"/>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AA1338"/>
    <w:rPr>
      <w:rFonts w:ascii="Times New Roman" w:hAnsi="Times New Roman"/>
      <w:color w:val="0563C1" w:themeColor="hyperlink"/>
      <w:u w:val="single"/>
      <w:lang w:val="es-ES"/>
    </w:rPr>
  </w:style>
  <w:style w:type="character" w:customStyle="1" w:styleId="Mencinsinresolver1">
    <w:name w:val="Mención sin resolver1"/>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s-ES"/>
      <w14:ligatures w14:val="none"/>
    </w:rPr>
  </w:style>
  <w:style w:type="paragraph" w:styleId="ListParagraph">
    <w:name w:val="List Paragraph"/>
    <w:basedOn w:val="Normal"/>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lang w:val="es-ES"/>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2B38F5"/>
    <w:rPr>
      <w:b/>
      <w:bCs/>
      <w:i/>
      <w:iCs/>
      <w:spacing w:val="5"/>
      <w:lang w:val="es-ES"/>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2B38F5"/>
    <w:rPr>
      <w:i/>
      <w:iCs/>
      <w:lang w:val="es-ES"/>
    </w:rPr>
  </w:style>
  <w:style w:type="character" w:styleId="EndnoteReference">
    <w:name w:val="endnote reference"/>
    <w:basedOn w:val="DefaultParagraphFont"/>
    <w:uiPriority w:val="99"/>
    <w:semiHidden/>
    <w:unhideWhenUsed/>
    <w:rsid w:val="002B38F5"/>
    <w:rPr>
      <w:vertAlign w:val="superscript"/>
      <w:lang w:val="es-ES"/>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s-ES"/>
    </w:rPr>
  </w:style>
  <w:style w:type="character" w:styleId="HTMLAcronym">
    <w:name w:val="HTML Acronym"/>
    <w:basedOn w:val="DefaultParagraphFont"/>
    <w:uiPriority w:val="99"/>
    <w:semiHidden/>
    <w:unhideWhenUsed/>
    <w:rsid w:val="002B38F5"/>
    <w:rPr>
      <w:lang w:val="es-ES"/>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2B38F5"/>
    <w:rPr>
      <w:i/>
      <w:iCs/>
      <w:lang w:val="es-ES"/>
    </w:rPr>
  </w:style>
  <w:style w:type="character" w:styleId="HTMLCode">
    <w:name w:val="HTML Code"/>
    <w:basedOn w:val="DefaultParagraphFont"/>
    <w:uiPriority w:val="99"/>
    <w:semiHidden/>
    <w:unhideWhenUsed/>
    <w:rsid w:val="002B38F5"/>
    <w:rPr>
      <w:rFonts w:ascii="Consolas" w:hAnsi="Consolas"/>
      <w:sz w:val="20"/>
      <w:szCs w:val="20"/>
      <w:lang w:val="es-ES"/>
    </w:rPr>
  </w:style>
  <w:style w:type="character" w:styleId="HTMLDefinition">
    <w:name w:val="HTML Definition"/>
    <w:basedOn w:val="DefaultParagraphFont"/>
    <w:uiPriority w:val="99"/>
    <w:semiHidden/>
    <w:unhideWhenUsed/>
    <w:rsid w:val="002B38F5"/>
    <w:rPr>
      <w:i/>
      <w:iCs/>
      <w:lang w:val="es-ES"/>
    </w:rPr>
  </w:style>
  <w:style w:type="character" w:styleId="HTMLKeyboard">
    <w:name w:val="HTML Keyboard"/>
    <w:basedOn w:val="DefaultParagraphFont"/>
    <w:uiPriority w:val="99"/>
    <w:semiHidden/>
    <w:unhideWhenUsed/>
    <w:rsid w:val="002B38F5"/>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2B38F5"/>
    <w:rPr>
      <w:rFonts w:ascii="Consolas" w:hAnsi="Consolas"/>
      <w:sz w:val="24"/>
      <w:szCs w:val="24"/>
      <w:lang w:val="es-ES"/>
    </w:rPr>
  </w:style>
  <w:style w:type="character" w:styleId="HTMLTypewriter">
    <w:name w:val="HTML Typewriter"/>
    <w:basedOn w:val="DefaultParagraphFont"/>
    <w:uiPriority w:val="99"/>
    <w:semiHidden/>
    <w:unhideWhenUsed/>
    <w:rsid w:val="002B38F5"/>
    <w:rPr>
      <w:rFonts w:ascii="Consolas" w:hAnsi="Consolas"/>
      <w:sz w:val="20"/>
      <w:szCs w:val="20"/>
      <w:lang w:val="es-ES"/>
    </w:rPr>
  </w:style>
  <w:style w:type="character" w:styleId="HTMLVariable">
    <w:name w:val="HTML Variable"/>
    <w:basedOn w:val="DefaultParagraphFont"/>
    <w:uiPriority w:val="99"/>
    <w:semiHidden/>
    <w:unhideWhenUsed/>
    <w:rsid w:val="002B38F5"/>
    <w:rPr>
      <w:i/>
      <w:iCs/>
      <w:lang w:val="es-ES"/>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s-ES"/>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2B38F5"/>
    <w:rPr>
      <w:b/>
      <w:bCs/>
      <w:smallCaps/>
      <w:color w:val="4472C4" w:themeColor="accent1"/>
      <w:spacing w:val="5"/>
      <w:lang w:val="es-ES"/>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s-ES"/>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styleId="ListTable1Light">
    <w:name w:val="List Table 1 Light"/>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semiHidden/>
    <w:unhideWhenUsed/>
    <w:rsid w:val="002B38F5"/>
    <w:rPr>
      <w:color w:val="2B579A"/>
      <w:shd w:val="clear" w:color="auto" w:fill="E1DFDD"/>
      <w:lang w:val="es-ES"/>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s-ES"/>
      <w14:ligatures w14:val="none"/>
    </w:rPr>
  </w:style>
  <w:style w:type="table" w:styleId="PlainTable1">
    <w:name w:val="Plain Table 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s-ES"/>
      <w14:ligatures w14:val="none"/>
    </w:rPr>
  </w:style>
  <w:style w:type="character" w:customStyle="1" w:styleId="Hipervnculointeligente1">
    <w:name w:val="Hipervínculo inteligente1"/>
    <w:basedOn w:val="DefaultParagraphFont"/>
    <w:uiPriority w:val="99"/>
    <w:semiHidden/>
    <w:unhideWhenUsed/>
    <w:rsid w:val="002B38F5"/>
    <w:rPr>
      <w:u w:val="dotted"/>
      <w:lang w:val="es-ES"/>
    </w:rPr>
  </w:style>
  <w:style w:type="character" w:customStyle="1" w:styleId="SmartLink1">
    <w:name w:val="SmartLink1"/>
    <w:basedOn w:val="DefaultParagraphFont"/>
    <w:uiPriority w:val="99"/>
    <w:semiHidden/>
    <w:unhideWhenUsed/>
    <w:rsid w:val="002B38F5"/>
    <w:rPr>
      <w:color w:val="0000FF"/>
      <w:u w:val="single"/>
      <w:shd w:val="clear" w:color="auto" w:fill="F3F2F1"/>
      <w:lang w:val="es-ES"/>
    </w:rPr>
  </w:style>
  <w:style w:type="character" w:styleId="Strong">
    <w:name w:val="Strong"/>
    <w:basedOn w:val="DefaultParagraphFont"/>
    <w:uiPriority w:val="22"/>
    <w:qFormat/>
    <w:rsid w:val="002B38F5"/>
    <w:rPr>
      <w:b/>
      <w:bCs/>
      <w:lang w:val="es-ES"/>
    </w:rPr>
  </w:style>
  <w:style w:type="character" w:styleId="SubtleEmphasis">
    <w:name w:val="Subtle Emphasis"/>
    <w:basedOn w:val="DefaultParagraphFont"/>
    <w:uiPriority w:val="19"/>
    <w:qFormat/>
    <w:rsid w:val="002B38F5"/>
    <w:rPr>
      <w:i/>
      <w:iCs/>
      <w:color w:val="404040" w:themeColor="text1" w:themeTint="BF"/>
      <w:lang w:val="es-ES"/>
    </w:rPr>
  </w:style>
  <w:style w:type="character" w:styleId="SubtleReference">
    <w:name w:val="Subtle Reference"/>
    <w:basedOn w:val="DefaultParagraphFont"/>
    <w:uiPriority w:val="31"/>
    <w:qFormat/>
    <w:rsid w:val="002B38F5"/>
    <w:rPr>
      <w:smallCaps/>
      <w:color w:val="5A5A5A" w:themeColor="text1" w:themeTint="A5"/>
      <w:lang w:val="es-ES"/>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AA133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s-ES"/>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hyperlink" Target="https://www.cbd.int/decisions/mop/?m=cp-mop-11" TargetMode="Externa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P/MOP/11/L13" TargetMode="External"/><Relationship Id="rId25" Type="http://schemas.openxmlformats.org/officeDocument/2006/relationships/hyperlink" Target="https://www.cbd.int/decisions/mop/?m=cp-mop-11"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CP/MOP/11/L12/REV1" TargetMode="External"/><Relationship Id="rId20" Type="http://schemas.openxmlformats.org/officeDocument/2006/relationships/hyperlink" Target="https://www.cbd.int/decisions/mop/?m=cp-mop-1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mop/?m=cp-mop-11"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92-abs-bs-en.pdf"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1/L12/REV1" TargetMode="External"/><Relationship Id="rId7" Type="http://schemas.openxmlformats.org/officeDocument/2006/relationships/hyperlink" Target="https://www.cbd.int/documents/CBD/CP/MOP/11/INF/2" TargetMode="External"/><Relationship Id="rId2" Type="http://schemas.openxmlformats.org/officeDocument/2006/relationships/hyperlink" Target="https://www.cbd.int/documents/CBD/CP/MOP/11/1/ADD3"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CP/MOP/11/INF/6/REV1" TargetMode="External"/><Relationship Id="rId5" Type="http://schemas.openxmlformats.org/officeDocument/2006/relationships/hyperlink" Target="https://www.cbd.int/documents/CBD/CP/MOP/11/INF/5" TargetMode="External"/><Relationship Id="rId4" Type="http://schemas.openxmlformats.org/officeDocument/2006/relationships/hyperlink" Target="https://www.cbd.int/documents/CBD/CP/MOP/11/L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20E2E"/>
    <w:rsid w:val="0002343F"/>
    <w:rsid w:val="00040D0B"/>
    <w:rsid w:val="00084331"/>
    <w:rsid w:val="00090089"/>
    <w:rsid w:val="000B2F24"/>
    <w:rsid w:val="000B434F"/>
    <w:rsid w:val="00112CC6"/>
    <w:rsid w:val="001305D0"/>
    <w:rsid w:val="001A5340"/>
    <w:rsid w:val="001B0D3A"/>
    <w:rsid w:val="001B5E85"/>
    <w:rsid w:val="001C1AE5"/>
    <w:rsid w:val="001D5F7F"/>
    <w:rsid w:val="001D79EB"/>
    <w:rsid w:val="001E269D"/>
    <w:rsid w:val="002039C1"/>
    <w:rsid w:val="00221DFE"/>
    <w:rsid w:val="002619BD"/>
    <w:rsid w:val="002716F7"/>
    <w:rsid w:val="0028646E"/>
    <w:rsid w:val="00295FED"/>
    <w:rsid w:val="002C3D9A"/>
    <w:rsid w:val="002C7190"/>
    <w:rsid w:val="002D0FC0"/>
    <w:rsid w:val="002F1BC0"/>
    <w:rsid w:val="002F1C76"/>
    <w:rsid w:val="003002F4"/>
    <w:rsid w:val="003242BD"/>
    <w:rsid w:val="00334413"/>
    <w:rsid w:val="00375B43"/>
    <w:rsid w:val="0037652D"/>
    <w:rsid w:val="003A39B0"/>
    <w:rsid w:val="003D5E70"/>
    <w:rsid w:val="003D6731"/>
    <w:rsid w:val="003E7DC4"/>
    <w:rsid w:val="00445AE3"/>
    <w:rsid w:val="00445BEA"/>
    <w:rsid w:val="004A1441"/>
    <w:rsid w:val="004E4E80"/>
    <w:rsid w:val="004F7087"/>
    <w:rsid w:val="00503FAB"/>
    <w:rsid w:val="005053BE"/>
    <w:rsid w:val="005357D7"/>
    <w:rsid w:val="00565C0B"/>
    <w:rsid w:val="00582E19"/>
    <w:rsid w:val="005A0CF3"/>
    <w:rsid w:val="005F1066"/>
    <w:rsid w:val="005F38C4"/>
    <w:rsid w:val="005F6A00"/>
    <w:rsid w:val="00604043"/>
    <w:rsid w:val="00637962"/>
    <w:rsid w:val="006443BD"/>
    <w:rsid w:val="0068367C"/>
    <w:rsid w:val="006B5209"/>
    <w:rsid w:val="006D78D3"/>
    <w:rsid w:val="007068E8"/>
    <w:rsid w:val="00715F12"/>
    <w:rsid w:val="00720C98"/>
    <w:rsid w:val="00780BDB"/>
    <w:rsid w:val="007936B9"/>
    <w:rsid w:val="007960BB"/>
    <w:rsid w:val="007C4D34"/>
    <w:rsid w:val="007E4C1B"/>
    <w:rsid w:val="00807B9C"/>
    <w:rsid w:val="00820765"/>
    <w:rsid w:val="00821AFC"/>
    <w:rsid w:val="0084050F"/>
    <w:rsid w:val="00852C29"/>
    <w:rsid w:val="00854B9B"/>
    <w:rsid w:val="00880330"/>
    <w:rsid w:val="008D2345"/>
    <w:rsid w:val="008D68C6"/>
    <w:rsid w:val="008E20A6"/>
    <w:rsid w:val="008E70DC"/>
    <w:rsid w:val="009406B9"/>
    <w:rsid w:val="00986547"/>
    <w:rsid w:val="009960AE"/>
    <w:rsid w:val="009B302D"/>
    <w:rsid w:val="009D06BB"/>
    <w:rsid w:val="00A105AD"/>
    <w:rsid w:val="00A11D7A"/>
    <w:rsid w:val="00A25885"/>
    <w:rsid w:val="00A548A1"/>
    <w:rsid w:val="00A93DEB"/>
    <w:rsid w:val="00A94AA9"/>
    <w:rsid w:val="00A97C9E"/>
    <w:rsid w:val="00AA67E0"/>
    <w:rsid w:val="00B01052"/>
    <w:rsid w:val="00B0243D"/>
    <w:rsid w:val="00B24105"/>
    <w:rsid w:val="00B54646"/>
    <w:rsid w:val="00B6753E"/>
    <w:rsid w:val="00B84D7A"/>
    <w:rsid w:val="00B85BB8"/>
    <w:rsid w:val="00BA5015"/>
    <w:rsid w:val="00BB10F5"/>
    <w:rsid w:val="00BB6A14"/>
    <w:rsid w:val="00BC28E5"/>
    <w:rsid w:val="00BC2940"/>
    <w:rsid w:val="00BF0A09"/>
    <w:rsid w:val="00BF2A1F"/>
    <w:rsid w:val="00C06F7F"/>
    <w:rsid w:val="00C43384"/>
    <w:rsid w:val="00C436E8"/>
    <w:rsid w:val="00C50B95"/>
    <w:rsid w:val="00C86C76"/>
    <w:rsid w:val="00CA4C76"/>
    <w:rsid w:val="00CF2117"/>
    <w:rsid w:val="00D01E81"/>
    <w:rsid w:val="00D134DF"/>
    <w:rsid w:val="00D154E8"/>
    <w:rsid w:val="00D30C33"/>
    <w:rsid w:val="00D3691B"/>
    <w:rsid w:val="00D91C65"/>
    <w:rsid w:val="00DA3BB5"/>
    <w:rsid w:val="00DB16A2"/>
    <w:rsid w:val="00DC1683"/>
    <w:rsid w:val="00DF0E72"/>
    <w:rsid w:val="00DF21EE"/>
    <w:rsid w:val="00DF6DCA"/>
    <w:rsid w:val="00E13158"/>
    <w:rsid w:val="00E13C94"/>
    <w:rsid w:val="00E44A51"/>
    <w:rsid w:val="00E64439"/>
    <w:rsid w:val="00EA1CF5"/>
    <w:rsid w:val="00F01432"/>
    <w:rsid w:val="00F05EFA"/>
    <w:rsid w:val="00F40B09"/>
    <w:rsid w:val="00F52C84"/>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EC1760-F8EA-4433-83BA-A0ACCFF6323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20</TotalTime>
  <Pages>14</Pages>
  <Words>5831</Words>
  <Characters>33238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Proyecto de informe de la reunión</vt:lpstr>
    </vt:vector>
  </TitlesOfParts>
  <Company/>
  <LinksUpToDate>false</LinksUpToDate>
  <CharactersWithSpaces>38992</CharactersWithSpaces>
  <SharedDoc>false</SharedDoc>
  <HLinks>
    <vt:vector size="144" baseType="variant">
      <vt:variant>
        <vt:i4>7405681</vt:i4>
      </vt:variant>
      <vt:variant>
        <vt:i4>42</vt:i4>
      </vt:variant>
      <vt:variant>
        <vt:i4>0</vt:i4>
      </vt:variant>
      <vt:variant>
        <vt:i4>5</vt:i4>
      </vt:variant>
      <vt:variant>
        <vt:lpwstr>https://www.cbd.int/decisions/mop/?m=cp-mop-11</vt:lpwstr>
      </vt:variant>
      <vt:variant>
        <vt:lpwstr/>
      </vt:variant>
      <vt:variant>
        <vt:i4>7405681</vt:i4>
      </vt:variant>
      <vt:variant>
        <vt:i4>39</vt:i4>
      </vt:variant>
      <vt:variant>
        <vt:i4>0</vt:i4>
      </vt:variant>
      <vt:variant>
        <vt:i4>5</vt:i4>
      </vt:variant>
      <vt:variant>
        <vt:lpwstr>https://www.cbd.int/decisions/mop/?m=cp-mop-11</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7405681</vt:i4>
      </vt:variant>
      <vt:variant>
        <vt:i4>33</vt:i4>
      </vt:variant>
      <vt:variant>
        <vt:i4>0</vt:i4>
      </vt:variant>
      <vt:variant>
        <vt:i4>5</vt:i4>
      </vt:variant>
      <vt:variant>
        <vt:lpwstr>https://www.cbd.int/decisions/mop/?m=cp-mop-11</vt:lpwstr>
      </vt:variant>
      <vt:variant>
        <vt:lpwstr/>
      </vt:variant>
      <vt:variant>
        <vt:i4>7405681</vt:i4>
      </vt:variant>
      <vt:variant>
        <vt:i4>30</vt:i4>
      </vt:variant>
      <vt:variant>
        <vt:i4>0</vt:i4>
      </vt:variant>
      <vt:variant>
        <vt:i4>5</vt:i4>
      </vt:variant>
      <vt:variant>
        <vt:lpwstr>https://www.cbd.int/decisions/mop/?m=cp-mop-11</vt:lpwstr>
      </vt:variant>
      <vt:variant>
        <vt:lpwstr/>
      </vt:variant>
      <vt:variant>
        <vt:i4>7405681</vt:i4>
      </vt:variant>
      <vt:variant>
        <vt:i4>27</vt:i4>
      </vt:variant>
      <vt:variant>
        <vt:i4>0</vt:i4>
      </vt:variant>
      <vt:variant>
        <vt:i4>5</vt:i4>
      </vt:variant>
      <vt:variant>
        <vt:lpwstr>https://www.cbd.int/decisions/mop/?m=cp-mop-11</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7405681</vt:i4>
      </vt:variant>
      <vt:variant>
        <vt:i4>21</vt:i4>
      </vt:variant>
      <vt:variant>
        <vt:i4>0</vt:i4>
      </vt:variant>
      <vt:variant>
        <vt:i4>5</vt:i4>
      </vt:variant>
      <vt:variant>
        <vt:lpwstr>https://www.cbd.int/decisions/mop/?m=cp-mop-11</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1966104</vt:i4>
      </vt:variant>
      <vt:variant>
        <vt:i4>24</vt:i4>
      </vt:variant>
      <vt:variant>
        <vt:i4>0</vt:i4>
      </vt:variant>
      <vt:variant>
        <vt:i4>5</vt:i4>
      </vt:variant>
      <vt:variant>
        <vt:lpwstr>https://www.cbd.int/documents/CBD/CP/MOP/11/INF/2</vt:lpwstr>
      </vt:variant>
      <vt:variant>
        <vt:lpwstr/>
      </vt:variant>
      <vt:variant>
        <vt:i4>6619178</vt:i4>
      </vt:variant>
      <vt:variant>
        <vt:i4>21</vt:i4>
      </vt:variant>
      <vt:variant>
        <vt:i4>0</vt:i4>
      </vt:variant>
      <vt:variant>
        <vt:i4>5</vt:i4>
      </vt:variant>
      <vt:variant>
        <vt:lpwstr>https://www.cbd.int/documents/CBD/CP/MOP/11/INF/6/REV1</vt:lpwstr>
      </vt:variant>
      <vt:variant>
        <vt:lpwstr/>
      </vt:variant>
      <vt:variant>
        <vt:i4>1966104</vt:i4>
      </vt:variant>
      <vt:variant>
        <vt:i4>18</vt:i4>
      </vt:variant>
      <vt:variant>
        <vt:i4>0</vt:i4>
      </vt:variant>
      <vt:variant>
        <vt:i4>5</vt:i4>
      </vt:variant>
      <vt:variant>
        <vt:lpwstr>https://www.cbd.int/documents/CBD/CP/MOP/11/INF/5</vt:lpwstr>
      </vt:variant>
      <vt:variant>
        <vt:lpwstr/>
      </vt:variant>
      <vt:variant>
        <vt:i4>7209068</vt:i4>
      </vt:variant>
      <vt:variant>
        <vt:i4>15</vt:i4>
      </vt:variant>
      <vt:variant>
        <vt:i4>0</vt:i4>
      </vt:variant>
      <vt:variant>
        <vt:i4>5</vt:i4>
      </vt:variant>
      <vt:variant>
        <vt:lpwstr>https://www.cbd.int/documents/CBD/COP/16/1/ADD5</vt:lpwstr>
      </vt:variant>
      <vt:variant>
        <vt:lpwstr/>
      </vt:variant>
      <vt:variant>
        <vt:i4>7209068</vt:i4>
      </vt:variant>
      <vt:variant>
        <vt:i4>12</vt:i4>
      </vt:variant>
      <vt:variant>
        <vt:i4>0</vt:i4>
      </vt:variant>
      <vt:variant>
        <vt:i4>5</vt:i4>
      </vt:variant>
      <vt:variant>
        <vt:lpwstr>https://www.cbd.int/documents/CBD/COP/16/1/ADD4</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2555939</vt:i4>
      </vt:variant>
      <vt:variant>
        <vt:i4>3</vt:i4>
      </vt:variant>
      <vt:variant>
        <vt:i4>0</vt:i4>
      </vt:variant>
      <vt:variant>
        <vt:i4>5</vt:i4>
      </vt:variant>
      <vt:variant>
        <vt:lpwstr>https://www.cbd.int/documents/CBD/CP/MOP/11/1/ADD3</vt:lpwstr>
      </vt:variant>
      <vt:variant>
        <vt:lpwstr/>
      </vt:variant>
      <vt:variant>
        <vt:i4>393218</vt:i4>
      </vt:variant>
      <vt:variant>
        <vt:i4>0</vt:i4>
      </vt:variant>
      <vt:variant>
        <vt:i4>0</vt:i4>
      </vt:variant>
      <vt:variant>
        <vt:i4>5</vt:i4>
      </vt:variant>
      <vt:variant>
        <vt:lpwstr>https://www.cbd.int/meetings/CP-MOP-11-R1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CBD/CP/MOP/11/L.1/Rev.1</dc:subject>
  <dc:creator>Secretariat of the Convention on Biological Diversity</dc:creator>
  <cp:keywords>Conference of the Parties serving as the meeting of the Parties to the Cartagena Protocol on Biosafety</cp:keywords>
  <dc:description/>
  <cp:lastModifiedBy>Blima</cp:lastModifiedBy>
  <cp:revision>5</cp:revision>
  <cp:lastPrinted>2024-08-30T22:52:00Z</cp:lastPrinted>
  <dcterms:created xsi:type="dcterms:W3CDTF">2025-02-26T21:34:00Z</dcterms:created>
  <dcterms:modified xsi:type="dcterms:W3CDTF">2025-02-26T22:28:00Z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