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832" w:type="dxa"/>
        <w:tblInd w:w="-4" w:type="dxa"/>
        <w:tblBorders>
          <w:bottom w:val="single" w:sz="30" w:space="0" w:color="000000"/>
        </w:tblBorders>
        <w:tblLayout w:type="fixed"/>
        <w:tblLook w:val="0000" w:firstRow="0" w:lastRow="0" w:firstColumn="0" w:lastColumn="0" w:noHBand="0" w:noVBand="0"/>
      </w:tblPr>
      <w:tblGrid>
        <w:gridCol w:w="1371"/>
        <w:gridCol w:w="1260"/>
        <w:gridCol w:w="2611"/>
        <w:gridCol w:w="1980"/>
        <w:gridCol w:w="2610"/>
      </w:tblGrid>
      <w:tr w:rsidR="00971F06" w:rsidRPr="00711439" w:rsidTr="00B524C8">
        <w:tc>
          <w:tcPr>
            <w:tcW w:w="1371" w:type="dxa"/>
            <w:tcBorders>
              <w:bottom w:val="single" w:sz="12" w:space="0" w:color="000000"/>
            </w:tcBorders>
          </w:tcPr>
          <w:p w:rsidR="00971F06" w:rsidRPr="00711439" w:rsidRDefault="00971F06" w:rsidP="00B524C8">
            <w:pPr>
              <w:topLinePunct/>
              <w:rPr>
                <w:noProof/>
              </w:rPr>
            </w:pPr>
            <w:r w:rsidRPr="00711439">
              <w:rPr>
                <w:rFonts w:ascii="Cambria" w:hAnsi="Cambria"/>
                <w:noProof/>
                <w:snapToGrid w:val="0"/>
                <w:kern w:val="22"/>
              </w:rPr>
              <w:drawing>
                <wp:inline distT="0" distB="0" distL="0" distR="0" wp14:anchorId="30167F1B" wp14:editId="6A16F324">
                  <wp:extent cx="514350" cy="457200"/>
                  <wp:effectExtent l="0" t="0" r="0" b="0"/>
                  <wp:docPr id="2"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14350" cy="457200"/>
                          </a:xfrm>
                          <a:prstGeom prst="rect">
                            <a:avLst/>
                          </a:prstGeom>
                          <a:noFill/>
                          <a:ln>
                            <a:noFill/>
                          </a:ln>
                        </pic:spPr>
                      </pic:pic>
                    </a:graphicData>
                  </a:graphic>
                </wp:inline>
              </w:drawing>
            </w:r>
          </w:p>
        </w:tc>
        <w:tc>
          <w:tcPr>
            <w:tcW w:w="1260" w:type="dxa"/>
            <w:tcBorders>
              <w:bottom w:val="single" w:sz="12" w:space="0" w:color="000000"/>
            </w:tcBorders>
          </w:tcPr>
          <w:p w:rsidR="00971F06" w:rsidRPr="00711439" w:rsidRDefault="00971F06" w:rsidP="00B524C8">
            <w:pPr>
              <w:topLinePunct/>
            </w:pPr>
            <w:r w:rsidRPr="00711439">
              <w:rPr>
                <w:noProof/>
              </w:rPr>
              <w:drawing>
                <wp:inline distT="0" distB="0" distL="0" distR="0" wp14:anchorId="0D7A9F19" wp14:editId="34362E97">
                  <wp:extent cx="465455" cy="5080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65455" cy="508000"/>
                          </a:xfrm>
                          <a:prstGeom prst="rect">
                            <a:avLst/>
                          </a:prstGeom>
                          <a:noFill/>
                        </pic:spPr>
                      </pic:pic>
                    </a:graphicData>
                  </a:graphic>
                </wp:inline>
              </w:drawing>
            </w:r>
          </w:p>
        </w:tc>
        <w:tc>
          <w:tcPr>
            <w:tcW w:w="7201" w:type="dxa"/>
            <w:gridSpan w:val="3"/>
            <w:tcBorders>
              <w:bottom w:val="single" w:sz="12" w:space="0" w:color="000000"/>
            </w:tcBorders>
          </w:tcPr>
          <w:p w:rsidR="00971F06" w:rsidRPr="00711439" w:rsidRDefault="00971F06" w:rsidP="00B524C8">
            <w:pPr>
              <w:keepNext/>
              <w:topLinePunct/>
              <w:spacing w:beforeLines="30" w:before="72"/>
              <w:jc w:val="right"/>
              <w:outlineLvl w:val="7"/>
              <w:rPr>
                <w:rFonts w:ascii="Arial" w:hAnsi="Arial"/>
                <w:b/>
                <w:sz w:val="32"/>
                <w:szCs w:val="32"/>
              </w:rPr>
            </w:pPr>
            <w:r w:rsidRPr="00711439">
              <w:rPr>
                <w:rFonts w:ascii="Arial" w:hAnsi="Arial"/>
                <w:b/>
                <w:sz w:val="32"/>
                <w:szCs w:val="32"/>
              </w:rPr>
              <w:t>CBD</w:t>
            </w:r>
          </w:p>
          <w:p w:rsidR="00971F06" w:rsidRPr="00711439" w:rsidRDefault="00971F06" w:rsidP="00B524C8">
            <w:pPr>
              <w:topLinePunct/>
              <w:rPr>
                <w:rFonts w:ascii="Univers" w:hAnsi="Univers"/>
                <w:b/>
                <w:sz w:val="36"/>
                <w:szCs w:val="36"/>
              </w:rPr>
            </w:pPr>
          </w:p>
        </w:tc>
      </w:tr>
      <w:tr w:rsidR="00971F06" w:rsidRPr="00711439" w:rsidTr="00B524C8">
        <w:trPr>
          <w:trHeight w:val="1693"/>
        </w:trPr>
        <w:tc>
          <w:tcPr>
            <w:tcW w:w="5242" w:type="dxa"/>
            <w:gridSpan w:val="3"/>
          </w:tcPr>
          <w:p w:rsidR="00971F06" w:rsidRPr="00711439" w:rsidRDefault="00971F06" w:rsidP="00B524C8">
            <w:pPr>
              <w:topLinePunct/>
              <w:rPr>
                <w:sz w:val="16"/>
                <w:szCs w:val="16"/>
              </w:rPr>
            </w:pPr>
          </w:p>
          <w:p w:rsidR="00971F06" w:rsidRPr="00711439" w:rsidRDefault="00971F06" w:rsidP="00B524C8">
            <w:pPr>
              <w:topLinePunct/>
              <w:rPr>
                <w:b/>
                <w:sz w:val="40"/>
                <w:szCs w:val="40"/>
              </w:rPr>
            </w:pPr>
            <w:r w:rsidRPr="00711439">
              <w:rPr>
                <w:b/>
                <w:noProof/>
                <w:sz w:val="40"/>
                <w:szCs w:val="40"/>
              </w:rPr>
              <w:drawing>
                <wp:inline distT="0" distB="0" distL="0" distR="0" wp14:anchorId="1DA62CA7" wp14:editId="0B0BB553">
                  <wp:extent cx="3181350" cy="1145825"/>
                  <wp:effectExtent l="0" t="0" r="0" b="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189623" cy="1148805"/>
                          </a:xfrm>
                          <a:prstGeom prst="rect">
                            <a:avLst/>
                          </a:prstGeom>
                          <a:noFill/>
                          <a:ln>
                            <a:noFill/>
                          </a:ln>
                        </pic:spPr>
                      </pic:pic>
                    </a:graphicData>
                  </a:graphic>
                </wp:inline>
              </w:drawing>
            </w:r>
          </w:p>
          <w:p w:rsidR="00971F06" w:rsidRPr="00711439" w:rsidRDefault="00971F06" w:rsidP="00B524C8">
            <w:pPr>
              <w:topLinePunct/>
              <w:rPr>
                <w:b/>
                <w:sz w:val="16"/>
                <w:szCs w:val="16"/>
              </w:rPr>
            </w:pPr>
          </w:p>
        </w:tc>
        <w:tc>
          <w:tcPr>
            <w:tcW w:w="1980" w:type="dxa"/>
          </w:tcPr>
          <w:p w:rsidR="00971F06" w:rsidRPr="00711439" w:rsidRDefault="00971F06" w:rsidP="00B524C8">
            <w:pPr>
              <w:topLinePunct/>
            </w:pPr>
          </w:p>
        </w:tc>
        <w:tc>
          <w:tcPr>
            <w:tcW w:w="2610" w:type="dxa"/>
          </w:tcPr>
          <w:p w:rsidR="00971F06" w:rsidRPr="00971F06" w:rsidRDefault="00971F06" w:rsidP="00B524C8">
            <w:pPr>
              <w:topLinePunct/>
              <w:spacing w:before="120"/>
              <w:rPr>
                <w:sz w:val="24"/>
              </w:rPr>
            </w:pPr>
            <w:r w:rsidRPr="00971F06">
              <w:rPr>
                <w:sz w:val="24"/>
              </w:rPr>
              <w:t xml:space="preserve">Distr. </w:t>
            </w:r>
          </w:p>
          <w:p w:rsidR="00971F06" w:rsidRPr="00971F06" w:rsidRDefault="00971F06" w:rsidP="00B524C8">
            <w:pPr>
              <w:topLinePunct/>
              <w:rPr>
                <w:sz w:val="24"/>
              </w:rPr>
            </w:pPr>
            <w:r w:rsidRPr="00971F06">
              <w:rPr>
                <w:sz w:val="24"/>
              </w:rPr>
              <w:t>LIMITED</w:t>
            </w:r>
          </w:p>
          <w:p w:rsidR="00971F06" w:rsidRPr="00971F06" w:rsidRDefault="00971F06" w:rsidP="00B524C8">
            <w:pPr>
              <w:topLinePunct/>
              <w:rPr>
                <w:sz w:val="24"/>
              </w:rPr>
            </w:pPr>
          </w:p>
          <w:p w:rsidR="00971F06" w:rsidRPr="00971F06" w:rsidRDefault="00971F06" w:rsidP="00B524C8">
            <w:pPr>
              <w:topLinePunct/>
              <w:rPr>
                <w:sz w:val="24"/>
              </w:rPr>
            </w:pPr>
            <w:r w:rsidRPr="00971F06">
              <w:rPr>
                <w:sz w:val="24"/>
              </w:rPr>
              <w:t>CBD/COP/14/L.</w:t>
            </w:r>
            <w:r w:rsidRPr="00971F06">
              <w:rPr>
                <w:rFonts w:hint="eastAsia"/>
                <w:sz w:val="24"/>
              </w:rPr>
              <w:t>28</w:t>
            </w:r>
          </w:p>
          <w:p w:rsidR="00971F06" w:rsidRPr="00971F06" w:rsidRDefault="00971F06" w:rsidP="00B524C8">
            <w:pPr>
              <w:topLinePunct/>
              <w:rPr>
                <w:sz w:val="24"/>
              </w:rPr>
            </w:pPr>
            <w:r w:rsidRPr="00971F06">
              <w:rPr>
                <w:rFonts w:hint="eastAsia"/>
                <w:sz w:val="24"/>
              </w:rPr>
              <w:t>27</w:t>
            </w:r>
            <w:r w:rsidRPr="00971F06">
              <w:rPr>
                <w:sz w:val="24"/>
              </w:rPr>
              <w:t xml:space="preserve"> November 2018</w:t>
            </w:r>
          </w:p>
          <w:p w:rsidR="00971F06" w:rsidRPr="00971F06" w:rsidRDefault="00971F06" w:rsidP="00B524C8">
            <w:pPr>
              <w:topLinePunct/>
              <w:rPr>
                <w:sz w:val="24"/>
              </w:rPr>
            </w:pPr>
          </w:p>
          <w:p w:rsidR="00971F06" w:rsidRPr="00971F06" w:rsidRDefault="00971F06" w:rsidP="00B524C8">
            <w:pPr>
              <w:topLinePunct/>
              <w:rPr>
                <w:sz w:val="24"/>
              </w:rPr>
            </w:pPr>
            <w:r w:rsidRPr="00971F06">
              <w:rPr>
                <w:rFonts w:hint="eastAsia"/>
                <w:sz w:val="24"/>
              </w:rPr>
              <w:t>CHINESE</w:t>
            </w:r>
          </w:p>
          <w:p w:rsidR="00971F06" w:rsidRPr="00711439" w:rsidRDefault="00971F06" w:rsidP="00B524C8">
            <w:pPr>
              <w:spacing w:after="120"/>
              <w:rPr>
                <w:rFonts w:ascii="Courier New" w:hAnsi="Courier New"/>
                <w:szCs w:val="22"/>
              </w:rPr>
            </w:pPr>
            <w:r w:rsidRPr="00971F06">
              <w:rPr>
                <w:sz w:val="24"/>
              </w:rPr>
              <w:t>ORIGINAL: ENGLISH</w:t>
            </w:r>
          </w:p>
        </w:tc>
      </w:tr>
    </w:tbl>
    <w:p w:rsidR="00666863" w:rsidRPr="00E844E8" w:rsidRDefault="00666863">
      <w:pPr>
        <w:autoSpaceDE w:val="0"/>
        <w:autoSpaceDN w:val="0"/>
        <w:adjustRightInd w:val="0"/>
        <w:spacing w:before="60"/>
        <w:rPr>
          <w:rFonts w:ascii="SimSun" w:cs="Times New Roman"/>
          <w:sz w:val="24"/>
        </w:rPr>
      </w:pPr>
      <w:r>
        <w:rPr>
          <w:rFonts w:ascii="SimSun" w:cs="Times New Roman" w:hint="eastAsia"/>
          <w:noProof/>
          <w:sz w:val="24"/>
        </w:rPr>
        <w:t>生物多样性公约缔约方大会</w:t>
      </w:r>
    </w:p>
    <w:p w:rsidR="00666863" w:rsidRDefault="00CA47C3">
      <w:pPr>
        <w:autoSpaceDE w:val="0"/>
        <w:autoSpaceDN w:val="0"/>
        <w:adjustRightInd w:val="0"/>
        <w:rPr>
          <w:rFonts w:cs="Times New Roman"/>
          <w:sz w:val="24"/>
        </w:rPr>
      </w:pPr>
      <w:r>
        <w:rPr>
          <w:rFonts w:ascii="SimSun" w:cs="Times New Roman" w:hint="eastAsia"/>
          <w:noProof/>
          <w:sz w:val="24"/>
        </w:rPr>
        <w:t>第十四</w:t>
      </w:r>
      <w:r w:rsidR="00666863">
        <w:rPr>
          <w:rFonts w:ascii="SimSun" w:cs="Times New Roman" w:hint="eastAsia"/>
          <w:noProof/>
          <w:sz w:val="24"/>
        </w:rPr>
        <w:t>届会议</w:t>
      </w:r>
    </w:p>
    <w:p w:rsidR="001C6AF5" w:rsidRPr="00FA2E6B" w:rsidRDefault="001C6AF5" w:rsidP="001C6AF5">
      <w:pPr>
        <w:pStyle w:val="Cornernotation"/>
        <w:ind w:left="230" w:right="3168" w:hanging="230"/>
        <w:rPr>
          <w:bCs/>
          <w:iCs/>
          <w:sz w:val="24"/>
        </w:rPr>
      </w:pPr>
      <w:r w:rsidRPr="00FA2E6B">
        <w:rPr>
          <w:bCs/>
          <w:iCs/>
          <w:sz w:val="24"/>
        </w:rPr>
        <w:t>2018</w:t>
      </w:r>
      <w:r w:rsidRPr="00FA2E6B">
        <w:rPr>
          <w:bCs/>
          <w:iCs/>
          <w:sz w:val="24"/>
        </w:rPr>
        <w:t>年</w:t>
      </w:r>
      <w:r w:rsidRPr="00FA2E6B">
        <w:rPr>
          <w:bCs/>
          <w:iCs/>
          <w:sz w:val="24"/>
        </w:rPr>
        <w:t>11</w:t>
      </w:r>
      <w:r w:rsidRPr="00FA2E6B">
        <w:rPr>
          <w:bCs/>
          <w:iCs/>
          <w:sz w:val="24"/>
        </w:rPr>
        <w:t>月</w:t>
      </w:r>
      <w:r w:rsidRPr="00FA2E6B">
        <w:rPr>
          <w:bCs/>
          <w:iCs/>
          <w:sz w:val="24"/>
        </w:rPr>
        <w:t>17</w:t>
      </w:r>
      <w:r w:rsidRPr="00FA2E6B">
        <w:rPr>
          <w:bCs/>
          <w:iCs/>
          <w:sz w:val="24"/>
        </w:rPr>
        <w:t>日至</w:t>
      </w:r>
      <w:r w:rsidRPr="00FA2E6B">
        <w:rPr>
          <w:bCs/>
          <w:iCs/>
          <w:sz w:val="24"/>
        </w:rPr>
        <w:t>29</w:t>
      </w:r>
      <w:r w:rsidRPr="00FA2E6B">
        <w:rPr>
          <w:bCs/>
          <w:iCs/>
          <w:sz w:val="24"/>
        </w:rPr>
        <w:t>日，埃及沙姆沙伊赫</w:t>
      </w:r>
    </w:p>
    <w:p w:rsidR="00666863" w:rsidRDefault="00666863">
      <w:pPr>
        <w:pStyle w:val="Cornernotation"/>
        <w:ind w:right="3548"/>
        <w:rPr>
          <w:rFonts w:ascii="Univers" w:hAnsi="Univers" w:cs="Times New Roman"/>
          <w:kern w:val="22"/>
        </w:rPr>
      </w:pPr>
      <w:r>
        <w:rPr>
          <w:rFonts w:ascii="SimSun" w:cs="Times New Roman" w:hint="eastAsia"/>
          <w:noProof/>
          <w:sz w:val="24"/>
        </w:rPr>
        <w:t>议程项</w:t>
      </w:r>
      <w:r w:rsidRPr="00EF36C9">
        <w:rPr>
          <w:rFonts w:ascii="SimSun" w:cs="Times New Roman" w:hint="eastAsia"/>
          <w:noProof/>
          <w:sz w:val="24"/>
        </w:rPr>
        <w:t>目</w:t>
      </w:r>
      <w:r w:rsidR="003B5D1B">
        <w:rPr>
          <w:rFonts w:cs="Times New Roman"/>
          <w:noProof/>
          <w:kern w:val="22"/>
          <w:sz w:val="24"/>
        </w:rPr>
        <w:t>2</w:t>
      </w:r>
      <w:r w:rsidR="00066A04">
        <w:rPr>
          <w:rFonts w:cs="Times New Roman"/>
          <w:noProof/>
          <w:kern w:val="22"/>
          <w:sz w:val="24"/>
        </w:rPr>
        <w:t>3</w:t>
      </w:r>
    </w:p>
    <w:p w:rsidR="00495DEF" w:rsidRPr="00495DEF" w:rsidRDefault="00495DEF" w:rsidP="00495DEF">
      <w:pPr>
        <w:pStyle w:val="Heading1"/>
        <w:spacing w:after="240"/>
        <w:rPr>
          <w:rFonts w:ascii="SimHei" w:eastAsia="SimHei" w:hAnsi="SimHei" w:cs="Times New Roman"/>
          <w:b w:val="0"/>
          <w:noProof/>
          <w:kern w:val="22"/>
          <w:sz w:val="28"/>
        </w:rPr>
      </w:pPr>
      <w:r w:rsidRPr="00495DEF">
        <w:rPr>
          <w:rFonts w:ascii="SimHei" w:eastAsia="SimHei" w:hAnsi="SimHei" w:cs="Times New Roman" w:hint="eastAsia"/>
          <w:b w:val="0"/>
          <w:noProof/>
          <w:kern w:val="22"/>
          <w:sz w:val="28"/>
        </w:rPr>
        <w:t>保护和可持续利用授粉媒介</w:t>
      </w:r>
    </w:p>
    <w:p w:rsidR="00666863" w:rsidRDefault="003B5D1B" w:rsidP="00362B19">
      <w:pPr>
        <w:pStyle w:val="Heading1"/>
        <w:spacing w:before="120" w:after="240"/>
        <w:rPr>
          <w:rFonts w:cs="Times New Roman"/>
          <w:kern w:val="22"/>
          <w:sz w:val="24"/>
        </w:rPr>
      </w:pPr>
      <w:r>
        <w:rPr>
          <w:rFonts w:ascii="SimSun" w:cs="Times New Roman" w:hint="eastAsia"/>
          <w:caps w:val="0"/>
          <w:noProof/>
          <w:kern w:val="22"/>
          <w:sz w:val="24"/>
        </w:rPr>
        <w:t>第二工作组</w:t>
      </w:r>
      <w:r>
        <w:rPr>
          <w:rFonts w:ascii="SimSun" w:cs="Times New Roman"/>
          <w:caps w:val="0"/>
          <w:noProof/>
          <w:kern w:val="22"/>
          <w:sz w:val="24"/>
        </w:rPr>
        <w:t>主席</w:t>
      </w:r>
      <w:r w:rsidR="00666863">
        <w:rPr>
          <w:rFonts w:ascii="SimSun" w:cs="Times New Roman" w:hint="eastAsia"/>
          <w:caps w:val="0"/>
          <w:noProof/>
          <w:kern w:val="22"/>
          <w:sz w:val="24"/>
        </w:rPr>
        <w:t>提交的决定草案</w:t>
      </w:r>
      <w:bookmarkStart w:id="0" w:name="_GoBack"/>
      <w:bookmarkEnd w:id="0"/>
    </w:p>
    <w:p w:rsidR="00666863" w:rsidRDefault="00666863" w:rsidP="00AA694D">
      <w:pPr>
        <w:pStyle w:val="Para1"/>
        <w:numPr>
          <w:ilvl w:val="0"/>
          <w:numId w:val="0"/>
        </w:numPr>
        <w:spacing w:beforeLines="50" w:before="120" w:line="240" w:lineRule="atLeast"/>
        <w:ind w:firstLine="720"/>
        <w:rPr>
          <w:rFonts w:hAnsi="SimSun" w:cs="Times New Roman"/>
          <w:i/>
          <w:noProof/>
          <w:kern w:val="22"/>
          <w:sz w:val="24"/>
          <w:szCs w:val="24"/>
        </w:rPr>
      </w:pPr>
      <w:bookmarkStart w:id="1" w:name="_Ref314474052"/>
      <w:r w:rsidRPr="004C4203">
        <w:rPr>
          <w:rFonts w:ascii="KaiTi" w:eastAsia="KaiTi" w:hAnsi="KaiTi" w:cs="Times New Roman"/>
          <w:kern w:val="22"/>
          <w:sz w:val="24"/>
          <w:szCs w:val="24"/>
          <w:lang w:val="zh-CN"/>
        </w:rPr>
        <w:t>缔约方大会</w:t>
      </w:r>
      <w:r w:rsidRPr="004C4203">
        <w:rPr>
          <w:rFonts w:hAnsi="SimSun" w:cs="Times New Roman"/>
          <w:noProof/>
          <w:kern w:val="22"/>
          <w:sz w:val="24"/>
          <w:szCs w:val="24"/>
        </w:rPr>
        <w:t>，</w:t>
      </w:r>
    </w:p>
    <w:bookmarkEnd w:id="1"/>
    <w:p w:rsidR="00495DEF" w:rsidRPr="00226587" w:rsidRDefault="00495DEF" w:rsidP="00495DEF">
      <w:pPr>
        <w:suppressLineNumbers/>
        <w:tabs>
          <w:tab w:val="left" w:pos="1440"/>
        </w:tabs>
        <w:suppressAutoHyphens/>
        <w:adjustRightInd w:val="0"/>
        <w:snapToGrid w:val="0"/>
        <w:spacing w:before="120" w:after="120"/>
        <w:ind w:firstLine="720"/>
        <w:rPr>
          <w:rStyle w:val="Hyperlink"/>
          <w:rFonts w:eastAsiaTheme="minorEastAsia"/>
          <w:sz w:val="24"/>
        </w:rPr>
      </w:pPr>
      <w:r w:rsidRPr="00226587">
        <w:rPr>
          <w:rFonts w:ascii="KaiTi" w:eastAsia="KaiTi" w:hAnsi="KaiTi" w:cs="SimSun"/>
          <w:kern w:val="22"/>
          <w:sz w:val="24"/>
        </w:rPr>
        <w:t>回顾</w:t>
      </w:r>
      <w:r w:rsidRPr="00226587">
        <w:rPr>
          <w:rFonts w:eastAsiaTheme="minorEastAsia"/>
          <w:snapToGrid w:val="0"/>
          <w:kern w:val="22"/>
          <w:sz w:val="24"/>
        </w:rPr>
        <w:t>第</w:t>
      </w:r>
      <w:hyperlink r:id="rId11" w:history="1">
        <w:r w:rsidRPr="00226587">
          <w:rPr>
            <w:rStyle w:val="Hyperlink"/>
            <w:rFonts w:eastAsiaTheme="minorEastAsia"/>
            <w:spacing w:val="-4"/>
            <w:kern w:val="22"/>
            <w:sz w:val="24"/>
          </w:rPr>
          <w:t>III/11</w:t>
        </w:r>
      </w:hyperlink>
      <w:r w:rsidRPr="00226587">
        <w:rPr>
          <w:rFonts w:eastAsiaTheme="minorEastAsia"/>
          <w:snapToGrid w:val="0"/>
          <w:kern w:val="22"/>
          <w:sz w:val="24"/>
        </w:rPr>
        <w:t>号决定附件三、第</w:t>
      </w:r>
      <w:r>
        <w:rPr>
          <w:rStyle w:val="Hyperlink"/>
          <w:rFonts w:eastAsiaTheme="minorEastAsia"/>
          <w:sz w:val="24"/>
        </w:rPr>
        <w:fldChar w:fldCharType="begin"/>
      </w:r>
      <w:r>
        <w:rPr>
          <w:rStyle w:val="Hyperlink"/>
          <w:rFonts w:eastAsiaTheme="minorEastAsia"/>
          <w:sz w:val="24"/>
        </w:rPr>
        <w:instrText xml:space="preserve"> HYPERLINK "https://www.cbd.int/doc/decisions/cop-05/full/cop-05-dec-zh.pdf" </w:instrText>
      </w:r>
      <w:r>
        <w:rPr>
          <w:rStyle w:val="Hyperlink"/>
          <w:rFonts w:eastAsiaTheme="minorEastAsia"/>
          <w:sz w:val="24"/>
        </w:rPr>
        <w:fldChar w:fldCharType="separate"/>
      </w:r>
      <w:r w:rsidRPr="00226587">
        <w:rPr>
          <w:rStyle w:val="Hyperlink"/>
          <w:rFonts w:eastAsiaTheme="minorEastAsia"/>
          <w:sz w:val="24"/>
        </w:rPr>
        <w:t>V/5</w:t>
      </w:r>
      <w:r>
        <w:rPr>
          <w:rStyle w:val="Hyperlink"/>
          <w:rFonts w:eastAsiaTheme="minorEastAsia"/>
          <w:sz w:val="24"/>
        </w:rPr>
        <w:fldChar w:fldCharType="end"/>
      </w:r>
      <w:r w:rsidRPr="00226587">
        <w:rPr>
          <w:rFonts w:eastAsiaTheme="minorEastAsia"/>
          <w:snapToGrid w:val="0"/>
          <w:kern w:val="22"/>
          <w:sz w:val="24"/>
        </w:rPr>
        <w:t>号决定、第</w:t>
      </w:r>
      <w:r>
        <w:rPr>
          <w:rStyle w:val="Hyperlink"/>
          <w:rFonts w:eastAsiaTheme="minorEastAsia"/>
          <w:snapToGrid w:val="0"/>
          <w:kern w:val="22"/>
          <w:sz w:val="24"/>
        </w:rPr>
        <w:fldChar w:fldCharType="begin"/>
      </w:r>
      <w:r>
        <w:rPr>
          <w:rStyle w:val="Hyperlink"/>
          <w:rFonts w:eastAsiaTheme="minorEastAsia"/>
          <w:snapToGrid w:val="0"/>
          <w:kern w:val="22"/>
          <w:sz w:val="24"/>
        </w:rPr>
        <w:instrText xml:space="preserve"> HYPERLINK "https://www.cbd.int/doc/decisions/cop-06/full/cop-06-dec-zh.pdf" </w:instrText>
      </w:r>
      <w:r>
        <w:rPr>
          <w:rStyle w:val="Hyperlink"/>
          <w:rFonts w:eastAsiaTheme="minorEastAsia"/>
          <w:snapToGrid w:val="0"/>
          <w:kern w:val="22"/>
          <w:sz w:val="24"/>
        </w:rPr>
        <w:fldChar w:fldCharType="separate"/>
      </w:r>
      <w:r w:rsidRPr="00226587">
        <w:rPr>
          <w:rStyle w:val="Hyperlink"/>
          <w:rFonts w:eastAsiaTheme="minorEastAsia"/>
          <w:snapToGrid w:val="0"/>
          <w:kern w:val="22"/>
          <w:sz w:val="24"/>
        </w:rPr>
        <w:t>VI/5</w:t>
      </w:r>
      <w:r>
        <w:rPr>
          <w:rStyle w:val="Hyperlink"/>
          <w:rFonts w:eastAsiaTheme="minorEastAsia"/>
          <w:snapToGrid w:val="0"/>
          <w:kern w:val="22"/>
          <w:sz w:val="24"/>
        </w:rPr>
        <w:fldChar w:fldCharType="end"/>
      </w:r>
      <w:r w:rsidRPr="00226587">
        <w:rPr>
          <w:rFonts w:eastAsiaTheme="minorEastAsia"/>
          <w:snapToGrid w:val="0"/>
          <w:kern w:val="22"/>
          <w:sz w:val="24"/>
        </w:rPr>
        <w:t>号决定和第</w:t>
      </w:r>
      <w:r w:rsidR="009410DC">
        <w:rPr>
          <w:rStyle w:val="Hyperlink"/>
          <w:rFonts w:eastAsiaTheme="minorEastAsia"/>
          <w:snapToGrid w:val="0"/>
          <w:kern w:val="22"/>
          <w:sz w:val="24"/>
        </w:rPr>
        <w:fldChar w:fldCharType="begin"/>
      </w:r>
      <w:r w:rsidR="009410DC">
        <w:rPr>
          <w:rStyle w:val="Hyperlink"/>
          <w:rFonts w:eastAsiaTheme="minorEastAsia"/>
          <w:snapToGrid w:val="0"/>
          <w:kern w:val="22"/>
          <w:sz w:val="24"/>
        </w:rPr>
        <w:instrText xml:space="preserve"> HYPERLINK "https://www.cbd.int/doc/decisions/cop-13/cop-13-dec-15-zh.pdf" </w:instrText>
      </w:r>
      <w:r w:rsidR="009410DC">
        <w:rPr>
          <w:rStyle w:val="Hyperlink"/>
          <w:rFonts w:eastAsiaTheme="minorEastAsia"/>
          <w:snapToGrid w:val="0"/>
          <w:kern w:val="22"/>
          <w:sz w:val="24"/>
        </w:rPr>
        <w:fldChar w:fldCharType="separate"/>
      </w:r>
      <w:r w:rsidRPr="00226587">
        <w:rPr>
          <w:rStyle w:val="Hyperlink"/>
          <w:rFonts w:eastAsiaTheme="minorEastAsia"/>
          <w:snapToGrid w:val="0"/>
          <w:kern w:val="22"/>
          <w:sz w:val="24"/>
        </w:rPr>
        <w:t>XIII/15</w:t>
      </w:r>
      <w:r w:rsidR="009410DC">
        <w:rPr>
          <w:rStyle w:val="Hyperlink"/>
          <w:rFonts w:eastAsiaTheme="minorEastAsia"/>
          <w:snapToGrid w:val="0"/>
          <w:kern w:val="22"/>
          <w:sz w:val="24"/>
        </w:rPr>
        <w:fldChar w:fldCharType="end"/>
      </w:r>
      <w:r w:rsidRPr="00226587">
        <w:rPr>
          <w:rFonts w:eastAsiaTheme="minorEastAsia"/>
          <w:snapToGrid w:val="0"/>
          <w:kern w:val="22"/>
          <w:sz w:val="24"/>
        </w:rPr>
        <w:t>号决定，</w:t>
      </w:r>
    </w:p>
    <w:p w:rsidR="00495DEF" w:rsidRPr="00226587" w:rsidRDefault="00495DEF" w:rsidP="00495DEF">
      <w:pPr>
        <w:suppressLineNumbers/>
        <w:tabs>
          <w:tab w:val="left" w:pos="1440"/>
        </w:tabs>
        <w:suppressAutoHyphens/>
        <w:adjustRightInd w:val="0"/>
        <w:snapToGrid w:val="0"/>
        <w:spacing w:before="120" w:after="120"/>
        <w:ind w:firstLine="720"/>
        <w:rPr>
          <w:rFonts w:eastAsiaTheme="minorEastAsia"/>
          <w:i/>
          <w:sz w:val="24"/>
        </w:rPr>
      </w:pPr>
      <w:r w:rsidRPr="00226587">
        <w:rPr>
          <w:rFonts w:ascii="KaiTi" w:eastAsia="KaiTi" w:hAnsi="KaiTi" w:cs="SimSun"/>
          <w:kern w:val="22"/>
          <w:sz w:val="24"/>
        </w:rPr>
        <w:t>注意到</w:t>
      </w:r>
      <w:r w:rsidRPr="00226587">
        <w:rPr>
          <w:rFonts w:eastAsiaTheme="minorEastAsia"/>
          <w:snapToGrid w:val="0"/>
          <w:kern w:val="22"/>
          <w:sz w:val="24"/>
        </w:rPr>
        <w:t>授粉媒介和授粉对所有生态系统，包括农业和粮食生产系统以外的生态系统的重要性，特别是对土著人民和地方社区的生计和文化的重要性，并认识到促进保护和可持续利用授粉媒介及授粉功能和服务的各项活动对达成爱知生物多样性指标和实现可持续发展目标的重要贡献，</w:t>
      </w:r>
    </w:p>
    <w:p w:rsidR="00495DEF" w:rsidRPr="00226587" w:rsidRDefault="00FA727E" w:rsidP="00495DEF">
      <w:pPr>
        <w:suppressLineNumbers/>
        <w:tabs>
          <w:tab w:val="left" w:pos="1440"/>
        </w:tabs>
        <w:suppressAutoHyphens/>
        <w:adjustRightInd w:val="0"/>
        <w:snapToGrid w:val="0"/>
        <w:spacing w:before="120" w:after="120"/>
        <w:ind w:firstLine="720"/>
        <w:rPr>
          <w:rFonts w:eastAsiaTheme="minorEastAsia"/>
          <w:snapToGrid w:val="0"/>
          <w:kern w:val="22"/>
          <w:sz w:val="24"/>
        </w:rPr>
      </w:pPr>
      <w:r>
        <w:rPr>
          <w:rFonts w:ascii="KaiTi" w:eastAsia="KaiTi" w:hAnsi="KaiTi" w:cs="SimSun" w:hint="eastAsia"/>
          <w:kern w:val="22"/>
          <w:sz w:val="24"/>
        </w:rPr>
        <w:t>确信</w:t>
      </w:r>
      <w:r w:rsidR="00495DEF" w:rsidRPr="00226587">
        <w:rPr>
          <w:rFonts w:eastAsiaTheme="minorEastAsia"/>
          <w:sz w:val="24"/>
        </w:rPr>
        <w:t>促进保护和可持续利用授粉媒介及授粉功能和服务的活动是通过促进农业部门和各部门采用更可持续的做法向建立更可持续的粮食系统</w:t>
      </w:r>
      <w:r w:rsidR="00495DEF" w:rsidRPr="00226587">
        <w:rPr>
          <w:rFonts w:eastAsiaTheme="minorEastAsia"/>
          <w:sz w:val="24"/>
          <w:lang w:val="en-US"/>
        </w:rPr>
        <w:t>过渡</w:t>
      </w:r>
      <w:r w:rsidR="00495DEF" w:rsidRPr="00226587">
        <w:rPr>
          <w:rFonts w:eastAsiaTheme="minorEastAsia"/>
          <w:sz w:val="24"/>
        </w:rPr>
        <w:t>的关键要素</w:t>
      </w:r>
      <w:r w:rsidR="00495DEF" w:rsidRPr="00226587">
        <w:rPr>
          <w:rFonts w:eastAsiaTheme="minorEastAsia"/>
          <w:snapToGrid w:val="0"/>
          <w:kern w:val="22"/>
          <w:sz w:val="24"/>
        </w:rPr>
        <w:t>，</w:t>
      </w:r>
    </w:p>
    <w:p w:rsidR="00495DEF" w:rsidRPr="00226587" w:rsidRDefault="00495DEF" w:rsidP="00495DEF">
      <w:pPr>
        <w:pStyle w:val="Para1"/>
        <w:numPr>
          <w:ilvl w:val="0"/>
          <w:numId w:val="34"/>
        </w:numPr>
        <w:tabs>
          <w:tab w:val="left" w:pos="1440"/>
        </w:tabs>
        <w:adjustRightInd w:val="0"/>
        <w:snapToGrid w:val="0"/>
        <w:spacing w:before="120"/>
        <w:ind w:left="0" w:firstLine="720"/>
        <w:rPr>
          <w:rFonts w:eastAsiaTheme="minorEastAsia"/>
          <w:kern w:val="22"/>
          <w:sz w:val="24"/>
          <w:szCs w:val="24"/>
        </w:rPr>
      </w:pPr>
      <w:r w:rsidRPr="00226587">
        <w:rPr>
          <w:rFonts w:eastAsiaTheme="minorEastAsia"/>
          <w:kern w:val="22"/>
          <w:sz w:val="24"/>
          <w:szCs w:val="24"/>
        </w:rPr>
        <w:t>通过本决定附件一所载《保护与可持续利用授粉媒介国际倡议</w:t>
      </w:r>
      <w:r w:rsidRPr="00226587">
        <w:rPr>
          <w:rFonts w:eastAsiaTheme="minorEastAsia"/>
          <w:kern w:val="22"/>
          <w:sz w:val="24"/>
          <w:szCs w:val="24"/>
        </w:rPr>
        <w:t>2018-2030</w:t>
      </w:r>
      <w:r w:rsidRPr="00226587">
        <w:rPr>
          <w:rFonts w:eastAsiaTheme="minorEastAsia"/>
          <w:kern w:val="22"/>
          <w:sz w:val="24"/>
          <w:szCs w:val="24"/>
        </w:rPr>
        <w:t>年行动计划》，以根据国情付诸实施；</w:t>
      </w:r>
    </w:p>
    <w:p w:rsidR="00495DEF" w:rsidRPr="00226587" w:rsidRDefault="00FA727E" w:rsidP="00495DEF">
      <w:pPr>
        <w:pStyle w:val="Para1"/>
        <w:numPr>
          <w:ilvl w:val="0"/>
          <w:numId w:val="34"/>
        </w:numPr>
        <w:tabs>
          <w:tab w:val="left" w:pos="1440"/>
        </w:tabs>
        <w:adjustRightInd w:val="0"/>
        <w:snapToGrid w:val="0"/>
        <w:spacing w:before="120"/>
        <w:ind w:left="0" w:firstLine="720"/>
        <w:rPr>
          <w:rFonts w:eastAsiaTheme="minorEastAsia"/>
          <w:kern w:val="22"/>
          <w:sz w:val="24"/>
          <w:szCs w:val="24"/>
        </w:rPr>
      </w:pPr>
      <w:r>
        <w:rPr>
          <w:rFonts w:eastAsiaTheme="minorEastAsia" w:hint="eastAsia"/>
          <w:kern w:val="22"/>
          <w:sz w:val="24"/>
          <w:szCs w:val="24"/>
        </w:rPr>
        <w:t>赞赏地</w:t>
      </w:r>
      <w:r w:rsidR="00495DEF" w:rsidRPr="00226587">
        <w:rPr>
          <w:rFonts w:ascii="KaiTi" w:eastAsia="KaiTi" w:hAnsi="KaiTi" w:cs="SimSun"/>
          <w:snapToGrid/>
          <w:kern w:val="22"/>
          <w:sz w:val="24"/>
          <w:szCs w:val="24"/>
        </w:rPr>
        <w:t>注意到</w:t>
      </w:r>
      <w:r w:rsidR="00495DEF" w:rsidRPr="00226587">
        <w:rPr>
          <w:rFonts w:eastAsiaTheme="minorEastAsia"/>
          <w:snapToGrid/>
          <w:kern w:val="22"/>
          <w:sz w:val="24"/>
          <w:szCs w:val="24"/>
        </w:rPr>
        <w:t xml:space="preserve"> </w:t>
      </w:r>
      <w:r w:rsidR="00495DEF" w:rsidRPr="00EC5351">
        <w:rPr>
          <w:rStyle w:val="FootnoteReference"/>
          <w:rFonts w:eastAsiaTheme="minorEastAsia"/>
          <w:snapToGrid/>
          <w:kern w:val="22"/>
          <w:sz w:val="24"/>
          <w:szCs w:val="24"/>
          <w:u w:val="none"/>
          <w:vertAlign w:val="superscript"/>
        </w:rPr>
        <w:footnoteReference w:id="1"/>
      </w:r>
      <w:r w:rsidR="00495DEF" w:rsidRPr="00EC5351">
        <w:rPr>
          <w:rFonts w:eastAsiaTheme="minorEastAsia"/>
          <w:snapToGrid/>
          <w:kern w:val="22"/>
          <w:sz w:val="24"/>
          <w:szCs w:val="24"/>
          <w:vertAlign w:val="superscript"/>
        </w:rPr>
        <w:t xml:space="preserve"> </w:t>
      </w:r>
      <w:r w:rsidR="00495DEF" w:rsidRPr="00226587">
        <w:rPr>
          <w:rFonts w:eastAsiaTheme="minorEastAsia"/>
          <w:kern w:val="22"/>
          <w:sz w:val="24"/>
          <w:szCs w:val="24"/>
        </w:rPr>
        <w:t>本决定附件二所载</w:t>
      </w:r>
      <w:r w:rsidR="00495DEF" w:rsidRPr="00226587">
        <w:rPr>
          <w:rFonts w:eastAsiaTheme="minorEastAsia"/>
          <w:sz w:val="24"/>
          <w:szCs w:val="24"/>
        </w:rPr>
        <w:t>关于授粉媒介和授粉在农业和粮食生产中的作用外与所有生态系统中保护和可持续利用生物多样性相关的信息摘要</w:t>
      </w:r>
      <w:r w:rsidR="00495DEF" w:rsidRPr="00226587">
        <w:rPr>
          <w:rFonts w:eastAsiaTheme="minorEastAsia"/>
          <w:kern w:val="22"/>
          <w:sz w:val="24"/>
          <w:szCs w:val="24"/>
        </w:rPr>
        <w:t>；</w:t>
      </w:r>
    </w:p>
    <w:p w:rsidR="00495DEF" w:rsidRPr="00226587" w:rsidRDefault="00495DEF" w:rsidP="00495DEF">
      <w:pPr>
        <w:pStyle w:val="Para1"/>
        <w:numPr>
          <w:ilvl w:val="0"/>
          <w:numId w:val="34"/>
        </w:numPr>
        <w:tabs>
          <w:tab w:val="left" w:pos="1440"/>
        </w:tabs>
        <w:adjustRightInd w:val="0"/>
        <w:snapToGrid w:val="0"/>
        <w:spacing w:before="120"/>
        <w:ind w:left="0" w:firstLine="720"/>
        <w:rPr>
          <w:rFonts w:eastAsiaTheme="minorEastAsia"/>
          <w:kern w:val="22"/>
          <w:sz w:val="24"/>
          <w:szCs w:val="24"/>
        </w:rPr>
      </w:pPr>
      <w:r w:rsidRPr="00226587">
        <w:rPr>
          <w:rFonts w:ascii="KaiTi" w:eastAsia="KaiTi" w:hAnsi="KaiTi" w:cs="SimSun"/>
          <w:snapToGrid/>
          <w:kern w:val="22"/>
          <w:sz w:val="24"/>
          <w:szCs w:val="24"/>
        </w:rPr>
        <w:t>鼓励</w:t>
      </w:r>
      <w:r w:rsidRPr="00226587">
        <w:rPr>
          <w:rFonts w:eastAsiaTheme="minorEastAsia"/>
          <w:sz w:val="24"/>
          <w:szCs w:val="24"/>
        </w:rPr>
        <w:t>各缔约方、其他</w:t>
      </w:r>
      <w:r w:rsidRPr="00226587">
        <w:rPr>
          <w:rFonts w:eastAsiaTheme="minorEastAsia"/>
          <w:kern w:val="22"/>
          <w:sz w:val="24"/>
          <w:szCs w:val="24"/>
        </w:rPr>
        <w:t>国家</w:t>
      </w:r>
      <w:r w:rsidRPr="00226587">
        <w:rPr>
          <w:rFonts w:eastAsiaTheme="minorEastAsia"/>
          <w:sz w:val="24"/>
          <w:szCs w:val="24"/>
        </w:rPr>
        <w:t>政府、有关组织和网络，除其他外，通过将适当措施纳入国家生物多样性战略和行动计划及酌情纳入国家以下级和地方生物多样性战略和行动计划，以及相关政策、立法和方案的执行工作中，支持和执行《保护与可持续利用授粉媒介国际倡议》的相关活动；</w:t>
      </w:r>
    </w:p>
    <w:p w:rsidR="00495DEF" w:rsidRPr="00226587" w:rsidRDefault="00495DEF" w:rsidP="00495DEF">
      <w:pPr>
        <w:pStyle w:val="Para1"/>
        <w:numPr>
          <w:ilvl w:val="0"/>
          <w:numId w:val="34"/>
        </w:numPr>
        <w:tabs>
          <w:tab w:val="left" w:pos="1440"/>
        </w:tabs>
        <w:adjustRightInd w:val="0"/>
        <w:snapToGrid w:val="0"/>
        <w:spacing w:before="120"/>
        <w:ind w:left="0" w:firstLine="720"/>
        <w:rPr>
          <w:rFonts w:eastAsiaTheme="minorEastAsia"/>
          <w:kern w:val="22"/>
          <w:sz w:val="24"/>
          <w:szCs w:val="24"/>
        </w:rPr>
      </w:pPr>
      <w:r w:rsidRPr="00226587">
        <w:rPr>
          <w:rFonts w:ascii="KaiTi" w:eastAsia="KaiTi" w:hAnsi="KaiTi" w:cs="SimSun"/>
          <w:snapToGrid/>
          <w:kern w:val="22"/>
          <w:sz w:val="24"/>
          <w:szCs w:val="24"/>
        </w:rPr>
        <w:t>敦促</w:t>
      </w:r>
      <w:r w:rsidRPr="00226587">
        <w:rPr>
          <w:rFonts w:eastAsiaTheme="minorEastAsia"/>
          <w:sz w:val="24"/>
          <w:szCs w:val="24"/>
        </w:rPr>
        <w:t>各缔约方并</w:t>
      </w:r>
      <w:r w:rsidRPr="00FA727E">
        <w:rPr>
          <w:rFonts w:ascii="KaiTi" w:eastAsia="KaiTi" w:hAnsi="KaiTi" w:cs="SimSun"/>
          <w:snapToGrid/>
          <w:kern w:val="22"/>
          <w:sz w:val="24"/>
          <w:szCs w:val="24"/>
        </w:rPr>
        <w:t>邀请</w:t>
      </w:r>
      <w:r w:rsidRPr="00226587">
        <w:rPr>
          <w:rFonts w:eastAsiaTheme="minorEastAsia"/>
          <w:sz w:val="24"/>
          <w:szCs w:val="24"/>
        </w:rPr>
        <w:t>其他国家政府处理在所有生态系统，包括最脆弱的生物群落和农业系统中野生和受管理的授粉媒介减少的驱动因素，并且如本决定附件二所确定，在地方和区域范围特别密切注意引入</w:t>
      </w:r>
      <w:r w:rsidR="00FA727E">
        <w:rPr>
          <w:rFonts w:eastAsiaTheme="minorEastAsia" w:hint="eastAsia"/>
          <w:sz w:val="24"/>
          <w:szCs w:val="24"/>
        </w:rPr>
        <w:t>和</w:t>
      </w:r>
      <w:r w:rsidR="00FA727E">
        <w:rPr>
          <w:rFonts w:eastAsiaTheme="minorEastAsia"/>
          <w:sz w:val="24"/>
          <w:szCs w:val="24"/>
        </w:rPr>
        <w:t>传播</w:t>
      </w:r>
      <w:r w:rsidRPr="00226587">
        <w:rPr>
          <w:rFonts w:eastAsiaTheme="minorEastAsia"/>
          <w:sz w:val="24"/>
          <w:szCs w:val="24"/>
        </w:rPr>
        <w:t>对授粉媒介及其赖以生存的植物资源有害的外来入侵物种（植物、授粉媒介、肉食动物、害虫和病原体）所带来的风险，以及除了解决</w:t>
      </w:r>
      <w:r w:rsidRPr="00226587">
        <w:rPr>
          <w:rFonts w:eastAsiaTheme="minorEastAsia"/>
          <w:kern w:val="22"/>
          <w:sz w:val="24"/>
          <w:szCs w:val="24"/>
        </w:rPr>
        <w:lastRenderedPageBreak/>
        <w:t>第</w:t>
      </w:r>
      <w:r w:rsidRPr="00226587">
        <w:rPr>
          <w:rFonts w:eastAsiaTheme="minorEastAsia"/>
          <w:kern w:val="22"/>
          <w:sz w:val="24"/>
          <w:szCs w:val="24"/>
        </w:rPr>
        <w:t>XII/15</w:t>
      </w:r>
      <w:r w:rsidRPr="00226587">
        <w:rPr>
          <w:rFonts w:eastAsiaTheme="minorEastAsia"/>
          <w:sz w:val="24"/>
          <w:szCs w:val="24"/>
        </w:rPr>
        <w:t>号决定所确定的驱动因素，避免或扭转土地退化并恢复</w:t>
      </w:r>
      <w:r w:rsidR="00FA727E">
        <w:rPr>
          <w:rFonts w:eastAsiaTheme="minorEastAsia" w:hint="eastAsia"/>
          <w:sz w:val="24"/>
          <w:szCs w:val="24"/>
        </w:rPr>
        <w:t>丧失或</w:t>
      </w:r>
      <w:r w:rsidR="00FA727E">
        <w:rPr>
          <w:rFonts w:eastAsiaTheme="minorEastAsia"/>
          <w:sz w:val="24"/>
          <w:szCs w:val="24"/>
        </w:rPr>
        <w:t>破碎化的</w:t>
      </w:r>
      <w:r w:rsidRPr="00226587">
        <w:rPr>
          <w:rFonts w:eastAsiaTheme="minorEastAsia"/>
          <w:sz w:val="24"/>
          <w:szCs w:val="24"/>
        </w:rPr>
        <w:t>授粉媒介生境；</w:t>
      </w:r>
    </w:p>
    <w:p w:rsidR="00495DEF" w:rsidRPr="00226587" w:rsidRDefault="00495DEF" w:rsidP="00495DEF">
      <w:pPr>
        <w:pStyle w:val="Para1"/>
        <w:numPr>
          <w:ilvl w:val="0"/>
          <w:numId w:val="34"/>
        </w:numPr>
        <w:tabs>
          <w:tab w:val="left" w:pos="1440"/>
        </w:tabs>
        <w:adjustRightInd w:val="0"/>
        <w:snapToGrid w:val="0"/>
        <w:spacing w:before="120"/>
        <w:ind w:left="0" w:firstLine="720"/>
        <w:rPr>
          <w:rFonts w:eastAsiaTheme="minorEastAsia"/>
          <w:kern w:val="22"/>
          <w:sz w:val="24"/>
          <w:szCs w:val="24"/>
        </w:rPr>
      </w:pPr>
      <w:r w:rsidRPr="00226587">
        <w:rPr>
          <w:rFonts w:ascii="KaiTi" w:eastAsia="KaiTi" w:hAnsi="KaiTi" w:cs="SimSun"/>
          <w:snapToGrid/>
          <w:kern w:val="22"/>
          <w:sz w:val="24"/>
          <w:szCs w:val="24"/>
        </w:rPr>
        <w:t>鼓励</w:t>
      </w:r>
      <w:r w:rsidRPr="00226587">
        <w:rPr>
          <w:rFonts w:eastAsiaTheme="minorEastAsia"/>
          <w:sz w:val="24"/>
          <w:szCs w:val="24"/>
        </w:rPr>
        <w:t>各缔约方并邀请其他国家政府将保护和可持续利用野生和受管理的授粉媒介及其生境纳入土地管理和保护区以及其他有效地区保护政策；</w:t>
      </w:r>
    </w:p>
    <w:p w:rsidR="00495DEF" w:rsidRPr="00226587" w:rsidRDefault="00495DEF" w:rsidP="00495DEF">
      <w:pPr>
        <w:pStyle w:val="Para1"/>
        <w:numPr>
          <w:ilvl w:val="0"/>
          <w:numId w:val="34"/>
        </w:numPr>
        <w:tabs>
          <w:tab w:val="left" w:pos="1440"/>
        </w:tabs>
        <w:adjustRightInd w:val="0"/>
        <w:snapToGrid w:val="0"/>
        <w:spacing w:before="120"/>
        <w:ind w:left="0" w:firstLine="720"/>
        <w:rPr>
          <w:rFonts w:eastAsiaTheme="minorEastAsia"/>
          <w:kern w:val="22"/>
          <w:sz w:val="24"/>
          <w:szCs w:val="24"/>
        </w:rPr>
      </w:pPr>
      <w:r w:rsidRPr="00226587">
        <w:rPr>
          <w:rFonts w:ascii="KaiTi" w:eastAsia="KaiTi" w:hAnsi="KaiTi" w:cs="SimSun"/>
          <w:snapToGrid/>
          <w:kern w:val="22"/>
          <w:sz w:val="24"/>
          <w:szCs w:val="24"/>
        </w:rPr>
        <w:t>鼓励</w:t>
      </w:r>
      <w:r w:rsidRPr="00226587">
        <w:rPr>
          <w:rFonts w:eastAsiaTheme="minorEastAsia"/>
          <w:sz w:val="24"/>
          <w:szCs w:val="24"/>
        </w:rPr>
        <w:t>各缔约方并邀请其他国家政府：</w:t>
      </w:r>
    </w:p>
    <w:p w:rsidR="00495DEF" w:rsidRPr="00226587" w:rsidRDefault="00495DEF" w:rsidP="00495DEF">
      <w:pPr>
        <w:pStyle w:val="Para1"/>
        <w:numPr>
          <w:ilvl w:val="1"/>
          <w:numId w:val="35"/>
        </w:numPr>
        <w:tabs>
          <w:tab w:val="left" w:pos="1440"/>
        </w:tabs>
        <w:adjustRightInd w:val="0"/>
        <w:snapToGrid w:val="0"/>
        <w:spacing w:before="120"/>
        <w:ind w:left="0" w:firstLine="720"/>
        <w:rPr>
          <w:rFonts w:eastAsiaTheme="minorEastAsia"/>
          <w:kern w:val="22"/>
          <w:sz w:val="24"/>
          <w:szCs w:val="24"/>
        </w:rPr>
      </w:pPr>
      <w:r w:rsidRPr="00226587">
        <w:rPr>
          <w:rFonts w:ascii="KaiTi" w:eastAsia="KaiTi" w:hAnsi="KaiTi" w:cs="SimSun"/>
          <w:snapToGrid/>
          <w:kern w:val="22"/>
          <w:sz w:val="24"/>
          <w:szCs w:val="24"/>
        </w:rPr>
        <w:t>鼓励</w:t>
      </w:r>
      <w:r w:rsidRPr="00226587">
        <w:rPr>
          <w:rFonts w:eastAsiaTheme="minorEastAsia"/>
          <w:kern w:val="22"/>
          <w:sz w:val="24"/>
          <w:szCs w:val="24"/>
        </w:rPr>
        <w:t>私营部门考虑到《行动计划》中所列各项活动，努力建立更可持续的生产和消费系统；</w:t>
      </w:r>
    </w:p>
    <w:p w:rsidR="00495DEF" w:rsidRPr="00226587" w:rsidRDefault="00495DEF" w:rsidP="00495DEF">
      <w:pPr>
        <w:pStyle w:val="Para1"/>
        <w:numPr>
          <w:ilvl w:val="1"/>
          <w:numId w:val="35"/>
        </w:numPr>
        <w:tabs>
          <w:tab w:val="left" w:pos="1440"/>
        </w:tabs>
        <w:adjustRightInd w:val="0"/>
        <w:snapToGrid w:val="0"/>
        <w:spacing w:before="120"/>
        <w:ind w:left="0" w:firstLine="720"/>
        <w:rPr>
          <w:rFonts w:eastAsiaTheme="minorEastAsia"/>
          <w:kern w:val="22"/>
          <w:sz w:val="24"/>
          <w:szCs w:val="24"/>
        </w:rPr>
      </w:pPr>
      <w:r w:rsidRPr="00226587">
        <w:rPr>
          <w:rFonts w:ascii="KaiTi" w:eastAsia="KaiTi" w:hAnsi="KaiTi" w:cs="SimSun"/>
          <w:snapToGrid/>
          <w:kern w:val="22"/>
          <w:sz w:val="24"/>
          <w:szCs w:val="24"/>
        </w:rPr>
        <w:t>鼓励</w:t>
      </w:r>
      <w:r w:rsidRPr="00226587">
        <w:rPr>
          <w:rFonts w:eastAsiaTheme="minorEastAsia"/>
          <w:kern w:val="22"/>
          <w:sz w:val="24"/>
          <w:szCs w:val="24"/>
        </w:rPr>
        <w:t>学术和研究机构及有关国家、区域和国际组织和网络开展进一步研究，消除《行动计划》中确认的各项差距</w:t>
      </w:r>
      <w:r w:rsidR="00EC5351">
        <w:rPr>
          <w:rFonts w:eastAsiaTheme="minorEastAsia" w:hint="eastAsia"/>
          <w:kern w:val="22"/>
          <w:sz w:val="24"/>
          <w:szCs w:val="24"/>
        </w:rPr>
        <w:t>，</w:t>
      </w:r>
      <w:r w:rsidRPr="00EC5351">
        <w:rPr>
          <w:rFonts w:eastAsiaTheme="minorEastAsia"/>
          <w:sz w:val="24"/>
          <w:szCs w:val="24"/>
          <w:vertAlign w:val="superscript"/>
        </w:rPr>
        <w:footnoteReference w:id="2"/>
      </w:r>
      <w:r w:rsidR="00EC5351" w:rsidRPr="00EC5351">
        <w:rPr>
          <w:rFonts w:eastAsiaTheme="minorEastAsia"/>
          <w:kern w:val="22"/>
          <w:sz w:val="24"/>
          <w:szCs w:val="24"/>
          <w:vertAlign w:val="superscript"/>
        </w:rPr>
        <w:t xml:space="preserve"> </w:t>
      </w:r>
      <w:r w:rsidRPr="00226587">
        <w:rPr>
          <w:rFonts w:eastAsiaTheme="minorEastAsia"/>
          <w:kern w:val="22"/>
          <w:sz w:val="24"/>
          <w:szCs w:val="24"/>
        </w:rPr>
        <w:t>通过适当渠道综合及传播信息，支持执行工作；</w:t>
      </w:r>
    </w:p>
    <w:p w:rsidR="00495DEF" w:rsidRPr="00226587" w:rsidRDefault="00495DEF" w:rsidP="00495DEF">
      <w:pPr>
        <w:pStyle w:val="Para1"/>
        <w:numPr>
          <w:ilvl w:val="1"/>
          <w:numId w:val="35"/>
        </w:numPr>
        <w:tabs>
          <w:tab w:val="left" w:pos="1440"/>
        </w:tabs>
        <w:adjustRightInd w:val="0"/>
        <w:snapToGrid w:val="0"/>
        <w:spacing w:before="120"/>
        <w:ind w:left="0" w:firstLine="720"/>
        <w:rPr>
          <w:rFonts w:eastAsiaTheme="minorEastAsia"/>
          <w:kern w:val="22"/>
          <w:sz w:val="24"/>
          <w:szCs w:val="24"/>
        </w:rPr>
      </w:pPr>
      <w:r w:rsidRPr="00226587">
        <w:rPr>
          <w:rFonts w:eastAsiaTheme="minorEastAsia"/>
          <w:kern w:val="22"/>
          <w:sz w:val="24"/>
          <w:szCs w:val="24"/>
        </w:rPr>
        <w:t>鼓励农民、养蜂人、土地管理者、城市社区、土著人民、当地社区和其他利益攸关方采取</w:t>
      </w:r>
      <w:r w:rsidRPr="00226587">
        <w:rPr>
          <w:rFonts w:eastAsiaTheme="minorEastAsia"/>
          <w:kern w:val="22"/>
          <w:sz w:val="24"/>
          <w:szCs w:val="24"/>
          <w:lang w:val="en-US"/>
        </w:rPr>
        <w:t>授粉媒介友好型</w:t>
      </w:r>
      <w:r w:rsidRPr="00226587">
        <w:rPr>
          <w:rFonts w:eastAsiaTheme="minorEastAsia"/>
          <w:kern w:val="22"/>
          <w:sz w:val="24"/>
          <w:szCs w:val="24"/>
        </w:rPr>
        <w:t>做法，并在实地和地方一级解决导致授粉媒介减少的间接和直接因素；</w:t>
      </w:r>
    </w:p>
    <w:p w:rsidR="00495DEF" w:rsidRPr="00226587" w:rsidRDefault="00495DEF" w:rsidP="00495DEF">
      <w:pPr>
        <w:pStyle w:val="Para1"/>
        <w:numPr>
          <w:ilvl w:val="1"/>
          <w:numId w:val="35"/>
        </w:numPr>
        <w:tabs>
          <w:tab w:val="left" w:pos="1440"/>
        </w:tabs>
        <w:adjustRightInd w:val="0"/>
        <w:snapToGrid w:val="0"/>
        <w:spacing w:before="120"/>
        <w:ind w:left="0" w:firstLine="720"/>
        <w:rPr>
          <w:rFonts w:eastAsiaTheme="minorEastAsia"/>
          <w:kern w:val="22"/>
          <w:sz w:val="24"/>
          <w:szCs w:val="24"/>
        </w:rPr>
      </w:pPr>
      <w:r w:rsidRPr="00226587">
        <w:rPr>
          <w:rFonts w:eastAsiaTheme="minorEastAsia"/>
          <w:kern w:val="22"/>
          <w:sz w:val="24"/>
          <w:szCs w:val="24"/>
        </w:rPr>
        <w:t>拟订和实施野生和受管理的授粉媒介的监测，以评估减少的程度并评价所实施减缓行动的影响；</w:t>
      </w:r>
    </w:p>
    <w:p w:rsidR="00495DEF" w:rsidRPr="00226587" w:rsidRDefault="00495DEF" w:rsidP="00495DEF">
      <w:pPr>
        <w:pStyle w:val="Para1"/>
        <w:numPr>
          <w:ilvl w:val="0"/>
          <w:numId w:val="34"/>
        </w:numPr>
        <w:tabs>
          <w:tab w:val="left" w:pos="1440"/>
        </w:tabs>
        <w:adjustRightInd w:val="0"/>
        <w:snapToGrid w:val="0"/>
        <w:spacing w:before="120"/>
        <w:ind w:left="0" w:firstLine="720"/>
        <w:rPr>
          <w:rFonts w:eastAsiaTheme="minorEastAsia"/>
          <w:kern w:val="22"/>
          <w:sz w:val="24"/>
          <w:szCs w:val="24"/>
        </w:rPr>
      </w:pPr>
      <w:r w:rsidRPr="00226587">
        <w:rPr>
          <w:rFonts w:ascii="KaiTi" w:eastAsia="KaiTi" w:hAnsi="KaiTi" w:cs="SimSun"/>
          <w:snapToGrid/>
          <w:kern w:val="22"/>
          <w:sz w:val="24"/>
          <w:szCs w:val="24"/>
        </w:rPr>
        <w:t>鼓励</w:t>
      </w:r>
      <w:r w:rsidRPr="00226587">
        <w:rPr>
          <w:rFonts w:eastAsiaTheme="minorEastAsia"/>
          <w:kern w:val="22"/>
          <w:sz w:val="24"/>
          <w:szCs w:val="24"/>
        </w:rPr>
        <w:t>全球环境基金和其他捐助方和供资机构为负责可持续利用和保护授粉媒介《行动计划》执行工作的国家和区域项目提供财政援助</w:t>
      </w:r>
      <w:r w:rsidR="00FA727E">
        <w:rPr>
          <w:rFonts w:eastAsiaTheme="minorEastAsia" w:hint="eastAsia"/>
          <w:kern w:val="22"/>
          <w:sz w:val="24"/>
          <w:szCs w:val="24"/>
        </w:rPr>
        <w:t>，</w:t>
      </w:r>
      <w:r w:rsidR="00FA727E">
        <w:rPr>
          <w:rFonts w:eastAsiaTheme="minorEastAsia"/>
          <w:kern w:val="22"/>
          <w:sz w:val="24"/>
          <w:szCs w:val="24"/>
        </w:rPr>
        <w:t>包括能力建设活动</w:t>
      </w:r>
      <w:r w:rsidRPr="00226587">
        <w:rPr>
          <w:rFonts w:eastAsiaTheme="minorEastAsia"/>
          <w:kern w:val="22"/>
          <w:sz w:val="24"/>
          <w:szCs w:val="24"/>
        </w:rPr>
        <w:t>；</w:t>
      </w:r>
    </w:p>
    <w:p w:rsidR="00495DEF" w:rsidRPr="00226587" w:rsidRDefault="00495DEF" w:rsidP="00495DEF">
      <w:pPr>
        <w:pStyle w:val="Para1"/>
        <w:numPr>
          <w:ilvl w:val="0"/>
          <w:numId w:val="34"/>
        </w:numPr>
        <w:tabs>
          <w:tab w:val="left" w:pos="1440"/>
        </w:tabs>
        <w:adjustRightInd w:val="0"/>
        <w:snapToGrid w:val="0"/>
        <w:spacing w:before="120"/>
        <w:ind w:left="0" w:firstLine="720"/>
        <w:rPr>
          <w:rFonts w:eastAsiaTheme="minorEastAsia"/>
          <w:kern w:val="22"/>
          <w:sz w:val="24"/>
          <w:szCs w:val="24"/>
        </w:rPr>
      </w:pPr>
      <w:r w:rsidRPr="00226587">
        <w:rPr>
          <w:rFonts w:ascii="KaiTi" w:eastAsia="KaiTi" w:hAnsi="KaiTi" w:cs="SimSun"/>
          <w:snapToGrid/>
          <w:kern w:val="22"/>
          <w:sz w:val="24"/>
          <w:szCs w:val="24"/>
        </w:rPr>
        <w:t>请</w:t>
      </w:r>
      <w:r w:rsidRPr="00226587">
        <w:rPr>
          <w:rFonts w:eastAsiaTheme="minorEastAsia"/>
          <w:kern w:val="22"/>
          <w:sz w:val="24"/>
          <w:szCs w:val="24"/>
        </w:rPr>
        <w:t>执行秘书提请联合国粮食及农业组织及其林业委员会、农业委员会、粮食和农业遗传资源委员会、世界粮食安全委员会以及《国际植物保护公约》和《</w:t>
      </w:r>
      <w:r w:rsidRPr="00226587">
        <w:rPr>
          <w:rStyle w:val="ng-binding"/>
          <w:rFonts w:eastAsiaTheme="minorEastAsia"/>
          <w:sz w:val="24"/>
          <w:szCs w:val="24"/>
        </w:rPr>
        <w:t>粮食和农业植物遗传资源国际条约</w:t>
      </w:r>
      <w:r w:rsidRPr="00226587">
        <w:rPr>
          <w:rFonts w:eastAsiaTheme="minorEastAsia"/>
          <w:kern w:val="22"/>
          <w:sz w:val="24"/>
          <w:szCs w:val="24"/>
        </w:rPr>
        <w:t>》秘书处、《巴塞尔公约》、《鹿特丹公约》和《斯德哥尔摩公约》秘书处注意本建议</w:t>
      </w:r>
      <w:r w:rsidRPr="00226587">
        <w:rPr>
          <w:rFonts w:eastAsiaTheme="minorEastAsia"/>
          <w:sz w:val="24"/>
          <w:szCs w:val="24"/>
        </w:rPr>
        <w:t>；</w:t>
      </w:r>
    </w:p>
    <w:p w:rsidR="00495DEF" w:rsidRPr="00226587" w:rsidRDefault="00495DEF" w:rsidP="00495DEF">
      <w:pPr>
        <w:pStyle w:val="Para1"/>
        <w:numPr>
          <w:ilvl w:val="0"/>
          <w:numId w:val="34"/>
        </w:numPr>
        <w:tabs>
          <w:tab w:val="left" w:pos="1440"/>
        </w:tabs>
        <w:adjustRightInd w:val="0"/>
        <w:snapToGrid w:val="0"/>
        <w:spacing w:before="120"/>
        <w:ind w:left="0" w:firstLine="720"/>
        <w:rPr>
          <w:rFonts w:eastAsiaTheme="minorEastAsia"/>
          <w:kern w:val="22"/>
          <w:sz w:val="24"/>
          <w:szCs w:val="24"/>
        </w:rPr>
      </w:pPr>
      <w:r w:rsidRPr="00226587">
        <w:rPr>
          <w:rFonts w:ascii="KaiTi" w:eastAsia="KaiTi" w:hAnsi="KaiTi" w:cs="SimSun"/>
          <w:snapToGrid/>
          <w:kern w:val="22"/>
          <w:sz w:val="24"/>
          <w:szCs w:val="24"/>
        </w:rPr>
        <w:t>邀请</w:t>
      </w:r>
      <w:r w:rsidRPr="00226587">
        <w:rPr>
          <w:rFonts w:eastAsiaTheme="minorEastAsia"/>
          <w:kern w:val="22"/>
          <w:sz w:val="24"/>
          <w:szCs w:val="24"/>
        </w:rPr>
        <w:t>联合国粮食及农业组织根据先前由国家一级农业和环境部参与计划的成功方法，促进《行动计划》的执行</w:t>
      </w:r>
      <w:r w:rsidRPr="00226587">
        <w:rPr>
          <w:rFonts w:eastAsiaTheme="minorEastAsia"/>
          <w:sz w:val="24"/>
          <w:szCs w:val="24"/>
        </w:rPr>
        <w:t>；</w:t>
      </w:r>
    </w:p>
    <w:p w:rsidR="00495DEF" w:rsidRPr="00226587" w:rsidRDefault="00495DEF" w:rsidP="00495DEF">
      <w:pPr>
        <w:pStyle w:val="Para1"/>
        <w:numPr>
          <w:ilvl w:val="0"/>
          <w:numId w:val="34"/>
        </w:numPr>
        <w:tabs>
          <w:tab w:val="left" w:pos="1440"/>
        </w:tabs>
        <w:adjustRightInd w:val="0"/>
        <w:snapToGrid w:val="0"/>
        <w:spacing w:before="120"/>
        <w:ind w:left="0" w:firstLine="720"/>
        <w:rPr>
          <w:rFonts w:eastAsiaTheme="minorEastAsia"/>
          <w:kern w:val="22"/>
          <w:sz w:val="24"/>
          <w:szCs w:val="24"/>
        </w:rPr>
      </w:pPr>
      <w:r w:rsidRPr="00226587">
        <w:rPr>
          <w:rFonts w:ascii="KaiTi" w:eastAsia="KaiTi" w:hAnsi="KaiTi" w:cs="SimSun"/>
          <w:snapToGrid/>
          <w:kern w:val="22"/>
          <w:sz w:val="24"/>
          <w:szCs w:val="24"/>
        </w:rPr>
        <w:t>又请</w:t>
      </w:r>
      <w:r w:rsidRPr="00226587">
        <w:rPr>
          <w:rFonts w:eastAsiaTheme="minorEastAsia"/>
          <w:kern w:val="22"/>
          <w:sz w:val="24"/>
          <w:szCs w:val="24"/>
        </w:rPr>
        <w:t>执行秘书在资源允许的情况下</w:t>
      </w:r>
      <w:r w:rsidRPr="00226587">
        <w:rPr>
          <w:rFonts w:eastAsiaTheme="minorEastAsia"/>
          <w:i/>
          <w:sz w:val="24"/>
          <w:szCs w:val="24"/>
        </w:rPr>
        <w:t>，</w:t>
      </w:r>
      <w:r w:rsidRPr="00226587">
        <w:rPr>
          <w:rFonts w:eastAsiaTheme="minorEastAsia"/>
          <w:sz w:val="24"/>
          <w:szCs w:val="24"/>
        </w:rPr>
        <w:t>与联合国粮食及农业组织、巴塞尔、鹿特丹和斯德哥尔摩公约秘书处和其他相关利益攸关方合作，制定根据优先程度确定的与《行动计划》执行工作有关的领域的准则和最佳做法，例如化学品在农业中的使用，对自然生态系统中本地授粉媒介的保护计划，推广生物多样性生产系统、作物轮作、对本地授粉媒介的监测，以及环境教育；</w:t>
      </w:r>
    </w:p>
    <w:p w:rsidR="00495DEF" w:rsidRPr="00226587" w:rsidRDefault="00495DEF" w:rsidP="00495DEF">
      <w:pPr>
        <w:pStyle w:val="Para1"/>
        <w:numPr>
          <w:ilvl w:val="0"/>
          <w:numId w:val="34"/>
        </w:numPr>
        <w:tabs>
          <w:tab w:val="left" w:pos="1440"/>
        </w:tabs>
        <w:adjustRightInd w:val="0"/>
        <w:snapToGrid w:val="0"/>
        <w:spacing w:before="120"/>
        <w:ind w:left="0" w:firstLine="720"/>
        <w:rPr>
          <w:rFonts w:eastAsiaTheme="minorEastAsia"/>
          <w:sz w:val="24"/>
          <w:szCs w:val="24"/>
        </w:rPr>
      </w:pPr>
      <w:r w:rsidRPr="00226587">
        <w:rPr>
          <w:rFonts w:ascii="KaiTi" w:eastAsia="KaiTi" w:hAnsi="KaiTi" w:cs="SimSun"/>
          <w:snapToGrid/>
          <w:kern w:val="22"/>
          <w:sz w:val="24"/>
          <w:szCs w:val="24"/>
        </w:rPr>
        <w:t>请</w:t>
      </w:r>
      <w:r w:rsidRPr="00226587">
        <w:rPr>
          <w:rFonts w:eastAsiaTheme="minorEastAsia"/>
          <w:sz w:val="24"/>
          <w:szCs w:val="24"/>
        </w:rPr>
        <w:t>执行秘书在制定</w:t>
      </w:r>
      <w:r w:rsidRPr="00226587">
        <w:rPr>
          <w:rFonts w:eastAsiaTheme="minorEastAsia"/>
          <w:sz w:val="24"/>
          <w:szCs w:val="24"/>
        </w:rPr>
        <w:t>2020</w:t>
      </w:r>
      <w:r w:rsidRPr="00226587">
        <w:rPr>
          <w:rFonts w:eastAsiaTheme="minorEastAsia"/>
          <w:sz w:val="24"/>
          <w:szCs w:val="24"/>
        </w:rPr>
        <w:t>年后全球生物多样性框架时，考虑野生和受管理的授粉媒介的保护和可持续利用问题；</w:t>
      </w:r>
    </w:p>
    <w:p w:rsidR="00495DEF" w:rsidRPr="00226587" w:rsidRDefault="00495DEF" w:rsidP="00495DEF">
      <w:pPr>
        <w:pStyle w:val="Para1"/>
        <w:numPr>
          <w:ilvl w:val="0"/>
          <w:numId w:val="34"/>
        </w:numPr>
        <w:tabs>
          <w:tab w:val="left" w:pos="1440"/>
        </w:tabs>
        <w:adjustRightInd w:val="0"/>
        <w:snapToGrid w:val="0"/>
        <w:spacing w:before="120"/>
        <w:ind w:left="0" w:firstLine="720"/>
        <w:rPr>
          <w:rFonts w:eastAsiaTheme="minorEastAsia"/>
          <w:kern w:val="22"/>
          <w:sz w:val="24"/>
          <w:szCs w:val="24"/>
        </w:rPr>
      </w:pPr>
      <w:r w:rsidRPr="00226587">
        <w:rPr>
          <w:rFonts w:ascii="KaiTi" w:eastAsia="KaiTi" w:hAnsi="KaiTi" w:cs="SimSun"/>
          <w:snapToGrid/>
          <w:kern w:val="22"/>
          <w:sz w:val="24"/>
          <w:szCs w:val="24"/>
        </w:rPr>
        <w:t>邀请</w:t>
      </w:r>
      <w:r w:rsidRPr="00226587">
        <w:rPr>
          <w:rFonts w:eastAsiaTheme="minorEastAsia"/>
          <w:kern w:val="22"/>
          <w:sz w:val="24"/>
          <w:szCs w:val="24"/>
        </w:rPr>
        <w:t>有能力的缔约方</w:t>
      </w:r>
      <w:r w:rsidRPr="00226587">
        <w:rPr>
          <w:rFonts w:eastAsiaTheme="minorEastAsia"/>
          <w:sz w:val="24"/>
          <w:szCs w:val="24"/>
        </w:rPr>
        <w:t>、其他国家政府、研究机构和组织支持有下列需求的国家：</w:t>
      </w:r>
      <w:r w:rsidRPr="00226587">
        <w:rPr>
          <w:rFonts w:eastAsiaTheme="minorEastAsia"/>
          <w:sz w:val="24"/>
          <w:szCs w:val="24"/>
          <w:lang w:val="en-US"/>
        </w:rPr>
        <w:t>(</w:t>
      </w:r>
      <w:r w:rsidRPr="00226587">
        <w:rPr>
          <w:rFonts w:eastAsiaTheme="minorEastAsia"/>
          <w:sz w:val="24"/>
          <w:szCs w:val="24"/>
        </w:rPr>
        <w:t xml:space="preserve">a) </w:t>
      </w:r>
      <w:r w:rsidRPr="00226587">
        <w:rPr>
          <w:rFonts w:eastAsiaTheme="minorEastAsia"/>
          <w:sz w:val="24"/>
          <w:szCs w:val="24"/>
        </w:rPr>
        <w:t>提高生物分类能力，以便增长有关授粉媒介及其现况和趋势的知识；</w:t>
      </w:r>
      <w:r w:rsidRPr="00226587">
        <w:rPr>
          <w:rFonts w:eastAsiaTheme="minorEastAsia"/>
          <w:sz w:val="24"/>
          <w:szCs w:val="24"/>
          <w:lang w:val="en-US"/>
        </w:rPr>
        <w:t xml:space="preserve">(b) </w:t>
      </w:r>
      <w:r w:rsidRPr="00226587">
        <w:rPr>
          <w:rFonts w:eastAsiaTheme="minorEastAsia"/>
          <w:sz w:val="24"/>
          <w:szCs w:val="24"/>
        </w:rPr>
        <w:t>找到其种群变化的驱动因素；和</w:t>
      </w:r>
      <w:r w:rsidRPr="00226587">
        <w:rPr>
          <w:rFonts w:eastAsiaTheme="minorEastAsia"/>
          <w:sz w:val="24"/>
          <w:szCs w:val="24"/>
        </w:rPr>
        <w:t xml:space="preserve"> </w:t>
      </w:r>
      <w:r w:rsidRPr="00226587">
        <w:rPr>
          <w:rFonts w:eastAsiaTheme="minorEastAsia"/>
          <w:sz w:val="24"/>
          <w:szCs w:val="24"/>
          <w:lang w:val="en-US"/>
        </w:rPr>
        <w:t xml:space="preserve">(c) </w:t>
      </w:r>
      <w:r w:rsidRPr="00226587">
        <w:rPr>
          <w:rFonts w:eastAsiaTheme="minorEastAsia"/>
          <w:sz w:val="24"/>
          <w:szCs w:val="24"/>
        </w:rPr>
        <w:t>制定适当解决方案，以便有效通过和执行拟议的行动计划。</w:t>
      </w:r>
    </w:p>
    <w:p w:rsidR="00495DEF" w:rsidRPr="000E18E5" w:rsidRDefault="00495DEF" w:rsidP="00495DEF">
      <w:pPr>
        <w:pStyle w:val="Para1"/>
        <w:numPr>
          <w:ilvl w:val="0"/>
          <w:numId w:val="0"/>
        </w:numPr>
        <w:spacing w:before="240"/>
        <w:jc w:val="center"/>
        <w:rPr>
          <w:rFonts w:ascii="KaiTi" w:eastAsia="KaiTi" w:hAnsi="KaiTi"/>
          <w:sz w:val="24"/>
          <w:szCs w:val="24"/>
        </w:rPr>
      </w:pPr>
      <w:r w:rsidRPr="000E18E5">
        <w:rPr>
          <w:rFonts w:ascii="KaiTi" w:eastAsia="KaiTi" w:hAnsi="KaiTi" w:hint="eastAsia"/>
          <w:sz w:val="24"/>
          <w:szCs w:val="24"/>
        </w:rPr>
        <w:t>附件一</w:t>
      </w:r>
    </w:p>
    <w:p w:rsidR="00495DEF" w:rsidRPr="00413272" w:rsidRDefault="00495DEF" w:rsidP="00495DEF">
      <w:pPr>
        <w:pStyle w:val="Heading1"/>
        <w:keepNext w:val="0"/>
        <w:tabs>
          <w:tab w:val="clear" w:pos="720"/>
        </w:tabs>
        <w:rPr>
          <w:rFonts w:ascii="SimSun" w:hAnsi="SimSun"/>
          <w:kern w:val="22"/>
          <w:sz w:val="24"/>
        </w:rPr>
      </w:pPr>
      <w:r w:rsidRPr="00413272">
        <w:rPr>
          <w:rFonts w:ascii="SimSun" w:hAnsi="SimSun" w:hint="eastAsia"/>
          <w:kern w:val="22"/>
          <w:sz w:val="24"/>
        </w:rPr>
        <w:t>更新的</w:t>
      </w:r>
      <w:r>
        <w:rPr>
          <w:rFonts w:ascii="SimSun" w:hAnsi="SimSun" w:hint="eastAsia"/>
          <w:kern w:val="22"/>
          <w:sz w:val="24"/>
        </w:rPr>
        <w:t>《保护与可持续利用授粉媒介国际倡议</w:t>
      </w:r>
      <w:r w:rsidRPr="00413272">
        <w:rPr>
          <w:rFonts w:ascii="SimSun" w:hAnsi="SimSun"/>
          <w:kern w:val="22"/>
          <w:sz w:val="24"/>
        </w:rPr>
        <w:t>2018-2030</w:t>
      </w:r>
      <w:r w:rsidRPr="00413272">
        <w:rPr>
          <w:rFonts w:ascii="SimSun" w:hAnsi="SimSun" w:hint="eastAsia"/>
          <w:kern w:val="22"/>
          <w:sz w:val="24"/>
        </w:rPr>
        <w:t>年行动计划</w:t>
      </w:r>
      <w:r>
        <w:rPr>
          <w:rFonts w:ascii="SimSun" w:hAnsi="SimSun" w:hint="eastAsia"/>
          <w:sz w:val="24"/>
        </w:rPr>
        <w:t>》</w:t>
      </w:r>
    </w:p>
    <w:p w:rsidR="00495DEF" w:rsidRPr="00413272" w:rsidRDefault="00495DEF" w:rsidP="00495DEF">
      <w:pPr>
        <w:pStyle w:val="Heading1"/>
        <w:tabs>
          <w:tab w:val="clear" w:pos="720"/>
        </w:tabs>
        <w:rPr>
          <w:rFonts w:ascii="SimSun" w:hAnsi="SimSun"/>
          <w:sz w:val="24"/>
        </w:rPr>
      </w:pPr>
      <w:r w:rsidRPr="00413272">
        <w:rPr>
          <w:rFonts w:ascii="SimSun" w:hAnsi="SimSun" w:hint="eastAsia"/>
          <w:sz w:val="24"/>
        </w:rPr>
        <w:lastRenderedPageBreak/>
        <w:t>导言</w:t>
      </w:r>
    </w:p>
    <w:p w:rsidR="00495DEF" w:rsidRPr="00226587" w:rsidRDefault="00495DEF" w:rsidP="00495DEF">
      <w:pPr>
        <w:pStyle w:val="Para1"/>
        <w:numPr>
          <w:ilvl w:val="0"/>
          <w:numId w:val="33"/>
        </w:numPr>
        <w:tabs>
          <w:tab w:val="left" w:pos="720"/>
        </w:tabs>
        <w:spacing w:before="120"/>
        <w:ind w:left="0" w:firstLine="0"/>
        <w:rPr>
          <w:rFonts w:eastAsiaTheme="minorEastAsia"/>
          <w:sz w:val="24"/>
          <w:szCs w:val="24"/>
        </w:rPr>
      </w:pPr>
      <w:r w:rsidRPr="00226587">
        <w:rPr>
          <w:rFonts w:eastAsiaTheme="minorEastAsia"/>
          <w:sz w:val="24"/>
          <w:szCs w:val="24"/>
        </w:rPr>
        <w:t>生物多样性公约缔约方大会在其</w:t>
      </w:r>
      <w:r w:rsidRPr="00226587">
        <w:rPr>
          <w:rFonts w:eastAsiaTheme="minorEastAsia"/>
          <w:sz w:val="24"/>
          <w:szCs w:val="24"/>
        </w:rPr>
        <w:t>1996</w:t>
      </w:r>
      <w:r w:rsidRPr="00226587">
        <w:rPr>
          <w:rFonts w:eastAsiaTheme="minorEastAsia"/>
          <w:sz w:val="24"/>
          <w:szCs w:val="24"/>
        </w:rPr>
        <w:t>年第三届会议上确认授粉媒介的重要性及消除授粉媒介减少的根源的必要性</w:t>
      </w:r>
      <w:r w:rsidRPr="00226587">
        <w:rPr>
          <w:rFonts w:eastAsiaTheme="minorEastAsia"/>
          <w:sz w:val="24"/>
          <w:szCs w:val="24"/>
          <w:lang w:val="en-US"/>
        </w:rPr>
        <w:t>(</w:t>
      </w:r>
      <w:r w:rsidRPr="00226587">
        <w:rPr>
          <w:rFonts w:eastAsiaTheme="minorEastAsia"/>
          <w:sz w:val="24"/>
          <w:szCs w:val="24"/>
          <w:lang w:val="en-US"/>
        </w:rPr>
        <w:t>第</w:t>
      </w:r>
      <w:r>
        <w:rPr>
          <w:rStyle w:val="Hyperlink"/>
          <w:rFonts w:eastAsiaTheme="minorEastAsia"/>
          <w:snapToGrid/>
          <w:kern w:val="22"/>
          <w:sz w:val="24"/>
          <w:szCs w:val="22"/>
        </w:rPr>
        <w:fldChar w:fldCharType="begin"/>
      </w:r>
      <w:r>
        <w:rPr>
          <w:rStyle w:val="Hyperlink"/>
          <w:rFonts w:eastAsiaTheme="minorEastAsia"/>
          <w:snapToGrid/>
          <w:kern w:val="22"/>
          <w:sz w:val="24"/>
          <w:szCs w:val="22"/>
        </w:rPr>
        <w:instrText xml:space="preserve"> HYPERLINK "https://www.cbd.int/decision/cop/default.shtml?id=7107" </w:instrText>
      </w:r>
      <w:r>
        <w:rPr>
          <w:rStyle w:val="Hyperlink"/>
          <w:rFonts w:eastAsiaTheme="minorEastAsia"/>
          <w:snapToGrid/>
          <w:kern w:val="22"/>
          <w:sz w:val="24"/>
          <w:szCs w:val="22"/>
        </w:rPr>
        <w:fldChar w:fldCharType="separate"/>
      </w:r>
      <w:r w:rsidRPr="00226587">
        <w:rPr>
          <w:rStyle w:val="Hyperlink"/>
          <w:rFonts w:eastAsiaTheme="minorEastAsia"/>
          <w:snapToGrid/>
          <w:kern w:val="22"/>
          <w:sz w:val="24"/>
          <w:szCs w:val="22"/>
        </w:rPr>
        <w:t>III/11</w:t>
      </w:r>
      <w:r>
        <w:rPr>
          <w:rStyle w:val="Hyperlink"/>
          <w:rFonts w:eastAsiaTheme="minorEastAsia"/>
          <w:snapToGrid/>
          <w:kern w:val="22"/>
          <w:sz w:val="24"/>
          <w:szCs w:val="22"/>
        </w:rPr>
        <w:fldChar w:fldCharType="end"/>
      </w:r>
      <w:r w:rsidRPr="00226587">
        <w:rPr>
          <w:rFonts w:eastAsiaTheme="minorEastAsia"/>
          <w:sz w:val="24"/>
          <w:szCs w:val="24"/>
          <w:lang w:val="en-US"/>
        </w:rPr>
        <w:t>号决定</w:t>
      </w:r>
      <w:r w:rsidRPr="00226587">
        <w:rPr>
          <w:rFonts w:eastAsiaTheme="minorEastAsia"/>
          <w:sz w:val="24"/>
          <w:szCs w:val="24"/>
          <w:lang w:val="en-US"/>
        </w:rPr>
        <w:t>)</w:t>
      </w:r>
      <w:r w:rsidRPr="00226587">
        <w:rPr>
          <w:rFonts w:eastAsiaTheme="minorEastAsia"/>
          <w:sz w:val="24"/>
          <w:szCs w:val="24"/>
        </w:rPr>
        <w:t>。缔约方大会在第</w:t>
      </w:r>
      <w:r w:rsidRPr="00226587">
        <w:rPr>
          <w:rFonts w:eastAsiaTheme="minorEastAsia"/>
          <w:sz w:val="24"/>
          <w:szCs w:val="24"/>
        </w:rPr>
        <w:t>V/5</w:t>
      </w:r>
      <w:r w:rsidRPr="00226587">
        <w:rPr>
          <w:rFonts w:eastAsiaTheme="minorEastAsia"/>
          <w:sz w:val="24"/>
          <w:szCs w:val="24"/>
        </w:rPr>
        <w:t>号决定中决定制定《保护与可持续利用授粉媒介国际倡议》，作为农业生物多样性工作方案中促进世界各地协调行动的一项跨领域倡议，并随后在第</w:t>
      </w:r>
      <w:r w:rsidRPr="00226587">
        <w:rPr>
          <w:rFonts w:eastAsiaTheme="minorEastAsia"/>
          <w:sz w:val="24"/>
          <w:szCs w:val="24"/>
        </w:rPr>
        <w:t>VI/5</w:t>
      </w:r>
      <w:r w:rsidRPr="00226587">
        <w:rPr>
          <w:rFonts w:eastAsiaTheme="minorEastAsia"/>
          <w:sz w:val="24"/>
          <w:szCs w:val="24"/>
        </w:rPr>
        <w:t>号决定中通过了一项行动计划。联合国粮食及农业组织（粮农组织）一直在领导和推动执行该项《行动计划》</w:t>
      </w:r>
      <w:r w:rsidRPr="00226587">
        <w:rPr>
          <w:rFonts w:eastAsiaTheme="minorEastAsia"/>
          <w:sz w:val="24"/>
          <w:szCs w:val="24"/>
          <w:lang w:val="en-US"/>
        </w:rPr>
        <w:t>。</w:t>
      </w:r>
    </w:p>
    <w:p w:rsidR="00495DEF" w:rsidRPr="00226587" w:rsidRDefault="00495DEF" w:rsidP="00495DEF">
      <w:pPr>
        <w:pStyle w:val="Para1"/>
        <w:numPr>
          <w:ilvl w:val="0"/>
          <w:numId w:val="33"/>
        </w:numPr>
        <w:tabs>
          <w:tab w:val="left" w:pos="720"/>
        </w:tabs>
        <w:spacing w:before="120"/>
        <w:ind w:left="0" w:firstLine="0"/>
        <w:rPr>
          <w:rFonts w:eastAsiaTheme="minorEastAsia"/>
          <w:sz w:val="24"/>
          <w:szCs w:val="24"/>
          <w:lang w:eastAsia="de-DE"/>
        </w:rPr>
      </w:pPr>
      <w:r w:rsidRPr="00226587">
        <w:rPr>
          <w:rFonts w:eastAsiaTheme="minorEastAsia"/>
          <w:kern w:val="22"/>
          <w:sz w:val="24"/>
          <w:szCs w:val="24"/>
        </w:rPr>
        <w:t>根据第</w:t>
      </w:r>
      <w:r>
        <w:rPr>
          <w:rStyle w:val="Hyperlink"/>
          <w:rFonts w:eastAsiaTheme="minorEastAsia"/>
          <w:sz w:val="24"/>
          <w:szCs w:val="24"/>
        </w:rPr>
        <w:fldChar w:fldCharType="begin"/>
      </w:r>
      <w:r>
        <w:rPr>
          <w:rStyle w:val="Hyperlink"/>
          <w:rFonts w:eastAsiaTheme="minorEastAsia"/>
          <w:sz w:val="24"/>
          <w:szCs w:val="24"/>
        </w:rPr>
        <w:instrText xml:space="preserve"> HYPERLINK "https://www.cbd.int/doc/decisions/cop-13/cop-13-dec-15-zh.pdf" </w:instrText>
      </w:r>
      <w:r>
        <w:rPr>
          <w:rStyle w:val="Hyperlink"/>
          <w:rFonts w:eastAsiaTheme="minorEastAsia"/>
          <w:sz w:val="24"/>
          <w:szCs w:val="24"/>
        </w:rPr>
        <w:fldChar w:fldCharType="separate"/>
      </w:r>
      <w:r w:rsidRPr="00226587">
        <w:rPr>
          <w:rStyle w:val="Hyperlink"/>
          <w:rFonts w:eastAsiaTheme="minorEastAsia"/>
          <w:sz w:val="24"/>
          <w:szCs w:val="24"/>
        </w:rPr>
        <w:t>XIII/15</w:t>
      </w:r>
      <w:r>
        <w:rPr>
          <w:rStyle w:val="Hyperlink"/>
          <w:rFonts w:eastAsiaTheme="minorEastAsia"/>
          <w:sz w:val="24"/>
          <w:szCs w:val="24"/>
        </w:rPr>
        <w:fldChar w:fldCharType="end"/>
      </w:r>
      <w:r w:rsidRPr="00226587">
        <w:rPr>
          <w:rFonts w:eastAsiaTheme="minorEastAsia"/>
          <w:kern w:val="22"/>
          <w:sz w:val="24"/>
          <w:szCs w:val="24"/>
        </w:rPr>
        <w:t>号决定（第</w:t>
      </w:r>
      <w:r w:rsidRPr="00226587">
        <w:rPr>
          <w:rFonts w:eastAsiaTheme="minorEastAsia"/>
          <w:kern w:val="22"/>
          <w:sz w:val="24"/>
          <w:szCs w:val="24"/>
        </w:rPr>
        <w:t>10</w:t>
      </w:r>
      <w:r w:rsidRPr="00226587">
        <w:rPr>
          <w:rFonts w:eastAsiaTheme="minorEastAsia"/>
          <w:kern w:val="22"/>
          <w:sz w:val="24"/>
          <w:szCs w:val="24"/>
        </w:rPr>
        <w:t>段），本《行动计划》由粮农组织和生物多样性公约秘书处与其他伙伴和有关专家协商，联合编写。</w:t>
      </w:r>
    </w:p>
    <w:p w:rsidR="00495DEF" w:rsidRPr="00226587" w:rsidRDefault="00495DEF" w:rsidP="00495DEF">
      <w:pPr>
        <w:pStyle w:val="Heading1"/>
        <w:spacing w:after="240"/>
        <w:rPr>
          <w:rFonts w:eastAsiaTheme="minorEastAsia"/>
          <w:sz w:val="24"/>
        </w:rPr>
      </w:pPr>
      <w:r w:rsidRPr="00226587">
        <w:rPr>
          <w:rFonts w:eastAsiaTheme="minorEastAsia"/>
          <w:sz w:val="24"/>
        </w:rPr>
        <w:t>一</w:t>
      </w:r>
      <w:r w:rsidRPr="00226587">
        <w:rPr>
          <w:rFonts w:eastAsiaTheme="minorEastAsia"/>
          <w:sz w:val="24"/>
        </w:rPr>
        <w:t>.</w:t>
      </w:r>
      <w:r w:rsidRPr="00226587">
        <w:rPr>
          <w:rFonts w:eastAsiaTheme="minorEastAsia"/>
          <w:sz w:val="24"/>
        </w:rPr>
        <w:tab/>
      </w:r>
      <w:r w:rsidRPr="00226587">
        <w:rPr>
          <w:rFonts w:eastAsiaTheme="minorEastAsia"/>
          <w:sz w:val="24"/>
        </w:rPr>
        <w:t>目标宗旨和范围</w:t>
      </w:r>
    </w:p>
    <w:p w:rsidR="00495DEF" w:rsidRPr="00226587" w:rsidRDefault="00495DEF" w:rsidP="00495DEF">
      <w:pPr>
        <w:pStyle w:val="Para1"/>
        <w:numPr>
          <w:ilvl w:val="0"/>
          <w:numId w:val="33"/>
        </w:numPr>
        <w:tabs>
          <w:tab w:val="left" w:pos="720"/>
        </w:tabs>
        <w:spacing w:before="120"/>
        <w:ind w:left="0" w:firstLine="0"/>
        <w:rPr>
          <w:rFonts w:eastAsiaTheme="minorEastAsia"/>
          <w:sz w:val="24"/>
          <w:lang w:eastAsia="de-DE"/>
        </w:rPr>
      </w:pPr>
      <w:r w:rsidRPr="00226587">
        <w:rPr>
          <w:rFonts w:eastAsiaTheme="minorEastAsia"/>
          <w:sz w:val="24"/>
        </w:rPr>
        <w:t>本《行动计划》的总体目标是促进世界范围的协调行动，保护野生和受管理的授粉媒介，促进可持续利用授粉功能和服务，这是一项公认的促进农业和运作及健康生态系统的重要生态系统服务。</w:t>
      </w:r>
    </w:p>
    <w:p w:rsidR="00495DEF" w:rsidRPr="00226587" w:rsidRDefault="00495DEF" w:rsidP="00495DEF">
      <w:pPr>
        <w:pStyle w:val="Para1"/>
        <w:numPr>
          <w:ilvl w:val="0"/>
          <w:numId w:val="33"/>
        </w:numPr>
        <w:tabs>
          <w:tab w:val="left" w:pos="720"/>
        </w:tabs>
        <w:spacing w:before="120"/>
        <w:ind w:left="0" w:firstLine="0"/>
        <w:rPr>
          <w:rFonts w:eastAsiaTheme="minorEastAsia"/>
          <w:sz w:val="24"/>
        </w:rPr>
      </w:pPr>
      <w:r w:rsidRPr="00226587">
        <w:rPr>
          <w:rFonts w:eastAsiaTheme="minorEastAsia"/>
          <w:sz w:val="24"/>
          <w:lang w:eastAsia="de-CH"/>
        </w:rPr>
        <w:t>本</w:t>
      </w:r>
      <w:r w:rsidRPr="00226587">
        <w:rPr>
          <w:rFonts w:eastAsiaTheme="minorEastAsia"/>
          <w:sz w:val="24"/>
        </w:rPr>
        <w:t>《</w:t>
      </w:r>
      <w:r w:rsidRPr="00226587">
        <w:rPr>
          <w:rFonts w:eastAsiaTheme="minorEastAsia"/>
          <w:sz w:val="24"/>
          <w:lang w:eastAsia="de-CH"/>
        </w:rPr>
        <w:t>行动计划</w:t>
      </w:r>
      <w:r w:rsidRPr="00226587">
        <w:rPr>
          <w:rFonts w:eastAsiaTheme="minorEastAsia"/>
          <w:sz w:val="24"/>
        </w:rPr>
        <w:t>》</w:t>
      </w:r>
      <w:r w:rsidRPr="00226587">
        <w:rPr>
          <w:rFonts w:eastAsiaTheme="minorEastAsia"/>
          <w:sz w:val="24"/>
          <w:lang w:eastAsia="de-CH"/>
        </w:rPr>
        <w:t>的目的是</w:t>
      </w:r>
      <w:r w:rsidRPr="00226587">
        <w:rPr>
          <w:rFonts w:eastAsiaTheme="minorEastAsia"/>
          <w:sz w:val="24"/>
        </w:rPr>
        <w:t>结合《</w:t>
      </w:r>
      <w:r w:rsidRPr="00226587">
        <w:rPr>
          <w:rFonts w:eastAsiaTheme="minorEastAsia"/>
          <w:sz w:val="24"/>
          <w:lang w:eastAsia="de-CH"/>
        </w:rPr>
        <w:t>2011-2020</w:t>
      </w:r>
      <w:r w:rsidRPr="00226587">
        <w:rPr>
          <w:rFonts w:eastAsiaTheme="minorEastAsia"/>
          <w:sz w:val="24"/>
          <w:lang w:eastAsia="de-CH"/>
        </w:rPr>
        <w:t>年生物多样性战略计划</w:t>
      </w:r>
      <w:r w:rsidRPr="00226587">
        <w:rPr>
          <w:rFonts w:eastAsiaTheme="minorEastAsia"/>
          <w:sz w:val="24"/>
        </w:rPr>
        <w:t>》</w:t>
      </w:r>
      <w:r w:rsidRPr="00226587">
        <w:rPr>
          <w:rFonts w:eastAsiaTheme="minorEastAsia"/>
          <w:sz w:val="24"/>
          <w:lang w:eastAsia="de-CH"/>
        </w:rPr>
        <w:t>及其爱知生物多样性</w:t>
      </w:r>
      <w:r w:rsidRPr="00226587">
        <w:rPr>
          <w:rFonts w:eastAsiaTheme="minorEastAsia"/>
          <w:sz w:val="24"/>
        </w:rPr>
        <w:t>指标</w:t>
      </w:r>
      <w:r w:rsidRPr="00226587">
        <w:rPr>
          <w:rFonts w:eastAsiaTheme="minorEastAsia"/>
          <w:sz w:val="24"/>
          <w:lang w:eastAsia="de-CH"/>
        </w:rPr>
        <w:t>和</w:t>
      </w:r>
      <w:r w:rsidRPr="00226587">
        <w:rPr>
          <w:rFonts w:eastAsiaTheme="minorEastAsia"/>
          <w:sz w:val="24"/>
          <w:lang w:eastAsia="de-CH"/>
        </w:rPr>
        <w:t>2050</w:t>
      </w:r>
      <w:r w:rsidRPr="00226587">
        <w:rPr>
          <w:rFonts w:eastAsiaTheme="minorEastAsia"/>
          <w:sz w:val="24"/>
        </w:rPr>
        <w:t>年生物多样性愿景、</w:t>
      </w:r>
      <w:r w:rsidRPr="00226587">
        <w:rPr>
          <w:rFonts w:eastAsiaTheme="minorEastAsia"/>
          <w:sz w:val="24"/>
          <w:lang w:eastAsia="de-CH"/>
        </w:rPr>
        <w:t>粮农组织</w:t>
      </w:r>
      <w:r w:rsidRPr="00226587">
        <w:rPr>
          <w:rFonts w:eastAsiaTheme="minorEastAsia"/>
          <w:sz w:val="24"/>
        </w:rPr>
        <w:t>《</w:t>
      </w:r>
      <w:r w:rsidRPr="00226587">
        <w:rPr>
          <w:rFonts w:eastAsiaTheme="minorEastAsia"/>
          <w:sz w:val="24"/>
          <w:lang w:eastAsia="de-CH"/>
        </w:rPr>
        <w:t>2010-2019</w:t>
      </w:r>
      <w:r w:rsidRPr="00226587">
        <w:rPr>
          <w:rFonts w:eastAsiaTheme="minorEastAsia"/>
          <w:sz w:val="24"/>
          <w:lang w:eastAsia="de-CH"/>
        </w:rPr>
        <w:t>年战略框架</w:t>
      </w:r>
      <w:r w:rsidRPr="00226587">
        <w:rPr>
          <w:rFonts w:eastAsiaTheme="minorEastAsia"/>
          <w:sz w:val="24"/>
        </w:rPr>
        <w:t>》</w:t>
      </w:r>
      <w:r w:rsidRPr="00226587">
        <w:rPr>
          <w:rFonts w:eastAsiaTheme="minorEastAsia"/>
          <w:sz w:val="24"/>
          <w:lang w:eastAsia="de-CH"/>
        </w:rPr>
        <w:t>和相关后续框架，以及</w:t>
      </w:r>
      <w:r w:rsidRPr="00226587">
        <w:rPr>
          <w:rFonts w:eastAsiaTheme="minorEastAsia"/>
          <w:sz w:val="24"/>
        </w:rPr>
        <w:t>《</w:t>
      </w:r>
      <w:r w:rsidRPr="00226587">
        <w:rPr>
          <w:rFonts w:eastAsiaTheme="minorEastAsia"/>
          <w:sz w:val="24"/>
          <w:lang w:eastAsia="de-CH"/>
        </w:rPr>
        <w:t>2030</w:t>
      </w:r>
      <w:r w:rsidRPr="00226587">
        <w:rPr>
          <w:rFonts w:eastAsiaTheme="minorEastAsia"/>
          <w:sz w:val="24"/>
          <w:lang w:eastAsia="de-CH"/>
        </w:rPr>
        <w:t>年可持续发展议程</w:t>
      </w:r>
      <w:r w:rsidRPr="00226587">
        <w:rPr>
          <w:rFonts w:eastAsiaTheme="minorEastAsia"/>
          <w:sz w:val="24"/>
        </w:rPr>
        <w:t>》，包括</w:t>
      </w:r>
      <w:r w:rsidRPr="00226587">
        <w:rPr>
          <w:rFonts w:eastAsiaTheme="minorEastAsia"/>
          <w:sz w:val="24"/>
          <w:lang w:eastAsia="de-CH"/>
        </w:rPr>
        <w:t>可持续发展目标</w:t>
      </w:r>
      <w:r w:rsidRPr="00226587">
        <w:rPr>
          <w:rFonts w:eastAsiaTheme="minorEastAsia"/>
          <w:sz w:val="24"/>
        </w:rPr>
        <w:t>，</w:t>
      </w:r>
      <w:r w:rsidRPr="00226587">
        <w:rPr>
          <w:rFonts w:eastAsiaTheme="minorEastAsia"/>
          <w:sz w:val="24"/>
          <w:lang w:eastAsia="de-CH"/>
        </w:rPr>
        <w:t>协助各缔约方</w:t>
      </w:r>
      <w:r w:rsidRPr="00226587">
        <w:rPr>
          <w:rFonts w:eastAsiaTheme="minorEastAsia"/>
          <w:sz w:val="24"/>
        </w:rPr>
        <w:t>、</w:t>
      </w:r>
      <w:r w:rsidRPr="00226587">
        <w:rPr>
          <w:rFonts w:eastAsiaTheme="minorEastAsia"/>
          <w:sz w:val="24"/>
          <w:lang w:eastAsia="de-CH"/>
        </w:rPr>
        <w:t>其他国家政府</w:t>
      </w:r>
      <w:r w:rsidRPr="00226587">
        <w:rPr>
          <w:rFonts w:eastAsiaTheme="minorEastAsia"/>
          <w:sz w:val="24"/>
        </w:rPr>
        <w:t>、土著人民、地方社区、相关</w:t>
      </w:r>
      <w:r w:rsidRPr="00226587">
        <w:rPr>
          <w:rFonts w:eastAsiaTheme="minorEastAsia"/>
          <w:sz w:val="24"/>
          <w:lang w:eastAsia="de-CH"/>
        </w:rPr>
        <w:t>组织和倡议执行第</w:t>
      </w:r>
      <w:r w:rsidRPr="00226587">
        <w:rPr>
          <w:rFonts w:eastAsiaTheme="minorEastAsia"/>
          <w:sz w:val="24"/>
          <w:lang w:eastAsia="de-CH"/>
        </w:rPr>
        <w:t>XIII</w:t>
      </w:r>
      <w:r w:rsidRPr="00226587">
        <w:rPr>
          <w:rFonts w:eastAsiaTheme="minorEastAsia"/>
          <w:sz w:val="24"/>
        </w:rPr>
        <w:t>/</w:t>
      </w:r>
      <w:r w:rsidRPr="00226587">
        <w:rPr>
          <w:rFonts w:eastAsiaTheme="minorEastAsia"/>
          <w:sz w:val="24"/>
          <w:lang w:eastAsia="de-CH"/>
        </w:rPr>
        <w:t>15</w:t>
      </w:r>
      <w:r w:rsidRPr="00226587">
        <w:rPr>
          <w:rFonts w:eastAsiaTheme="minorEastAsia"/>
          <w:sz w:val="24"/>
          <w:lang w:eastAsia="de-CH"/>
        </w:rPr>
        <w:t>号决定。</w:t>
      </w:r>
    </w:p>
    <w:p w:rsidR="00495DEF" w:rsidRPr="00226587" w:rsidRDefault="00495DEF" w:rsidP="00495DEF">
      <w:pPr>
        <w:pStyle w:val="Para1"/>
        <w:numPr>
          <w:ilvl w:val="0"/>
          <w:numId w:val="33"/>
        </w:numPr>
        <w:tabs>
          <w:tab w:val="left" w:pos="720"/>
        </w:tabs>
        <w:spacing w:before="120"/>
        <w:ind w:left="0" w:firstLine="0"/>
        <w:rPr>
          <w:rFonts w:eastAsiaTheme="minorEastAsia"/>
          <w:sz w:val="24"/>
          <w:lang w:eastAsia="de-CH"/>
        </w:rPr>
      </w:pPr>
      <w:r w:rsidRPr="00226587">
        <w:rPr>
          <w:rFonts w:eastAsiaTheme="minorEastAsia"/>
          <w:sz w:val="24"/>
        </w:rPr>
        <w:t>本《行动计划》的</w:t>
      </w:r>
      <w:r w:rsidRPr="00226587">
        <w:rPr>
          <w:rFonts w:eastAsiaTheme="minorEastAsia"/>
          <w:sz w:val="24"/>
          <w:lang w:eastAsia="de-CH"/>
        </w:rPr>
        <w:t>业务</w:t>
      </w:r>
      <w:r w:rsidRPr="00226587">
        <w:rPr>
          <w:rFonts w:eastAsiaTheme="minorEastAsia"/>
          <w:sz w:val="24"/>
        </w:rPr>
        <w:t>目标是协助各缔约方、其他国家政府、土著人民和地方社区、相关组织和倡议：</w:t>
      </w:r>
    </w:p>
    <w:p w:rsidR="00495DEF" w:rsidRPr="00226587" w:rsidRDefault="00495DEF" w:rsidP="00495DEF">
      <w:pPr>
        <w:pStyle w:val="ListParagraph"/>
        <w:numPr>
          <w:ilvl w:val="0"/>
          <w:numId w:val="31"/>
        </w:numPr>
        <w:tabs>
          <w:tab w:val="left" w:pos="720"/>
          <w:tab w:val="left" w:pos="1440"/>
        </w:tabs>
        <w:suppressAutoHyphens/>
        <w:snapToGrid w:val="0"/>
        <w:spacing w:before="120" w:after="120"/>
        <w:ind w:left="0" w:firstLine="720"/>
        <w:contextualSpacing w:val="0"/>
        <w:rPr>
          <w:rFonts w:eastAsiaTheme="minorEastAsia"/>
          <w:sz w:val="24"/>
        </w:rPr>
      </w:pPr>
      <w:r w:rsidRPr="00226587">
        <w:rPr>
          <w:rFonts w:eastAsiaTheme="minorEastAsia"/>
          <w:snapToGrid w:val="0"/>
          <w:kern w:val="22"/>
          <w:sz w:val="24"/>
        </w:rPr>
        <w:t>在地方、国家以下、国家、区域和全球各级执行保护和可持续利用授粉媒介的全面而一致的政策，推动将其纳入部门和跨部门计划、方案和战略</w:t>
      </w:r>
      <w:r w:rsidRPr="00226587">
        <w:rPr>
          <w:rFonts w:eastAsiaTheme="minorEastAsia"/>
          <w:sz w:val="24"/>
        </w:rPr>
        <w:t>；</w:t>
      </w:r>
    </w:p>
    <w:p w:rsidR="00495DEF" w:rsidRPr="00226587" w:rsidRDefault="00495DEF" w:rsidP="00495DEF">
      <w:pPr>
        <w:pStyle w:val="ListParagraph"/>
        <w:numPr>
          <w:ilvl w:val="0"/>
          <w:numId w:val="31"/>
        </w:numPr>
        <w:tabs>
          <w:tab w:val="left" w:pos="720"/>
        </w:tabs>
        <w:suppressAutoHyphens/>
        <w:snapToGrid w:val="0"/>
        <w:spacing w:before="120" w:after="120"/>
        <w:ind w:left="0" w:firstLine="720"/>
        <w:contextualSpacing w:val="0"/>
        <w:rPr>
          <w:rFonts w:eastAsiaTheme="minorEastAsia"/>
          <w:sz w:val="24"/>
        </w:rPr>
      </w:pPr>
      <w:r w:rsidRPr="00226587">
        <w:rPr>
          <w:rFonts w:eastAsiaTheme="minorEastAsia"/>
          <w:sz w:val="24"/>
        </w:rPr>
        <w:t>加强和贯彻维护健康授粉媒介区系的管理做法，使农民、养蜂人、林务员、土地管理者和城市社区能够利用授粉的收益，提高其生产力和改善生计</w:t>
      </w:r>
      <w:r w:rsidRPr="00226587">
        <w:rPr>
          <w:rFonts w:eastAsiaTheme="minorEastAsia"/>
          <w:snapToGrid w:val="0"/>
          <w:kern w:val="22"/>
          <w:sz w:val="24"/>
        </w:rPr>
        <w:t>；</w:t>
      </w:r>
    </w:p>
    <w:p w:rsidR="00495DEF" w:rsidRPr="00226587" w:rsidRDefault="00495DEF" w:rsidP="00495DEF">
      <w:pPr>
        <w:pStyle w:val="ListParagraph"/>
        <w:numPr>
          <w:ilvl w:val="0"/>
          <w:numId w:val="31"/>
        </w:numPr>
        <w:tabs>
          <w:tab w:val="left" w:pos="720"/>
        </w:tabs>
        <w:suppressAutoHyphens/>
        <w:snapToGrid w:val="0"/>
        <w:spacing w:before="120" w:after="120"/>
        <w:ind w:left="0" w:firstLine="720"/>
        <w:contextualSpacing w:val="0"/>
        <w:rPr>
          <w:rFonts w:eastAsiaTheme="minorEastAsia"/>
          <w:sz w:val="24"/>
        </w:rPr>
      </w:pPr>
      <w:r w:rsidRPr="00226587">
        <w:rPr>
          <w:rFonts w:eastAsiaTheme="minorEastAsia"/>
          <w:snapToGrid w:val="0"/>
          <w:kern w:val="22"/>
          <w:sz w:val="24"/>
        </w:rPr>
        <w:t>促进对民众和私营部门的教育，提高其对授粉媒介及其生境价值的认识；改进决策工具；采取切实行动，降低和防止授粉媒介减少的现象；</w:t>
      </w:r>
    </w:p>
    <w:p w:rsidR="00495DEF" w:rsidRPr="00226587" w:rsidRDefault="00495DEF" w:rsidP="00495DEF">
      <w:pPr>
        <w:pStyle w:val="ListParagraph"/>
        <w:numPr>
          <w:ilvl w:val="0"/>
          <w:numId w:val="31"/>
        </w:numPr>
        <w:tabs>
          <w:tab w:val="left" w:pos="720"/>
        </w:tabs>
        <w:suppressAutoHyphens/>
        <w:snapToGrid w:val="0"/>
        <w:spacing w:before="120" w:after="120"/>
        <w:ind w:left="0" w:firstLine="720"/>
        <w:contextualSpacing w:val="0"/>
        <w:rPr>
          <w:rFonts w:eastAsiaTheme="minorEastAsia"/>
          <w:sz w:val="24"/>
        </w:rPr>
      </w:pPr>
      <w:r w:rsidRPr="00226587">
        <w:rPr>
          <w:rFonts w:eastAsiaTheme="minorEastAsia"/>
          <w:snapToGrid w:val="0"/>
          <w:sz w:val="24"/>
        </w:rPr>
        <w:t>监测和评估各区域授粉媒介、授粉及其生境的现况和趋势，通过促进相关研究等方式，弥补知识差距</w:t>
      </w:r>
      <w:r w:rsidRPr="00226587">
        <w:rPr>
          <w:rFonts w:eastAsiaTheme="minorEastAsia"/>
          <w:sz w:val="24"/>
        </w:rPr>
        <w:t>。</w:t>
      </w:r>
    </w:p>
    <w:p w:rsidR="00495DEF" w:rsidRPr="00226587" w:rsidRDefault="00495DEF" w:rsidP="00495DEF">
      <w:pPr>
        <w:pStyle w:val="Para1"/>
        <w:numPr>
          <w:ilvl w:val="0"/>
          <w:numId w:val="33"/>
        </w:numPr>
        <w:tabs>
          <w:tab w:val="left" w:pos="720"/>
        </w:tabs>
        <w:spacing w:before="120"/>
        <w:ind w:left="0" w:firstLine="0"/>
        <w:rPr>
          <w:rFonts w:eastAsiaTheme="minorEastAsia"/>
          <w:sz w:val="24"/>
        </w:rPr>
      </w:pPr>
      <w:r w:rsidRPr="00226587">
        <w:rPr>
          <w:rFonts w:eastAsiaTheme="minorEastAsia"/>
          <w:sz w:val="24"/>
        </w:rPr>
        <w:t>本《行动计划》旨在推动落实行动，在农业景观和相关生态系统，包括森林、草原、农田、湿地、热带草原、沿海地区和城市环境中，保护和促进授粉媒介及授粉功能和服务。可在区域、国家、国家以下和地方各级推行这些活动。</w:t>
      </w:r>
    </w:p>
    <w:p w:rsidR="00495DEF" w:rsidRPr="00226587" w:rsidRDefault="00495DEF" w:rsidP="00495DEF">
      <w:pPr>
        <w:pStyle w:val="Heading1"/>
        <w:spacing w:after="240"/>
        <w:rPr>
          <w:rFonts w:eastAsiaTheme="minorEastAsia"/>
          <w:sz w:val="24"/>
        </w:rPr>
      </w:pPr>
      <w:r w:rsidRPr="00226587">
        <w:rPr>
          <w:rFonts w:eastAsiaTheme="minorEastAsia"/>
          <w:sz w:val="24"/>
        </w:rPr>
        <w:t>二</w:t>
      </w:r>
      <w:r w:rsidRPr="00226587">
        <w:rPr>
          <w:rFonts w:eastAsiaTheme="minorEastAsia"/>
          <w:sz w:val="24"/>
        </w:rPr>
        <w:t>.</w:t>
      </w:r>
      <w:r w:rsidRPr="00226587">
        <w:rPr>
          <w:rFonts w:eastAsiaTheme="minorEastAsia"/>
          <w:sz w:val="24"/>
        </w:rPr>
        <w:tab/>
      </w:r>
      <w:r w:rsidRPr="00226587">
        <w:rPr>
          <w:rFonts w:eastAsiaTheme="minorEastAsia"/>
          <w:sz w:val="24"/>
        </w:rPr>
        <w:t>背景和总体理论依据</w:t>
      </w:r>
    </w:p>
    <w:p w:rsidR="00495DEF" w:rsidRPr="00226587" w:rsidRDefault="00495DEF" w:rsidP="00495DEF">
      <w:pPr>
        <w:pStyle w:val="Para1"/>
        <w:numPr>
          <w:ilvl w:val="0"/>
          <w:numId w:val="33"/>
        </w:numPr>
        <w:tabs>
          <w:tab w:val="left" w:pos="720"/>
        </w:tabs>
        <w:spacing w:before="120"/>
        <w:ind w:left="0" w:firstLine="0"/>
        <w:rPr>
          <w:rFonts w:eastAsiaTheme="minorEastAsia"/>
          <w:sz w:val="24"/>
          <w:lang w:eastAsia="de-DE"/>
        </w:rPr>
      </w:pPr>
      <w:r w:rsidRPr="00226587">
        <w:rPr>
          <w:rFonts w:eastAsiaTheme="minorEastAsia"/>
          <w:sz w:val="24"/>
        </w:rPr>
        <w:t>动物介导的授粉是对自然界、农业和人类福祉至关重要的调节生态系统服务。这项服务的提供者是授粉媒介，即受管理的蜜蜂和野蜂；苍蝇、蝴蝶和甲虫等其他昆虫；以及蝙蝠、鸟类和一些灵长类动物等脊椎动物。生物多样性和生态系统服务政府间科学政策平台（政府间科学政策平台）发布的关于授粉媒介、授粉和粮食生产的评估报告</w:t>
      </w:r>
      <w:r w:rsidRPr="00EC5351">
        <w:rPr>
          <w:rStyle w:val="FootnoteReference"/>
          <w:rFonts w:eastAsiaTheme="minorEastAsia"/>
          <w:sz w:val="24"/>
          <w:u w:val="none"/>
          <w:vertAlign w:val="superscript"/>
          <w:lang w:eastAsia="de-DE"/>
        </w:rPr>
        <w:footnoteReference w:id="3"/>
      </w:r>
      <w:r w:rsidR="00EC5351" w:rsidRPr="00EC5351">
        <w:rPr>
          <w:rFonts w:eastAsiaTheme="minorEastAsia" w:hint="eastAsia"/>
          <w:sz w:val="24"/>
          <w:vertAlign w:val="superscript"/>
        </w:rPr>
        <w:t xml:space="preserve"> </w:t>
      </w:r>
      <w:r w:rsidRPr="00226587">
        <w:rPr>
          <w:rFonts w:eastAsiaTheme="minorEastAsia"/>
          <w:sz w:val="24"/>
        </w:rPr>
        <w:t>强调了授</w:t>
      </w:r>
      <w:r w:rsidRPr="00226587">
        <w:rPr>
          <w:rFonts w:eastAsiaTheme="minorEastAsia"/>
          <w:sz w:val="24"/>
        </w:rPr>
        <w:lastRenderedPageBreak/>
        <w:t>粉媒介在多方面的作用。世界上近</w:t>
      </w:r>
      <w:r w:rsidRPr="00226587">
        <w:rPr>
          <w:rFonts w:eastAsiaTheme="minorEastAsia"/>
          <w:sz w:val="24"/>
          <w:lang w:val="de-DE" w:eastAsia="de-DE"/>
        </w:rPr>
        <w:t>90</w:t>
      </w:r>
      <w:r w:rsidRPr="00226587">
        <w:rPr>
          <w:rFonts w:eastAsiaTheme="minorEastAsia"/>
          <w:sz w:val="24"/>
          <w:lang w:val="de-DE" w:eastAsia="de-DE"/>
        </w:rPr>
        <w:t>％</w:t>
      </w:r>
      <w:r w:rsidRPr="00226587">
        <w:rPr>
          <w:rFonts w:eastAsiaTheme="minorEastAsia"/>
          <w:sz w:val="24"/>
        </w:rPr>
        <w:t>的野花植物物种完全或至少部分依赖动物授粉。这些植物向其他物种提供食物、生境和其他资源，对生态系统的运作至关重要。此外，一些自花授粉作物如大豆也可以受益于通过动物授粉媒介提高生产力。</w:t>
      </w:r>
    </w:p>
    <w:p w:rsidR="00495DEF" w:rsidRPr="00226587" w:rsidRDefault="00495DEF" w:rsidP="00495DEF">
      <w:pPr>
        <w:pStyle w:val="Para1"/>
        <w:numPr>
          <w:ilvl w:val="0"/>
          <w:numId w:val="33"/>
        </w:numPr>
        <w:tabs>
          <w:tab w:val="left" w:pos="720"/>
        </w:tabs>
        <w:spacing w:before="120"/>
        <w:ind w:left="0" w:firstLine="0"/>
        <w:rPr>
          <w:rFonts w:eastAsiaTheme="minorEastAsia"/>
          <w:sz w:val="24"/>
          <w:lang w:eastAsia="de-DE"/>
        </w:rPr>
      </w:pPr>
      <w:r w:rsidRPr="00226587">
        <w:rPr>
          <w:rFonts w:eastAsiaTheme="minorEastAsia"/>
          <w:sz w:val="24"/>
        </w:rPr>
        <w:t>尽管有关野生授粉媒介现状和趋势的数据有限</w:t>
      </w:r>
      <w:r w:rsidRPr="00226587">
        <w:rPr>
          <w:rFonts w:eastAsiaTheme="minorEastAsia"/>
          <w:sz w:val="24"/>
          <w:lang w:eastAsia="de-DE"/>
        </w:rPr>
        <w:t>，</w:t>
      </w:r>
      <w:r w:rsidRPr="00226587">
        <w:rPr>
          <w:rFonts w:eastAsiaTheme="minorEastAsia"/>
          <w:sz w:val="24"/>
        </w:rPr>
        <w:t>而且基本上只有</w:t>
      </w:r>
      <w:r w:rsidRPr="00226587">
        <w:rPr>
          <w:rFonts w:eastAsiaTheme="minorEastAsia"/>
          <w:sz w:val="24"/>
          <w:lang w:eastAsia="de-DE"/>
        </w:rPr>
        <w:t>欧洲和美洲一些地区</w:t>
      </w:r>
      <w:r w:rsidRPr="00226587">
        <w:rPr>
          <w:rFonts w:eastAsiaTheme="minorEastAsia"/>
          <w:sz w:val="24"/>
        </w:rPr>
        <w:t>才有这些数据</w:t>
      </w:r>
      <w:r w:rsidRPr="00226587">
        <w:rPr>
          <w:rFonts w:eastAsiaTheme="minorEastAsia"/>
          <w:sz w:val="24"/>
          <w:lang w:eastAsia="de-DE"/>
        </w:rPr>
        <w:t>，但</w:t>
      </w:r>
      <w:r w:rsidRPr="00226587">
        <w:rPr>
          <w:rFonts w:eastAsiaTheme="minorEastAsia"/>
          <w:sz w:val="24"/>
        </w:rPr>
        <w:t>据观察，最近</w:t>
      </w:r>
      <w:r w:rsidRPr="00226587">
        <w:rPr>
          <w:rFonts w:eastAsiaTheme="minorEastAsia"/>
          <w:sz w:val="24"/>
          <w:lang w:eastAsia="de-DE"/>
        </w:rPr>
        <w:t>几十年一些授粉</w:t>
      </w:r>
      <w:r w:rsidRPr="00226587">
        <w:rPr>
          <w:rFonts w:eastAsiaTheme="minorEastAsia"/>
          <w:sz w:val="24"/>
        </w:rPr>
        <w:t>媒介</w:t>
      </w:r>
      <w:r w:rsidRPr="00226587">
        <w:rPr>
          <w:rFonts w:eastAsiaTheme="minorEastAsia"/>
          <w:sz w:val="24"/>
          <w:lang w:eastAsia="de-DE"/>
        </w:rPr>
        <w:t>类群</w:t>
      </w:r>
      <w:r w:rsidRPr="00226587">
        <w:rPr>
          <w:rFonts w:eastAsiaTheme="minorEastAsia"/>
          <w:sz w:val="24"/>
        </w:rPr>
        <w:t>已经骤减</w:t>
      </w:r>
      <w:r w:rsidRPr="00226587">
        <w:rPr>
          <w:rFonts w:eastAsiaTheme="minorEastAsia"/>
          <w:sz w:val="24"/>
          <w:lang w:eastAsia="de-DE"/>
        </w:rPr>
        <w:t>。对野生蜜蜂和蝴蝶等野生昆虫</w:t>
      </w:r>
      <w:r w:rsidRPr="00226587">
        <w:rPr>
          <w:rFonts w:eastAsiaTheme="minorEastAsia"/>
          <w:sz w:val="24"/>
        </w:rPr>
        <w:t>授粉媒介现状</w:t>
      </w:r>
      <w:r w:rsidRPr="00226587">
        <w:rPr>
          <w:rFonts w:eastAsiaTheme="minorEastAsia"/>
          <w:sz w:val="24"/>
          <w:lang w:eastAsia="de-DE"/>
        </w:rPr>
        <w:t>的风险评估</w:t>
      </w:r>
      <w:r w:rsidRPr="00226587">
        <w:rPr>
          <w:rFonts w:eastAsiaTheme="minorEastAsia"/>
          <w:sz w:val="24"/>
        </w:rPr>
        <w:t>也同样具有</w:t>
      </w:r>
      <w:r w:rsidRPr="00226587">
        <w:rPr>
          <w:rFonts w:eastAsiaTheme="minorEastAsia"/>
          <w:sz w:val="24"/>
          <w:lang w:eastAsia="de-DE"/>
        </w:rPr>
        <w:t>地理上</w:t>
      </w:r>
      <w:r w:rsidRPr="00226587">
        <w:rPr>
          <w:rFonts w:eastAsiaTheme="minorEastAsia"/>
          <w:sz w:val="24"/>
        </w:rPr>
        <w:t>的局限性</w:t>
      </w:r>
      <w:r w:rsidRPr="00226587">
        <w:rPr>
          <w:rFonts w:eastAsiaTheme="minorEastAsia"/>
          <w:sz w:val="24"/>
          <w:lang w:val="de-DE" w:eastAsia="de-DE"/>
        </w:rPr>
        <w:t>，</w:t>
      </w:r>
      <w:r w:rsidRPr="00226587">
        <w:rPr>
          <w:rFonts w:eastAsiaTheme="minorEastAsia"/>
          <w:sz w:val="24"/>
          <w:lang w:eastAsia="de-DE"/>
        </w:rPr>
        <w:t>但</w:t>
      </w:r>
      <w:r w:rsidRPr="00226587">
        <w:rPr>
          <w:rFonts w:eastAsiaTheme="minorEastAsia"/>
          <w:sz w:val="24"/>
        </w:rPr>
        <w:t>评估</w:t>
      </w:r>
      <w:r w:rsidRPr="00226587">
        <w:rPr>
          <w:rFonts w:eastAsiaTheme="minorEastAsia"/>
          <w:sz w:val="24"/>
          <w:lang w:eastAsia="de-DE"/>
        </w:rPr>
        <w:t>表明受威胁程度很高</w:t>
      </w:r>
      <w:r w:rsidRPr="00226587">
        <w:rPr>
          <w:rFonts w:eastAsiaTheme="minorEastAsia"/>
          <w:sz w:val="24"/>
          <w:lang w:val="de-DE" w:eastAsia="de-DE"/>
        </w:rPr>
        <w:t>，</w:t>
      </w:r>
      <w:r w:rsidRPr="00226587">
        <w:rPr>
          <w:rFonts w:eastAsiaTheme="minorEastAsia"/>
          <w:sz w:val="24"/>
          <w:lang w:eastAsia="de-DE"/>
        </w:rPr>
        <w:t>通常</w:t>
      </w:r>
      <w:r w:rsidRPr="00226587">
        <w:rPr>
          <w:rFonts w:eastAsiaTheme="minorEastAsia"/>
          <w:sz w:val="24"/>
        </w:rPr>
        <w:t>受到威胁的物种</w:t>
      </w:r>
      <w:r w:rsidRPr="00226587">
        <w:rPr>
          <w:rFonts w:eastAsiaTheme="minorEastAsia"/>
          <w:sz w:val="24"/>
          <w:lang w:eastAsia="de-DE"/>
        </w:rPr>
        <w:t>超过</w:t>
      </w:r>
      <w:r w:rsidRPr="00226587">
        <w:rPr>
          <w:rFonts w:eastAsiaTheme="minorEastAsia"/>
          <w:sz w:val="24"/>
        </w:rPr>
        <w:t>了</w:t>
      </w:r>
      <w:r w:rsidRPr="00226587">
        <w:rPr>
          <w:rFonts w:eastAsiaTheme="minorEastAsia"/>
          <w:sz w:val="24"/>
          <w:lang w:val="de-DE" w:eastAsia="de-DE"/>
        </w:rPr>
        <w:t>40%</w:t>
      </w:r>
      <w:r w:rsidRPr="00226587">
        <w:rPr>
          <w:rFonts w:eastAsiaTheme="minorEastAsia"/>
          <w:sz w:val="24"/>
          <w:lang w:val="de-DE"/>
        </w:rPr>
        <w:t>。</w:t>
      </w:r>
    </w:p>
    <w:p w:rsidR="00495DEF" w:rsidRPr="00226587" w:rsidRDefault="00495DEF" w:rsidP="00495DEF">
      <w:pPr>
        <w:pStyle w:val="Para1"/>
        <w:numPr>
          <w:ilvl w:val="0"/>
          <w:numId w:val="33"/>
        </w:numPr>
        <w:tabs>
          <w:tab w:val="left" w:pos="720"/>
        </w:tabs>
        <w:spacing w:before="120"/>
        <w:ind w:left="0" w:firstLine="0"/>
        <w:rPr>
          <w:rFonts w:eastAsiaTheme="minorEastAsia"/>
          <w:sz w:val="24"/>
          <w:lang w:eastAsia="de-DE"/>
        </w:rPr>
      </w:pPr>
      <w:r w:rsidRPr="00226587">
        <w:rPr>
          <w:rFonts w:eastAsiaTheme="minorEastAsia"/>
          <w:sz w:val="24"/>
        </w:rPr>
        <w:t>全球农业日益依赖授粉媒介</w:t>
      </w:r>
      <w:r w:rsidRPr="00226587">
        <w:rPr>
          <w:rFonts w:eastAsiaTheme="minorEastAsia"/>
          <w:sz w:val="24"/>
          <w:lang w:eastAsia="de-DE"/>
        </w:rPr>
        <w:t>，</w:t>
      </w:r>
      <w:r w:rsidRPr="00226587">
        <w:rPr>
          <w:rFonts w:eastAsiaTheme="minorEastAsia"/>
          <w:sz w:val="24"/>
        </w:rPr>
        <w:t>而</w:t>
      </w:r>
      <w:r w:rsidRPr="00226587">
        <w:rPr>
          <w:rFonts w:eastAsiaTheme="minorEastAsia"/>
          <w:sz w:val="24"/>
          <w:lang w:eastAsia="de-DE"/>
        </w:rPr>
        <w:t>这种依赖</w:t>
      </w:r>
      <w:r w:rsidRPr="00226587">
        <w:rPr>
          <w:rFonts w:eastAsiaTheme="minorEastAsia"/>
          <w:sz w:val="24"/>
        </w:rPr>
        <w:t>大多</w:t>
      </w:r>
      <w:r w:rsidRPr="00226587">
        <w:rPr>
          <w:rFonts w:eastAsiaTheme="minorEastAsia"/>
          <w:sz w:val="24"/>
          <w:lang w:eastAsia="de-DE"/>
        </w:rPr>
        <w:t>与野生授粉媒介有关</w:t>
      </w:r>
      <w:r w:rsidRPr="00226587">
        <w:rPr>
          <w:rFonts w:eastAsiaTheme="minorEastAsia"/>
          <w:sz w:val="24"/>
        </w:rPr>
        <w:t xml:space="preserve"> </w:t>
      </w:r>
      <w:r w:rsidRPr="00226587">
        <w:rPr>
          <w:rFonts w:eastAsiaTheme="minorEastAsia"/>
          <w:sz w:val="24"/>
          <w:lang w:val="en-US"/>
        </w:rPr>
        <w:t>。</w:t>
      </w:r>
      <w:r w:rsidRPr="007E192A">
        <w:rPr>
          <w:rStyle w:val="FootnoteReference"/>
          <w:rFonts w:eastAsiaTheme="minorEastAsia"/>
          <w:sz w:val="24"/>
          <w:u w:val="none"/>
          <w:vertAlign w:val="superscript"/>
          <w:lang w:eastAsia="de-DE"/>
        </w:rPr>
        <w:footnoteReference w:id="4"/>
      </w:r>
      <w:r w:rsidRPr="007E192A">
        <w:rPr>
          <w:rFonts w:eastAsiaTheme="minorEastAsia"/>
          <w:sz w:val="24"/>
          <w:vertAlign w:val="superscript"/>
          <w:lang w:val="en-US"/>
        </w:rPr>
        <w:t xml:space="preserve"> </w:t>
      </w:r>
      <w:r w:rsidRPr="00226587">
        <w:rPr>
          <w:rFonts w:eastAsiaTheme="minorEastAsia"/>
          <w:sz w:val="24"/>
          <w:lang w:eastAsia="de-DE"/>
        </w:rPr>
        <w:t>除了</w:t>
      </w:r>
      <w:r w:rsidRPr="00226587">
        <w:rPr>
          <w:rFonts w:eastAsiaTheme="minorEastAsia"/>
          <w:sz w:val="24"/>
        </w:rPr>
        <w:t>通过授粉产生的多样化和营养丰富的饮食带来的</w:t>
      </w:r>
      <w:r w:rsidRPr="00226587">
        <w:rPr>
          <w:rFonts w:eastAsiaTheme="minorEastAsia"/>
          <w:sz w:val="24"/>
          <w:lang w:eastAsia="de-DE"/>
        </w:rPr>
        <w:t>适销产品</w:t>
      </w:r>
      <w:r w:rsidRPr="00226587">
        <w:rPr>
          <w:rFonts w:eastAsiaTheme="minorEastAsia"/>
          <w:sz w:val="24"/>
        </w:rPr>
        <w:t>和健康好处</w:t>
      </w:r>
      <w:r w:rsidRPr="00226587">
        <w:rPr>
          <w:rFonts w:eastAsiaTheme="minorEastAsia"/>
          <w:sz w:val="24"/>
          <w:lang w:eastAsia="de-DE"/>
        </w:rPr>
        <w:t>，</w:t>
      </w:r>
      <w:r w:rsidRPr="00226587">
        <w:rPr>
          <w:rFonts w:eastAsiaTheme="minorEastAsia"/>
          <w:sz w:val="24"/>
        </w:rPr>
        <w:t>授粉媒介还是</w:t>
      </w:r>
      <w:r w:rsidRPr="00226587">
        <w:rPr>
          <w:rFonts w:eastAsiaTheme="minorEastAsia"/>
          <w:sz w:val="24"/>
          <w:lang w:eastAsia="de-DE"/>
        </w:rPr>
        <w:t>艺术和手工艺</w:t>
      </w:r>
      <w:r w:rsidRPr="00226587">
        <w:rPr>
          <w:rFonts w:eastAsiaTheme="minorEastAsia"/>
          <w:sz w:val="24"/>
        </w:rPr>
        <w:t>、</w:t>
      </w:r>
      <w:r w:rsidRPr="00226587">
        <w:rPr>
          <w:rFonts w:eastAsiaTheme="minorEastAsia"/>
          <w:sz w:val="24"/>
          <w:lang w:eastAsia="de-DE"/>
        </w:rPr>
        <w:t>宗教</w:t>
      </w:r>
      <w:r w:rsidRPr="00226587">
        <w:rPr>
          <w:rFonts w:eastAsiaTheme="minorEastAsia"/>
          <w:sz w:val="24"/>
        </w:rPr>
        <w:t>、</w:t>
      </w:r>
      <w:r w:rsidRPr="00226587">
        <w:rPr>
          <w:rFonts w:eastAsiaTheme="minorEastAsia"/>
          <w:sz w:val="24"/>
          <w:lang w:eastAsia="de-DE"/>
        </w:rPr>
        <w:t>传统或娱乐活动的灵感来源</w:t>
      </w:r>
      <w:r w:rsidRPr="00226587">
        <w:rPr>
          <w:rFonts w:eastAsiaTheme="minorEastAsia"/>
          <w:sz w:val="24"/>
        </w:rPr>
        <w:t>，</w:t>
      </w:r>
      <w:r w:rsidRPr="00226587">
        <w:rPr>
          <w:rFonts w:eastAsiaTheme="minorEastAsia"/>
          <w:sz w:val="24"/>
          <w:lang w:eastAsia="de-DE"/>
        </w:rPr>
        <w:t>为人类福祉提供非金钱利益</w:t>
      </w:r>
      <w:r w:rsidRPr="00226587">
        <w:rPr>
          <w:rFonts w:eastAsiaTheme="minorEastAsia"/>
          <w:sz w:val="24"/>
        </w:rPr>
        <w:t>。</w:t>
      </w:r>
    </w:p>
    <w:p w:rsidR="00495DEF" w:rsidRPr="00226587" w:rsidRDefault="00495DEF" w:rsidP="00495DEF">
      <w:pPr>
        <w:pStyle w:val="Para1"/>
        <w:numPr>
          <w:ilvl w:val="0"/>
          <w:numId w:val="33"/>
        </w:numPr>
        <w:tabs>
          <w:tab w:val="left" w:pos="720"/>
        </w:tabs>
        <w:spacing w:before="120"/>
        <w:ind w:left="0" w:firstLine="0"/>
        <w:rPr>
          <w:rFonts w:eastAsiaTheme="minorEastAsia"/>
          <w:sz w:val="24"/>
          <w:lang w:val="de-DE" w:eastAsia="de-DE"/>
        </w:rPr>
      </w:pPr>
      <w:r w:rsidRPr="00226587">
        <w:rPr>
          <w:rFonts w:eastAsiaTheme="minorEastAsia"/>
          <w:sz w:val="24"/>
        </w:rPr>
        <w:t>很多导致授粉</w:t>
      </w:r>
      <w:r w:rsidRPr="00226587">
        <w:rPr>
          <w:rFonts w:eastAsiaTheme="minorEastAsia"/>
          <w:sz w:val="24"/>
          <w:lang w:eastAsia="de-DE"/>
        </w:rPr>
        <w:t>媒介</w:t>
      </w:r>
      <w:r w:rsidRPr="00226587">
        <w:rPr>
          <w:rFonts w:eastAsiaTheme="minorEastAsia"/>
          <w:sz w:val="24"/>
          <w:lang w:val="de-DE"/>
        </w:rPr>
        <w:t>丧失</w:t>
      </w:r>
      <w:r w:rsidRPr="00226587">
        <w:rPr>
          <w:rFonts w:eastAsiaTheme="minorEastAsia"/>
          <w:sz w:val="24"/>
          <w:lang w:eastAsia="de-DE"/>
        </w:rPr>
        <w:t>的主要</w:t>
      </w:r>
      <w:r w:rsidRPr="00226587">
        <w:rPr>
          <w:rFonts w:eastAsiaTheme="minorEastAsia"/>
          <w:sz w:val="24"/>
        </w:rPr>
        <w:t>直接驱动因素仍然是《</w:t>
      </w:r>
      <w:r w:rsidRPr="00226587">
        <w:rPr>
          <w:rFonts w:eastAsiaTheme="minorEastAsia"/>
          <w:sz w:val="24"/>
          <w:lang w:eastAsia="de-DE"/>
        </w:rPr>
        <w:t>生物多样性公约</w:t>
      </w:r>
      <w:r w:rsidRPr="00226587">
        <w:rPr>
          <w:rFonts w:eastAsiaTheme="minorEastAsia"/>
          <w:sz w:val="24"/>
        </w:rPr>
        <w:t>》最初关于授粉</w:t>
      </w:r>
      <w:r w:rsidRPr="00226587">
        <w:rPr>
          <w:rFonts w:eastAsiaTheme="minorEastAsia"/>
          <w:sz w:val="24"/>
          <w:lang w:eastAsia="de-DE"/>
        </w:rPr>
        <w:t>媒介</w:t>
      </w:r>
      <w:r w:rsidRPr="00226587">
        <w:rPr>
          <w:rFonts w:eastAsiaTheme="minorEastAsia"/>
          <w:sz w:val="24"/>
          <w:lang w:val="de-DE"/>
        </w:rPr>
        <w:t>的第一项决定</w:t>
      </w:r>
      <w:r w:rsidRPr="007E192A">
        <w:rPr>
          <w:rStyle w:val="FootnoteReference"/>
          <w:rFonts w:eastAsiaTheme="minorEastAsia"/>
          <w:sz w:val="24"/>
          <w:u w:val="none"/>
          <w:vertAlign w:val="superscript"/>
          <w:lang w:eastAsia="de-DE"/>
        </w:rPr>
        <w:footnoteReference w:id="5"/>
      </w:r>
      <w:r w:rsidRPr="007E192A">
        <w:rPr>
          <w:rFonts w:eastAsiaTheme="minorEastAsia"/>
          <w:sz w:val="24"/>
          <w:vertAlign w:val="superscript"/>
          <w:lang w:val="de-DE"/>
        </w:rPr>
        <w:t xml:space="preserve"> </w:t>
      </w:r>
      <w:r w:rsidRPr="00226587">
        <w:rPr>
          <w:rFonts w:eastAsiaTheme="minorEastAsia"/>
          <w:sz w:val="24"/>
        </w:rPr>
        <w:t>所确认的那些因素：</w:t>
      </w:r>
      <w:r w:rsidRPr="00226587">
        <w:rPr>
          <w:rFonts w:eastAsiaTheme="minorEastAsia"/>
          <w:sz w:val="24"/>
          <w:lang w:eastAsia="de-DE"/>
        </w:rPr>
        <w:t>生境</w:t>
      </w:r>
      <w:r w:rsidRPr="00226587">
        <w:rPr>
          <w:rFonts w:eastAsiaTheme="minorEastAsia"/>
          <w:sz w:val="24"/>
        </w:rPr>
        <w:t>破碎化</w:t>
      </w:r>
      <w:r w:rsidRPr="00226587">
        <w:rPr>
          <w:rFonts w:eastAsiaTheme="minorEastAsia"/>
          <w:sz w:val="24"/>
          <w:lang w:eastAsia="de-DE"/>
        </w:rPr>
        <w:t>和土地</w:t>
      </w:r>
      <w:r w:rsidRPr="00226587">
        <w:rPr>
          <w:rFonts w:eastAsiaTheme="minorEastAsia"/>
          <w:sz w:val="24"/>
        </w:rPr>
        <w:t>用途改变、</w:t>
      </w:r>
      <w:r w:rsidRPr="00226587">
        <w:rPr>
          <w:rFonts w:eastAsiaTheme="minorEastAsia"/>
          <w:sz w:val="24"/>
          <w:lang w:eastAsia="de-DE"/>
        </w:rPr>
        <w:t>农业和工业化学品</w:t>
      </w:r>
      <w:r w:rsidRPr="00226587">
        <w:rPr>
          <w:rFonts w:eastAsiaTheme="minorEastAsia"/>
          <w:sz w:val="24"/>
        </w:rPr>
        <w:t>、</w:t>
      </w:r>
      <w:r w:rsidRPr="00226587">
        <w:rPr>
          <w:rFonts w:eastAsiaTheme="minorEastAsia"/>
          <w:sz w:val="24"/>
          <w:lang w:eastAsia="de-DE"/>
        </w:rPr>
        <w:t>寄生虫和疾病以及外来入侵物种。此外</w:t>
      </w:r>
      <w:r w:rsidRPr="00226587">
        <w:rPr>
          <w:rFonts w:eastAsiaTheme="minorEastAsia"/>
          <w:sz w:val="24"/>
          <w:lang w:val="de-DE" w:eastAsia="de-DE"/>
        </w:rPr>
        <w:t>，</w:t>
      </w:r>
      <w:r w:rsidRPr="00226587">
        <w:rPr>
          <w:rFonts w:eastAsiaTheme="minorEastAsia"/>
          <w:sz w:val="24"/>
          <w:lang w:val="de-DE"/>
        </w:rPr>
        <w:t>还出现了</w:t>
      </w:r>
      <w:r w:rsidRPr="00226587">
        <w:rPr>
          <w:rFonts w:eastAsiaTheme="minorEastAsia"/>
          <w:sz w:val="24"/>
          <w:lang w:eastAsia="de-DE"/>
        </w:rPr>
        <w:t>气候变化等其他</w:t>
      </w:r>
      <w:r w:rsidRPr="00226587">
        <w:rPr>
          <w:rFonts w:eastAsiaTheme="minorEastAsia"/>
          <w:sz w:val="24"/>
        </w:rPr>
        <w:t>重大的</w:t>
      </w:r>
      <w:r w:rsidRPr="00226587">
        <w:rPr>
          <w:rFonts w:eastAsiaTheme="minorEastAsia"/>
          <w:sz w:val="24"/>
          <w:lang w:eastAsia="de-DE"/>
        </w:rPr>
        <w:t>直接</w:t>
      </w:r>
      <w:r w:rsidRPr="00226587">
        <w:rPr>
          <w:rFonts w:eastAsiaTheme="minorEastAsia"/>
          <w:sz w:val="24"/>
        </w:rPr>
        <w:t>驱动因素</w:t>
      </w:r>
      <w:r w:rsidRPr="00226587">
        <w:rPr>
          <w:rFonts w:eastAsiaTheme="minorEastAsia"/>
          <w:sz w:val="24"/>
          <w:lang w:val="de-DE" w:eastAsia="de-DE"/>
        </w:rPr>
        <w:t>，</w:t>
      </w:r>
      <w:r w:rsidRPr="00226587">
        <w:rPr>
          <w:rFonts w:eastAsiaTheme="minorEastAsia"/>
          <w:sz w:val="24"/>
          <w:lang w:eastAsia="de-DE"/>
        </w:rPr>
        <w:t>并且</w:t>
      </w:r>
      <w:r w:rsidRPr="00226587">
        <w:rPr>
          <w:rFonts w:eastAsiaTheme="minorEastAsia"/>
          <w:sz w:val="24"/>
        </w:rPr>
        <w:t>更加集中</w:t>
      </w:r>
      <w:r w:rsidRPr="00226587">
        <w:rPr>
          <w:rFonts w:eastAsiaTheme="minorEastAsia"/>
          <w:sz w:val="24"/>
          <w:lang w:eastAsia="de-DE"/>
        </w:rPr>
        <w:t>关注与</w:t>
      </w:r>
      <w:r w:rsidRPr="00226587">
        <w:rPr>
          <w:rStyle w:val="ng-binding"/>
          <w:rFonts w:eastAsiaTheme="minorEastAsia"/>
          <w:sz w:val="24"/>
        </w:rPr>
        <w:t>单作物制</w:t>
      </w:r>
      <w:r w:rsidR="00FA727E">
        <w:rPr>
          <w:rFonts w:eastAsiaTheme="minorEastAsia" w:hint="eastAsia"/>
          <w:sz w:val="24"/>
        </w:rPr>
        <w:t>以及</w:t>
      </w:r>
      <w:r w:rsidRPr="00226587">
        <w:rPr>
          <w:rFonts w:eastAsiaTheme="minorEastAsia"/>
          <w:sz w:val="24"/>
          <w:lang w:eastAsia="de-DE"/>
        </w:rPr>
        <w:t>使用</w:t>
      </w:r>
      <w:r w:rsidRPr="00226587">
        <w:rPr>
          <w:rFonts w:eastAsiaTheme="minorEastAsia"/>
          <w:sz w:val="24"/>
        </w:rPr>
        <w:t>农药</w:t>
      </w:r>
      <w:r w:rsidRPr="00226587">
        <w:rPr>
          <w:rFonts w:eastAsiaTheme="minorEastAsia"/>
          <w:sz w:val="24"/>
          <w:lang w:eastAsia="de-DE"/>
        </w:rPr>
        <w:t>等</w:t>
      </w:r>
      <w:r w:rsidRPr="00226587">
        <w:rPr>
          <w:rFonts w:eastAsiaTheme="minorEastAsia"/>
          <w:sz w:val="24"/>
        </w:rPr>
        <w:t>密集型农作</w:t>
      </w:r>
      <w:r w:rsidRPr="00226587">
        <w:rPr>
          <w:rFonts w:eastAsiaTheme="minorEastAsia"/>
          <w:sz w:val="24"/>
          <w:lang w:eastAsia="de-DE"/>
        </w:rPr>
        <w:t>有关的</w:t>
      </w:r>
      <w:r w:rsidRPr="00226587">
        <w:rPr>
          <w:rFonts w:eastAsiaTheme="minorEastAsia"/>
          <w:sz w:val="24"/>
        </w:rPr>
        <w:t>驱动因素</w:t>
      </w:r>
      <w:r w:rsidRPr="00226587">
        <w:rPr>
          <w:rFonts w:eastAsiaTheme="minorEastAsia"/>
          <w:sz w:val="24"/>
          <w:lang w:val="de-DE" w:eastAsia="de-DE"/>
        </w:rPr>
        <w:t>，</w:t>
      </w:r>
      <w:r w:rsidRPr="00226587">
        <w:rPr>
          <w:rFonts w:eastAsiaTheme="minorEastAsia"/>
          <w:sz w:val="24"/>
          <w:lang w:val="de-DE"/>
        </w:rPr>
        <w:t>有更多证据表明农药对蜜蜂造成致命和亚致死后果，</w:t>
      </w:r>
      <w:r w:rsidRPr="00226587">
        <w:rPr>
          <w:rFonts w:eastAsiaTheme="minorEastAsia"/>
          <w:sz w:val="24"/>
        </w:rPr>
        <w:t>并且了解到各种不同的驱动因素合在一起可</w:t>
      </w:r>
      <w:r w:rsidRPr="00226587">
        <w:rPr>
          <w:rFonts w:eastAsiaTheme="minorEastAsia"/>
          <w:sz w:val="24"/>
          <w:lang w:eastAsia="de-DE"/>
        </w:rPr>
        <w:t>增加</w:t>
      </w:r>
      <w:r w:rsidRPr="00226587">
        <w:rPr>
          <w:rFonts w:eastAsiaTheme="minorEastAsia"/>
          <w:sz w:val="24"/>
        </w:rPr>
        <w:t>授</w:t>
      </w:r>
      <w:r w:rsidRPr="00226587">
        <w:rPr>
          <w:rFonts w:eastAsiaTheme="minorEastAsia"/>
          <w:sz w:val="24"/>
          <w:lang w:eastAsia="de-DE"/>
        </w:rPr>
        <w:t>粉媒介的整体压力</w:t>
      </w:r>
      <w:r w:rsidRPr="00226587">
        <w:rPr>
          <w:rFonts w:eastAsiaTheme="minorEastAsia"/>
          <w:sz w:val="24"/>
          <w:lang w:val="de-DE"/>
        </w:rPr>
        <w:t>。</w:t>
      </w:r>
    </w:p>
    <w:p w:rsidR="00495DEF" w:rsidRPr="0093150D" w:rsidRDefault="00495DEF" w:rsidP="00495DEF">
      <w:pPr>
        <w:pStyle w:val="Para1"/>
        <w:numPr>
          <w:ilvl w:val="0"/>
          <w:numId w:val="33"/>
        </w:numPr>
        <w:tabs>
          <w:tab w:val="left" w:pos="720"/>
        </w:tabs>
        <w:spacing w:before="120"/>
        <w:ind w:left="0" w:firstLine="0"/>
        <w:rPr>
          <w:rFonts w:eastAsiaTheme="minorEastAsia"/>
          <w:sz w:val="24"/>
          <w:lang w:val="de-DE" w:eastAsia="de-DE"/>
        </w:rPr>
      </w:pPr>
      <w:r w:rsidRPr="00226587">
        <w:rPr>
          <w:rFonts w:eastAsiaTheme="minorEastAsia"/>
          <w:sz w:val="24"/>
        </w:rPr>
        <w:t>更广义而言</w:t>
      </w:r>
      <w:r w:rsidRPr="0093150D">
        <w:rPr>
          <w:rFonts w:eastAsiaTheme="minorEastAsia"/>
          <w:sz w:val="24"/>
          <w:lang w:val="de-DE" w:eastAsia="de-DE"/>
        </w:rPr>
        <w:t>，</w:t>
      </w:r>
      <w:r w:rsidRPr="00226587">
        <w:rPr>
          <w:rFonts w:eastAsiaTheme="minorEastAsia"/>
          <w:sz w:val="24"/>
        </w:rPr>
        <w:t>授粉</w:t>
      </w:r>
      <w:r w:rsidRPr="00226587">
        <w:rPr>
          <w:rFonts w:eastAsiaTheme="minorEastAsia"/>
          <w:sz w:val="24"/>
          <w:lang w:eastAsia="de-DE"/>
        </w:rPr>
        <w:t>媒介可</w:t>
      </w:r>
      <w:r w:rsidRPr="00226587">
        <w:rPr>
          <w:rFonts w:eastAsiaTheme="minorEastAsia"/>
          <w:sz w:val="24"/>
        </w:rPr>
        <w:t>被视为</w:t>
      </w:r>
      <w:r w:rsidRPr="00226587">
        <w:rPr>
          <w:rFonts w:eastAsiaTheme="minorEastAsia"/>
          <w:sz w:val="24"/>
          <w:lang w:eastAsia="de-DE"/>
        </w:rPr>
        <w:t>农业</w:t>
      </w:r>
      <w:r w:rsidRPr="00226587">
        <w:rPr>
          <w:rFonts w:eastAsiaTheme="minorEastAsia"/>
          <w:sz w:val="24"/>
        </w:rPr>
        <w:t>、</w:t>
      </w:r>
      <w:r w:rsidRPr="00226587">
        <w:rPr>
          <w:rFonts w:eastAsiaTheme="minorEastAsia"/>
          <w:sz w:val="24"/>
          <w:lang w:eastAsia="de-DE"/>
        </w:rPr>
        <w:t>林业</w:t>
      </w:r>
      <w:r w:rsidRPr="00226587">
        <w:rPr>
          <w:rFonts w:eastAsiaTheme="minorEastAsia"/>
          <w:sz w:val="24"/>
        </w:rPr>
        <w:t>、</w:t>
      </w:r>
      <w:r w:rsidRPr="00226587">
        <w:rPr>
          <w:rFonts w:eastAsiaTheme="minorEastAsia"/>
          <w:sz w:val="24"/>
          <w:lang w:eastAsia="de-DE"/>
        </w:rPr>
        <w:t>生物多样性</w:t>
      </w:r>
      <w:r w:rsidRPr="00226587">
        <w:rPr>
          <w:rFonts w:eastAsiaTheme="minorEastAsia"/>
          <w:sz w:val="24"/>
        </w:rPr>
        <w:t>、健康、粮食</w:t>
      </w:r>
      <w:r w:rsidRPr="00226587">
        <w:rPr>
          <w:rFonts w:eastAsiaTheme="minorEastAsia"/>
          <w:sz w:val="24"/>
          <w:lang w:eastAsia="de-DE"/>
        </w:rPr>
        <w:t>安全</w:t>
      </w:r>
      <w:r w:rsidRPr="00226587">
        <w:rPr>
          <w:rFonts w:eastAsiaTheme="minorEastAsia"/>
          <w:sz w:val="24"/>
        </w:rPr>
        <w:t>、食物</w:t>
      </w:r>
      <w:r w:rsidRPr="00226587">
        <w:rPr>
          <w:rFonts w:eastAsiaTheme="minorEastAsia"/>
          <w:sz w:val="24"/>
          <w:lang w:eastAsia="de-DE"/>
        </w:rPr>
        <w:t>安全和营养的重要纽带。授粉</w:t>
      </w:r>
      <w:r w:rsidRPr="00226587">
        <w:rPr>
          <w:rFonts w:eastAsiaTheme="minorEastAsia"/>
          <w:sz w:val="24"/>
        </w:rPr>
        <w:t>媒介</w:t>
      </w:r>
      <w:r w:rsidRPr="00226587">
        <w:rPr>
          <w:rFonts w:eastAsiaTheme="minorEastAsia"/>
          <w:sz w:val="24"/>
          <w:lang w:eastAsia="de-DE"/>
        </w:rPr>
        <w:t>友好型措施</w:t>
      </w:r>
      <w:r w:rsidRPr="00226587">
        <w:rPr>
          <w:rFonts w:eastAsiaTheme="minorEastAsia"/>
          <w:sz w:val="24"/>
        </w:rPr>
        <w:t>具有</w:t>
      </w:r>
      <w:r w:rsidRPr="00226587">
        <w:rPr>
          <w:rFonts w:eastAsiaTheme="minorEastAsia"/>
          <w:sz w:val="24"/>
          <w:lang w:eastAsia="de-DE"/>
        </w:rPr>
        <w:t>提高生产力和可持续性</w:t>
      </w:r>
      <w:r w:rsidRPr="00226587">
        <w:rPr>
          <w:rFonts w:eastAsiaTheme="minorEastAsia"/>
          <w:sz w:val="24"/>
        </w:rPr>
        <w:t>的潜力</w:t>
      </w:r>
      <w:r w:rsidRPr="0093150D">
        <w:rPr>
          <w:rFonts w:eastAsiaTheme="minorEastAsia"/>
          <w:sz w:val="24"/>
          <w:lang w:val="de-DE" w:eastAsia="de-DE"/>
        </w:rPr>
        <w:t>，</w:t>
      </w:r>
      <w:r w:rsidRPr="00226587">
        <w:rPr>
          <w:rFonts w:eastAsiaTheme="minorEastAsia"/>
          <w:sz w:val="24"/>
          <w:lang w:eastAsia="de-DE"/>
        </w:rPr>
        <w:t>并有助于</w:t>
      </w:r>
      <w:r w:rsidRPr="00226587">
        <w:rPr>
          <w:rFonts w:eastAsiaTheme="minorEastAsia"/>
          <w:sz w:val="24"/>
        </w:rPr>
        <w:t>粮食</w:t>
      </w:r>
      <w:r w:rsidRPr="00226587">
        <w:rPr>
          <w:rFonts w:eastAsiaTheme="minorEastAsia"/>
          <w:sz w:val="24"/>
          <w:lang w:eastAsia="de-DE"/>
        </w:rPr>
        <w:t>生产系统的长期生存和盈利。</w:t>
      </w:r>
      <w:r w:rsidRPr="00226587">
        <w:rPr>
          <w:rFonts w:eastAsiaTheme="minorEastAsia"/>
          <w:sz w:val="24"/>
        </w:rPr>
        <w:t>更广泛地采用这些措施可</w:t>
      </w:r>
      <w:r w:rsidRPr="00226587">
        <w:rPr>
          <w:rFonts w:eastAsiaTheme="minorEastAsia"/>
          <w:sz w:val="24"/>
          <w:lang w:eastAsia="de-DE"/>
        </w:rPr>
        <w:t>促进农业部门之间的可持续</w:t>
      </w:r>
      <w:r w:rsidRPr="00226587">
        <w:rPr>
          <w:rFonts w:eastAsiaTheme="minorEastAsia"/>
          <w:sz w:val="24"/>
        </w:rPr>
        <w:t>做法</w:t>
      </w:r>
      <w:r w:rsidRPr="00226587">
        <w:rPr>
          <w:rFonts w:eastAsiaTheme="minorEastAsia"/>
          <w:sz w:val="24"/>
          <w:lang w:val="de-DE"/>
        </w:rPr>
        <w:t>，使其成为</w:t>
      </w:r>
      <w:r w:rsidRPr="00226587">
        <w:rPr>
          <w:rFonts w:eastAsiaTheme="minorEastAsia"/>
          <w:sz w:val="24"/>
        </w:rPr>
        <w:t>转型媒介</w:t>
      </w:r>
      <w:r w:rsidRPr="00226587">
        <w:rPr>
          <w:rFonts w:eastAsiaTheme="minorEastAsia"/>
          <w:sz w:val="24"/>
          <w:lang w:val="de-DE"/>
        </w:rPr>
        <w:t>。</w:t>
      </w:r>
    </w:p>
    <w:p w:rsidR="00495DEF" w:rsidRPr="00226587" w:rsidRDefault="00495DEF" w:rsidP="00495DEF">
      <w:pPr>
        <w:pStyle w:val="Para1"/>
        <w:numPr>
          <w:ilvl w:val="0"/>
          <w:numId w:val="33"/>
        </w:numPr>
        <w:tabs>
          <w:tab w:val="left" w:pos="720"/>
        </w:tabs>
        <w:spacing w:before="120"/>
        <w:ind w:left="0" w:firstLine="0"/>
        <w:rPr>
          <w:rFonts w:eastAsiaTheme="minorEastAsia"/>
          <w:sz w:val="24"/>
        </w:rPr>
      </w:pPr>
      <w:r w:rsidRPr="00226587">
        <w:rPr>
          <w:rFonts w:eastAsiaTheme="minorEastAsia"/>
          <w:sz w:val="24"/>
        </w:rPr>
        <w:t>国际授粉媒介倡议第一阶段</w:t>
      </w:r>
      <w:r w:rsidRPr="0093150D">
        <w:rPr>
          <w:rFonts w:eastAsiaTheme="minorEastAsia"/>
          <w:sz w:val="24"/>
          <w:lang w:val="de-DE"/>
        </w:rPr>
        <w:t>（</w:t>
      </w:r>
      <w:r w:rsidRPr="0093150D">
        <w:rPr>
          <w:rFonts w:eastAsiaTheme="minorEastAsia"/>
          <w:sz w:val="24"/>
          <w:lang w:val="de-DE"/>
        </w:rPr>
        <w:t>2000-2017</w:t>
      </w:r>
      <w:r w:rsidRPr="00226587">
        <w:rPr>
          <w:rFonts w:eastAsiaTheme="minorEastAsia"/>
          <w:sz w:val="24"/>
        </w:rPr>
        <w:t>年</w:t>
      </w:r>
      <w:r w:rsidRPr="0093150D">
        <w:rPr>
          <w:rFonts w:eastAsiaTheme="minorEastAsia"/>
          <w:sz w:val="24"/>
          <w:lang w:val="de-DE"/>
        </w:rPr>
        <w:t>）</w:t>
      </w:r>
      <w:r w:rsidRPr="00226587">
        <w:rPr>
          <w:rFonts w:eastAsiaTheme="minorEastAsia"/>
          <w:sz w:val="24"/>
        </w:rPr>
        <w:t>帮助查明了导致授粉媒介减少的主要威胁和根源</w:t>
      </w:r>
      <w:r w:rsidRPr="0093150D">
        <w:rPr>
          <w:rFonts w:eastAsiaTheme="minorEastAsia"/>
          <w:sz w:val="24"/>
          <w:lang w:val="de-DE"/>
        </w:rPr>
        <w:t>，</w:t>
      </w:r>
      <w:r w:rsidRPr="00226587">
        <w:rPr>
          <w:rFonts w:eastAsiaTheme="minorEastAsia"/>
          <w:sz w:val="24"/>
        </w:rPr>
        <w:t>以及授粉服务和授粉减少对粮食生产的影响。此外，有关授粉媒介的分类学信息及其在各国和不同作物中体现的经济价值评估，不仅是加强研究和监测的重要步骤，也是促进保护、恢复和可持续利用授粉媒介的重要步骤。开发了一些相关工具，并进行了许多研究，包括政府间科学政策平台评估和补充研究。</w:t>
      </w:r>
    </w:p>
    <w:p w:rsidR="00495DEF" w:rsidRPr="00226587" w:rsidRDefault="00495DEF" w:rsidP="00495DEF">
      <w:pPr>
        <w:pStyle w:val="Para1"/>
        <w:numPr>
          <w:ilvl w:val="0"/>
          <w:numId w:val="33"/>
        </w:numPr>
        <w:tabs>
          <w:tab w:val="left" w:pos="720"/>
        </w:tabs>
        <w:spacing w:before="120"/>
        <w:ind w:left="0" w:firstLine="0"/>
        <w:rPr>
          <w:rFonts w:eastAsiaTheme="minorEastAsia"/>
          <w:sz w:val="24"/>
        </w:rPr>
      </w:pPr>
      <w:r w:rsidRPr="00226587">
        <w:rPr>
          <w:rFonts w:eastAsiaTheme="minorEastAsia"/>
          <w:sz w:val="24"/>
        </w:rPr>
        <w:t>现在人们已充分认识到授粉媒介在粮食生产中的重要作用，以及它们在农业景观和相关生态系统中保持多样性和丰富性的重大意义。更新的《行动计划》以第一阶段为基础，并考虑到第</w:t>
      </w:r>
      <w:r w:rsidRPr="00226587">
        <w:rPr>
          <w:rFonts w:eastAsiaTheme="minorEastAsia"/>
          <w:sz w:val="24"/>
        </w:rPr>
        <w:t>XIII/15</w:t>
      </w:r>
      <w:r w:rsidRPr="00226587">
        <w:rPr>
          <w:rFonts w:eastAsiaTheme="minorEastAsia"/>
          <w:sz w:val="24"/>
        </w:rPr>
        <w:t>号决定，强调将授粉问题纳入政策的主流，在实地制定和实施支持保护和可持续利用授粉媒介的措施，处理风险，在多个层面进行能力建设和共享知识，将授粉问题纳入农业、土地利用和其他管理决策，并将合作研究的重点放在新出现的问题和普遍需求上。</w:t>
      </w:r>
    </w:p>
    <w:p w:rsidR="00495DEF" w:rsidRPr="005578FA" w:rsidRDefault="00495DEF" w:rsidP="00495DEF">
      <w:pPr>
        <w:widowControl w:val="0"/>
        <w:suppressAutoHyphens/>
        <w:snapToGrid w:val="0"/>
        <w:spacing w:before="120" w:after="120"/>
        <w:jc w:val="center"/>
        <w:rPr>
          <w:rFonts w:ascii="SimSun" w:hAnsi="SimSun"/>
          <w:b/>
          <w:snapToGrid w:val="0"/>
          <w:sz w:val="24"/>
        </w:rPr>
      </w:pPr>
      <w:r w:rsidRPr="005578FA">
        <w:rPr>
          <w:rFonts w:ascii="SimSun" w:hAnsi="SimSun" w:hint="eastAsia"/>
          <w:b/>
          <w:snapToGrid w:val="0"/>
          <w:sz w:val="24"/>
        </w:rPr>
        <w:t>三</w:t>
      </w:r>
      <w:r w:rsidRPr="005578FA">
        <w:rPr>
          <w:rFonts w:ascii="SimSun" w:hAnsi="SimSun"/>
          <w:b/>
          <w:snapToGrid w:val="0"/>
          <w:sz w:val="24"/>
        </w:rPr>
        <w:t>.</w:t>
      </w:r>
      <w:r w:rsidRPr="005578FA">
        <w:rPr>
          <w:rFonts w:ascii="SimSun" w:hAnsi="SimSun"/>
          <w:b/>
          <w:snapToGrid w:val="0"/>
          <w:sz w:val="24"/>
        </w:rPr>
        <w:tab/>
      </w:r>
      <w:r>
        <w:rPr>
          <w:rFonts w:ascii="SimSun" w:hAnsi="SimSun"/>
          <w:b/>
          <w:snapToGrid w:val="0"/>
          <w:sz w:val="24"/>
        </w:rPr>
        <w:t xml:space="preserve"> </w:t>
      </w:r>
      <w:r w:rsidRPr="005578FA">
        <w:rPr>
          <w:rFonts w:ascii="SimSun" w:hAnsi="SimSun" w:hint="eastAsia"/>
          <w:b/>
          <w:snapToGrid w:val="0"/>
          <w:sz w:val="24"/>
        </w:rPr>
        <w:t>构成部分</w:t>
      </w:r>
    </w:p>
    <w:p w:rsidR="00495DEF" w:rsidRPr="00413272" w:rsidRDefault="00495DEF" w:rsidP="00495DEF">
      <w:pPr>
        <w:widowControl w:val="0"/>
        <w:suppressAutoHyphens/>
        <w:snapToGrid w:val="0"/>
        <w:spacing w:before="120" w:after="120"/>
        <w:jc w:val="center"/>
        <w:rPr>
          <w:rFonts w:ascii="SimSun" w:hAnsi="SimSun"/>
          <w:b/>
          <w:snapToGrid w:val="0"/>
          <w:sz w:val="24"/>
        </w:rPr>
      </w:pPr>
      <w:r w:rsidRPr="00413272">
        <w:rPr>
          <w:rFonts w:ascii="SimSun" w:hAnsi="SimSun" w:hint="eastAsia"/>
          <w:b/>
          <w:snapToGrid w:val="0"/>
          <w:sz w:val="24"/>
        </w:rPr>
        <w:t>构成部分</w:t>
      </w:r>
      <w:r w:rsidRPr="00413272">
        <w:rPr>
          <w:rFonts w:ascii="SimSun" w:hAnsi="SimSun"/>
          <w:b/>
          <w:snapToGrid w:val="0"/>
          <w:sz w:val="24"/>
        </w:rPr>
        <w:t xml:space="preserve">1: </w:t>
      </w:r>
      <w:r w:rsidRPr="00413272">
        <w:rPr>
          <w:rFonts w:ascii="SimSun" w:hAnsi="SimSun" w:hint="eastAsia"/>
          <w:b/>
          <w:snapToGrid w:val="0"/>
          <w:sz w:val="24"/>
        </w:rPr>
        <w:t>扶持政策和战略</w:t>
      </w:r>
    </w:p>
    <w:p w:rsidR="00495DEF" w:rsidRPr="002226DA" w:rsidRDefault="00495DEF" w:rsidP="00495DEF">
      <w:pPr>
        <w:widowControl w:val="0"/>
        <w:suppressAutoHyphens/>
        <w:snapToGrid w:val="0"/>
        <w:spacing w:before="120" w:after="120"/>
        <w:rPr>
          <w:rFonts w:ascii="KaiTi" w:eastAsia="KaiTi" w:hAnsi="KaiTi"/>
          <w:snapToGrid w:val="0"/>
          <w:sz w:val="24"/>
        </w:rPr>
      </w:pPr>
      <w:r w:rsidRPr="002226DA">
        <w:rPr>
          <w:rFonts w:ascii="KaiTi" w:eastAsia="KaiTi" w:hAnsi="KaiTi" w:hint="eastAsia"/>
          <w:snapToGrid w:val="0"/>
          <w:sz w:val="24"/>
        </w:rPr>
        <w:t>业务目标</w:t>
      </w:r>
    </w:p>
    <w:p w:rsidR="00495DEF" w:rsidRPr="00413272" w:rsidRDefault="00495DEF" w:rsidP="00495DEF">
      <w:pPr>
        <w:widowControl w:val="0"/>
        <w:suppressAutoHyphens/>
        <w:snapToGrid w:val="0"/>
        <w:spacing w:before="120" w:after="120"/>
        <w:ind w:firstLine="720"/>
        <w:rPr>
          <w:rFonts w:ascii="SimSun" w:hAnsi="SimSun"/>
          <w:snapToGrid w:val="0"/>
          <w:kern w:val="22"/>
          <w:sz w:val="24"/>
        </w:rPr>
      </w:pPr>
      <w:r w:rsidRPr="00413272">
        <w:rPr>
          <w:rFonts w:ascii="SimSun" w:hAnsi="SimSun" w:hint="eastAsia"/>
          <w:snapToGrid w:val="0"/>
          <w:kern w:val="22"/>
          <w:sz w:val="24"/>
        </w:rPr>
        <w:t>支持在地方、国家以下、国家、区域和全球各级执行保护和可持续利用授粉媒介的全面而一致的政策，推动将其纳入部门和跨部门计划、方案和战略</w:t>
      </w:r>
      <w:r w:rsidRPr="00413272">
        <w:rPr>
          <w:rFonts w:ascii="SimSun" w:hAnsi="SimSun" w:hint="eastAsia"/>
          <w:i/>
          <w:snapToGrid w:val="0"/>
          <w:sz w:val="24"/>
        </w:rPr>
        <w:t>。</w:t>
      </w:r>
    </w:p>
    <w:p w:rsidR="00495DEF" w:rsidRPr="002226DA" w:rsidRDefault="00495DEF" w:rsidP="00495DEF">
      <w:pPr>
        <w:widowControl w:val="0"/>
        <w:suppressAutoHyphens/>
        <w:snapToGrid w:val="0"/>
        <w:spacing w:before="120" w:after="120"/>
        <w:ind w:firstLine="720"/>
        <w:rPr>
          <w:rFonts w:ascii="KaiTi" w:eastAsia="KaiTi" w:hAnsi="KaiTi"/>
          <w:snapToGrid w:val="0"/>
          <w:sz w:val="24"/>
        </w:rPr>
      </w:pPr>
      <w:r w:rsidRPr="002226DA">
        <w:rPr>
          <w:rFonts w:ascii="KaiTi" w:eastAsia="KaiTi" w:hAnsi="KaiTi" w:hint="eastAsia"/>
          <w:snapToGrid w:val="0"/>
          <w:sz w:val="24"/>
        </w:rPr>
        <w:lastRenderedPageBreak/>
        <w:t>理论依据</w:t>
      </w:r>
    </w:p>
    <w:p w:rsidR="00495DEF" w:rsidRPr="00413272" w:rsidRDefault="00495DEF" w:rsidP="00495DEF">
      <w:pPr>
        <w:widowControl w:val="0"/>
        <w:suppressAutoHyphens/>
        <w:snapToGrid w:val="0"/>
        <w:spacing w:before="120" w:after="120"/>
        <w:ind w:firstLine="720"/>
        <w:rPr>
          <w:rFonts w:ascii="SimSun" w:hAnsi="SimSun"/>
          <w:snapToGrid w:val="0"/>
          <w:kern w:val="22"/>
          <w:sz w:val="24"/>
        </w:rPr>
      </w:pPr>
      <w:r w:rsidRPr="00413272">
        <w:rPr>
          <w:rFonts w:ascii="SimSun" w:hAnsi="SimSun" w:hint="eastAsia"/>
          <w:snapToGrid w:val="0"/>
          <w:kern w:val="22"/>
          <w:sz w:val="24"/>
        </w:rPr>
        <w:t>需要采取适当的国家政策，为支持农民、土地管理者、养蜂人、私营部门和民间社会的活动提供有效的扶持环境。授粉问题往往是一个交叉问题，应制定政策，不仅将授粉媒介和授粉问题纳入可持续农业转型的范畴，而且也纳入各个部门（</w:t>
      </w:r>
      <w:r>
        <w:rPr>
          <w:rFonts w:ascii="SimSun" w:hAnsi="SimSun" w:hint="eastAsia"/>
          <w:snapToGrid w:val="0"/>
          <w:kern w:val="22"/>
          <w:sz w:val="24"/>
        </w:rPr>
        <w:t>例如，</w:t>
      </w:r>
      <w:r w:rsidRPr="00413272">
        <w:rPr>
          <w:rFonts w:ascii="SimSun" w:hAnsi="SimSun" w:hint="eastAsia"/>
          <w:snapToGrid w:val="0"/>
          <w:kern w:val="22"/>
          <w:sz w:val="24"/>
        </w:rPr>
        <w:t>林业和卫生）。</w:t>
      </w:r>
    </w:p>
    <w:p w:rsidR="00495DEF" w:rsidRPr="002226DA" w:rsidRDefault="00495DEF" w:rsidP="00495DEF">
      <w:pPr>
        <w:widowControl w:val="0"/>
        <w:suppressAutoHyphens/>
        <w:snapToGrid w:val="0"/>
        <w:spacing w:before="120" w:after="120"/>
        <w:rPr>
          <w:rFonts w:ascii="KaiTi" w:eastAsia="KaiTi" w:hAnsi="KaiTi"/>
          <w:snapToGrid w:val="0"/>
          <w:sz w:val="24"/>
        </w:rPr>
      </w:pPr>
      <w:r w:rsidRPr="002226DA">
        <w:rPr>
          <w:rFonts w:ascii="KaiTi" w:eastAsia="KaiTi" w:hAnsi="KaiTi" w:hint="eastAsia"/>
          <w:snapToGrid w:val="0"/>
          <w:sz w:val="24"/>
        </w:rPr>
        <w:t>活动</w:t>
      </w:r>
    </w:p>
    <w:p w:rsidR="00495DEF" w:rsidRPr="0043772A" w:rsidRDefault="00495DEF" w:rsidP="00495DEF">
      <w:pPr>
        <w:widowControl w:val="0"/>
        <w:suppressAutoHyphens/>
        <w:snapToGrid w:val="0"/>
        <w:spacing w:before="120" w:after="120"/>
        <w:rPr>
          <w:rFonts w:eastAsiaTheme="minorEastAsia"/>
          <w:snapToGrid w:val="0"/>
          <w:kern w:val="22"/>
          <w:sz w:val="24"/>
        </w:rPr>
      </w:pPr>
      <w:r w:rsidRPr="0043772A">
        <w:rPr>
          <w:rFonts w:eastAsiaTheme="minorEastAsia"/>
          <w:b/>
          <w:snapToGrid w:val="0"/>
          <w:kern w:val="22"/>
          <w:sz w:val="24"/>
        </w:rPr>
        <w:t>A1.1</w:t>
      </w:r>
      <w:r w:rsidRPr="0043772A">
        <w:rPr>
          <w:rFonts w:eastAsiaTheme="minorEastAsia"/>
          <w:b/>
          <w:snapToGrid w:val="0"/>
          <w:kern w:val="22"/>
          <w:sz w:val="24"/>
        </w:rPr>
        <w:t>制定和实施协调一致的综合政策，以扶持和促进保护和拓展野生和受管理的传粉媒介的活动，并将这些政策纳入更广泛的可持续发展政策议程</w:t>
      </w:r>
    </w:p>
    <w:p w:rsidR="00495DEF" w:rsidRPr="0043772A" w:rsidRDefault="00495DEF" w:rsidP="00495DEF">
      <w:pPr>
        <w:widowControl w:val="0"/>
        <w:suppressAutoHyphens/>
        <w:snapToGrid w:val="0"/>
        <w:spacing w:before="120" w:after="120"/>
        <w:rPr>
          <w:rFonts w:eastAsiaTheme="minorEastAsia"/>
          <w:snapToGrid w:val="0"/>
          <w:kern w:val="22"/>
          <w:sz w:val="24"/>
        </w:rPr>
      </w:pPr>
      <w:r w:rsidRPr="0043772A">
        <w:rPr>
          <w:rFonts w:eastAsiaTheme="minorEastAsia"/>
          <w:b/>
          <w:snapToGrid w:val="0"/>
          <w:kern w:val="22"/>
          <w:sz w:val="24"/>
        </w:rPr>
        <w:t>A.1.1.1</w:t>
      </w:r>
      <w:r w:rsidRPr="0043772A">
        <w:rPr>
          <w:rFonts w:eastAsiaTheme="minorEastAsia"/>
          <w:snapToGrid w:val="0"/>
          <w:kern w:val="22"/>
          <w:sz w:val="24"/>
        </w:rPr>
        <w:t>促进在跨部门和跨领域问题（如生物多样性、粮食安全、化学品和污染、减贫、气候变化、减少灾害风险和防治荒漠化）上采取协调一致的政策；</w:t>
      </w:r>
    </w:p>
    <w:p w:rsidR="00495DEF" w:rsidRPr="0043772A" w:rsidRDefault="00495DEF" w:rsidP="00495DEF">
      <w:pPr>
        <w:widowControl w:val="0"/>
        <w:suppressAutoHyphens/>
        <w:snapToGrid w:val="0"/>
        <w:spacing w:before="120" w:after="120"/>
        <w:rPr>
          <w:rFonts w:eastAsiaTheme="minorEastAsia"/>
          <w:sz w:val="24"/>
        </w:rPr>
      </w:pPr>
      <w:r w:rsidRPr="0043772A">
        <w:rPr>
          <w:rFonts w:eastAsiaTheme="minorEastAsia"/>
          <w:b/>
          <w:snapToGrid w:val="0"/>
          <w:kern w:val="22"/>
          <w:sz w:val="24"/>
        </w:rPr>
        <w:t>A.1.1.2</w:t>
      </w:r>
      <w:r w:rsidRPr="0043772A">
        <w:rPr>
          <w:rFonts w:eastAsiaTheme="minorEastAsia"/>
          <w:snapToGrid w:val="0"/>
          <w:kern w:val="22"/>
          <w:sz w:val="24"/>
        </w:rPr>
        <w:t>处理授粉媒介与人类健康</w:t>
      </w:r>
      <w:r w:rsidRPr="0043772A">
        <w:rPr>
          <w:rFonts w:eastAsiaTheme="minorEastAsia"/>
          <w:sz w:val="24"/>
        </w:rPr>
        <w:t>、营养饮食和接触农药之间的联系；</w:t>
      </w:r>
    </w:p>
    <w:p w:rsidR="00495DEF" w:rsidRPr="0043772A" w:rsidRDefault="00495DEF" w:rsidP="00495DEF">
      <w:pPr>
        <w:widowControl w:val="0"/>
        <w:suppressAutoHyphens/>
        <w:snapToGrid w:val="0"/>
        <w:spacing w:before="120" w:after="120"/>
        <w:rPr>
          <w:rFonts w:eastAsiaTheme="minorEastAsia"/>
          <w:sz w:val="24"/>
        </w:rPr>
      </w:pPr>
      <w:r w:rsidRPr="0043772A">
        <w:rPr>
          <w:rFonts w:eastAsiaTheme="minorEastAsia"/>
          <w:b/>
          <w:snapToGrid w:val="0"/>
          <w:kern w:val="22"/>
          <w:sz w:val="24"/>
        </w:rPr>
        <w:t>A.1.1.3</w:t>
      </w:r>
      <w:r w:rsidRPr="0043772A">
        <w:rPr>
          <w:rFonts w:eastAsiaTheme="minorEastAsia"/>
          <w:snapToGrid w:val="0"/>
          <w:kern w:val="22"/>
          <w:sz w:val="24"/>
        </w:rPr>
        <w:t>处理粮食生产之外授粉媒介与提供生态系统功能和服务之间的联系；</w:t>
      </w:r>
    </w:p>
    <w:p w:rsidR="00495DEF" w:rsidRPr="0043772A" w:rsidRDefault="00495DEF" w:rsidP="00495DEF">
      <w:pPr>
        <w:widowControl w:val="0"/>
        <w:suppressAutoHyphens/>
        <w:snapToGrid w:val="0"/>
        <w:spacing w:before="120" w:after="120"/>
        <w:rPr>
          <w:rFonts w:eastAsiaTheme="minorEastAsia"/>
          <w:snapToGrid w:val="0"/>
          <w:kern w:val="22"/>
          <w:sz w:val="24"/>
        </w:rPr>
      </w:pPr>
      <w:r w:rsidRPr="0043772A">
        <w:rPr>
          <w:rFonts w:eastAsiaTheme="minorEastAsia"/>
          <w:b/>
          <w:snapToGrid w:val="0"/>
          <w:kern w:val="22"/>
          <w:sz w:val="24"/>
        </w:rPr>
        <w:t>A.1.1.4</w:t>
      </w:r>
      <w:r w:rsidRPr="0043772A">
        <w:rPr>
          <w:rFonts w:eastAsiaTheme="minorEastAsia"/>
          <w:snapToGrid w:val="0"/>
          <w:kern w:val="22"/>
          <w:sz w:val="24"/>
        </w:rPr>
        <w:t>确认授粉媒介和授粉是整体农作制度的一部分，是重要的农业投入；</w:t>
      </w:r>
    </w:p>
    <w:p w:rsidR="00495DEF" w:rsidRPr="0043772A" w:rsidRDefault="00495DEF" w:rsidP="00495DEF">
      <w:pPr>
        <w:widowControl w:val="0"/>
        <w:suppressAutoHyphens/>
        <w:snapToGrid w:val="0"/>
        <w:spacing w:before="120" w:after="120"/>
        <w:rPr>
          <w:rFonts w:eastAsiaTheme="minorEastAsia"/>
          <w:snapToGrid w:val="0"/>
          <w:kern w:val="22"/>
          <w:sz w:val="24"/>
        </w:rPr>
      </w:pPr>
      <w:r w:rsidRPr="0043772A">
        <w:rPr>
          <w:rFonts w:eastAsiaTheme="minorEastAsia"/>
          <w:b/>
          <w:snapToGrid w:val="0"/>
          <w:kern w:val="22"/>
          <w:sz w:val="24"/>
        </w:rPr>
        <w:t xml:space="preserve">A.1.1.5 </w:t>
      </w:r>
      <w:r w:rsidRPr="0043772A">
        <w:rPr>
          <w:rFonts w:eastAsiaTheme="minorEastAsia"/>
          <w:snapToGrid w:val="0"/>
          <w:kern w:val="22"/>
          <w:sz w:val="24"/>
        </w:rPr>
        <w:t>认识到授粉媒介和授粉是生态系统完整性及其维护的重要组成部分；</w:t>
      </w:r>
    </w:p>
    <w:p w:rsidR="00495DEF" w:rsidRPr="0043772A" w:rsidRDefault="00495DEF" w:rsidP="00495DEF">
      <w:pPr>
        <w:suppressAutoHyphens/>
        <w:snapToGrid w:val="0"/>
        <w:spacing w:before="120" w:after="120"/>
        <w:rPr>
          <w:rFonts w:eastAsiaTheme="minorEastAsia"/>
          <w:snapToGrid w:val="0"/>
          <w:kern w:val="22"/>
          <w:sz w:val="24"/>
        </w:rPr>
      </w:pPr>
      <w:r w:rsidRPr="0043772A">
        <w:rPr>
          <w:rFonts w:eastAsiaTheme="minorEastAsia"/>
          <w:b/>
          <w:snapToGrid w:val="0"/>
          <w:kern w:val="22"/>
          <w:sz w:val="24"/>
        </w:rPr>
        <w:t>A.1.1.6</w:t>
      </w:r>
      <w:r w:rsidRPr="0043772A">
        <w:rPr>
          <w:rFonts w:eastAsiaTheme="minorEastAsia"/>
          <w:snapToGrid w:val="0"/>
          <w:kern w:val="22"/>
          <w:sz w:val="24"/>
        </w:rPr>
        <w:t>应用基于自然的解决方案，加强积极的相互作用（如病虫害综合管理、农耕生产多样化、生态集约化和恢复，以加强景观的连通性）；</w:t>
      </w:r>
    </w:p>
    <w:p w:rsidR="00495DEF" w:rsidRPr="0043772A" w:rsidRDefault="00495DEF" w:rsidP="00495DEF">
      <w:pPr>
        <w:suppressAutoHyphens/>
        <w:snapToGrid w:val="0"/>
        <w:spacing w:before="120" w:after="120"/>
        <w:rPr>
          <w:rFonts w:eastAsiaTheme="minorEastAsia"/>
          <w:snapToGrid w:val="0"/>
          <w:kern w:val="22"/>
          <w:sz w:val="24"/>
        </w:rPr>
      </w:pPr>
      <w:r w:rsidRPr="0043772A">
        <w:rPr>
          <w:rFonts w:eastAsiaTheme="minorEastAsia"/>
          <w:b/>
          <w:snapToGrid w:val="0"/>
          <w:kern w:val="22"/>
          <w:sz w:val="24"/>
        </w:rPr>
        <w:t>A.1.1.7</w:t>
      </w:r>
      <w:r w:rsidRPr="0043772A">
        <w:rPr>
          <w:rFonts w:eastAsiaTheme="minorEastAsia"/>
          <w:snapToGrid w:val="0"/>
          <w:kern w:val="22"/>
          <w:sz w:val="24"/>
        </w:rPr>
        <w:t>支持获取数据和使用决策辅助工具，包括土地用途规划和分区，以便在农民和当地社区的参与下，扩大景观中授粉媒介生境</w:t>
      </w:r>
      <w:r w:rsidRPr="0043772A">
        <w:rPr>
          <w:rStyle w:val="StyleFootnoteReferencenumberFootnoteReferenceSuperscript-EF1"/>
          <w:rFonts w:eastAsiaTheme="minorEastAsia"/>
          <w:sz w:val="24"/>
        </w:rPr>
        <w:footnoteReference w:id="6"/>
      </w:r>
      <w:r w:rsidRPr="0043772A">
        <w:rPr>
          <w:rFonts w:eastAsiaTheme="minorEastAsia"/>
          <w:snapToGrid w:val="0"/>
          <w:kern w:val="22"/>
          <w:sz w:val="24"/>
        </w:rPr>
        <w:t xml:space="preserve"> </w:t>
      </w:r>
      <w:r w:rsidRPr="0043772A">
        <w:rPr>
          <w:rFonts w:eastAsiaTheme="minorEastAsia"/>
          <w:snapToGrid w:val="0"/>
          <w:kern w:val="22"/>
          <w:sz w:val="24"/>
        </w:rPr>
        <w:t>的范围和连通性；</w:t>
      </w:r>
    </w:p>
    <w:p w:rsidR="00495DEF" w:rsidRPr="0043772A" w:rsidRDefault="00495DEF" w:rsidP="00495DEF">
      <w:pPr>
        <w:suppressAutoHyphens/>
        <w:snapToGrid w:val="0"/>
        <w:spacing w:before="120" w:after="120"/>
        <w:rPr>
          <w:rFonts w:eastAsiaTheme="minorEastAsia"/>
          <w:snapToGrid w:val="0"/>
          <w:kern w:val="22"/>
          <w:sz w:val="24"/>
        </w:rPr>
      </w:pPr>
      <w:r w:rsidRPr="0043772A">
        <w:rPr>
          <w:rFonts w:eastAsiaTheme="minorEastAsia"/>
          <w:b/>
          <w:snapToGrid w:val="0"/>
          <w:kern w:val="22"/>
          <w:sz w:val="24"/>
        </w:rPr>
        <w:t xml:space="preserve">A.1.1.8 </w:t>
      </w:r>
      <w:r w:rsidRPr="0043772A">
        <w:rPr>
          <w:rFonts w:eastAsiaTheme="minorEastAsia"/>
          <w:snapToGrid w:val="0"/>
          <w:kern w:val="22"/>
          <w:sz w:val="24"/>
        </w:rPr>
        <w:t>帮助将基于自然的解决方案纳入推广服务、农民之间的分享和农民研究人员网络，以支持能力开发，为授粉媒介和授粉管理最佳做法提供指导；</w:t>
      </w:r>
    </w:p>
    <w:p w:rsidR="00495DEF" w:rsidRPr="0043772A" w:rsidRDefault="00495DEF" w:rsidP="00495DEF">
      <w:pPr>
        <w:suppressAutoHyphens/>
        <w:snapToGrid w:val="0"/>
        <w:spacing w:before="120" w:after="120"/>
        <w:rPr>
          <w:rFonts w:eastAsiaTheme="minorEastAsia"/>
          <w:snapToGrid w:val="0"/>
          <w:kern w:val="22"/>
          <w:sz w:val="24"/>
        </w:rPr>
      </w:pPr>
      <w:r w:rsidRPr="0043772A">
        <w:rPr>
          <w:rFonts w:eastAsiaTheme="minorEastAsia"/>
          <w:b/>
          <w:snapToGrid w:val="0"/>
          <w:kern w:val="22"/>
          <w:sz w:val="24"/>
        </w:rPr>
        <w:t>A.1.1.9</w:t>
      </w:r>
      <w:r w:rsidRPr="0043772A">
        <w:rPr>
          <w:rFonts w:eastAsiaTheme="minorEastAsia"/>
          <w:snapToGrid w:val="0"/>
          <w:kern w:val="22"/>
          <w:sz w:val="24"/>
        </w:rPr>
        <w:t>制定和执行与国际义务协调一致的针对农民和粮食供应商的奖励措施，鼓励采取</w:t>
      </w:r>
      <w:r w:rsidRPr="0043772A">
        <w:rPr>
          <w:rFonts w:eastAsiaTheme="minorEastAsia"/>
          <w:snapToGrid w:val="0"/>
          <w:kern w:val="22"/>
          <w:sz w:val="24"/>
          <w:lang w:val="en-US"/>
        </w:rPr>
        <w:t>授粉媒介友好型</w:t>
      </w:r>
      <w:r w:rsidRPr="0043772A">
        <w:rPr>
          <w:rFonts w:eastAsiaTheme="minorEastAsia"/>
          <w:snapToGrid w:val="0"/>
          <w:kern w:val="22"/>
          <w:sz w:val="24"/>
        </w:rPr>
        <w:t>做法（例如，采取</w:t>
      </w:r>
      <w:r w:rsidRPr="0043772A">
        <w:rPr>
          <w:rStyle w:val="ng-binding"/>
          <w:rFonts w:eastAsiaTheme="minorEastAsia"/>
          <w:sz w:val="24"/>
        </w:rPr>
        <w:t>碳封存</w:t>
      </w:r>
      <w:r w:rsidRPr="0043772A">
        <w:rPr>
          <w:rFonts w:eastAsiaTheme="minorEastAsia"/>
          <w:snapToGrid w:val="0"/>
          <w:kern w:val="22"/>
          <w:sz w:val="24"/>
        </w:rPr>
        <w:t>措施扩大授粉媒介生境；保护授粉媒介觅食的未开垦地区），取消或减少对授粉媒介及其生境有害的不正当奖励措施（例如，农药补贴；奖励使用农药作为银行的信贷要求），同时考虑到农民、城市和农村养蜂人、土地管理人员、土著人民和当地社区以及其他利益相关方的需求；</w:t>
      </w:r>
    </w:p>
    <w:p w:rsidR="00495DEF" w:rsidRPr="0043772A" w:rsidRDefault="00495DEF" w:rsidP="00495DEF">
      <w:pPr>
        <w:suppressAutoHyphens/>
        <w:snapToGrid w:val="0"/>
        <w:spacing w:before="120" w:after="120"/>
        <w:rPr>
          <w:rFonts w:eastAsiaTheme="minorEastAsia"/>
          <w:b/>
          <w:snapToGrid w:val="0"/>
          <w:kern w:val="22"/>
          <w:sz w:val="24"/>
        </w:rPr>
      </w:pPr>
      <w:r w:rsidRPr="0043772A">
        <w:rPr>
          <w:rFonts w:eastAsiaTheme="minorEastAsia"/>
          <w:b/>
          <w:snapToGrid w:val="0"/>
          <w:kern w:val="22"/>
          <w:sz w:val="24"/>
        </w:rPr>
        <w:t xml:space="preserve">A.1.110 </w:t>
      </w:r>
      <w:r w:rsidRPr="0043772A">
        <w:rPr>
          <w:rFonts w:eastAsiaTheme="minorEastAsia"/>
          <w:snapToGrid w:val="0"/>
          <w:kern w:val="22"/>
          <w:sz w:val="24"/>
        </w:rPr>
        <w:t>在现有认证计划中促进承认授粉媒介友好型做法和对授粉功能和服务产生的结果</w:t>
      </w:r>
      <w:r w:rsidRPr="0043772A">
        <w:rPr>
          <w:rFonts w:eastAsiaTheme="minorEastAsia"/>
          <w:b/>
          <w:snapToGrid w:val="0"/>
          <w:kern w:val="22"/>
          <w:sz w:val="24"/>
        </w:rPr>
        <w:t>；</w:t>
      </w:r>
    </w:p>
    <w:p w:rsidR="00495DEF" w:rsidRPr="0043772A" w:rsidRDefault="00495DEF" w:rsidP="00495DEF">
      <w:pPr>
        <w:suppressAutoHyphens/>
        <w:snapToGrid w:val="0"/>
        <w:spacing w:before="120" w:after="120"/>
        <w:rPr>
          <w:rFonts w:eastAsiaTheme="minorEastAsia"/>
          <w:snapToGrid w:val="0"/>
          <w:kern w:val="22"/>
          <w:sz w:val="24"/>
        </w:rPr>
      </w:pPr>
      <w:r w:rsidRPr="0043772A">
        <w:rPr>
          <w:rFonts w:eastAsiaTheme="minorEastAsia"/>
          <w:b/>
          <w:snapToGrid w:val="0"/>
          <w:kern w:val="22"/>
          <w:sz w:val="24"/>
        </w:rPr>
        <w:t xml:space="preserve">A.1.111 </w:t>
      </w:r>
      <w:r w:rsidRPr="0043772A">
        <w:rPr>
          <w:rFonts w:eastAsiaTheme="minorEastAsia"/>
          <w:snapToGrid w:val="0"/>
          <w:kern w:val="22"/>
          <w:sz w:val="24"/>
        </w:rPr>
        <w:t>保护和养护濒危授粉媒介物种及其自然环境。</w:t>
      </w:r>
    </w:p>
    <w:p w:rsidR="00495DEF" w:rsidRPr="007E192A" w:rsidRDefault="00495DEF" w:rsidP="00495DEF">
      <w:pPr>
        <w:suppressAutoHyphens/>
        <w:snapToGrid w:val="0"/>
        <w:spacing w:before="240" w:after="120"/>
        <w:rPr>
          <w:rFonts w:eastAsiaTheme="minorEastAsia"/>
          <w:sz w:val="24"/>
          <w:vertAlign w:val="superscript"/>
          <w:lang w:eastAsia="de-DE"/>
        </w:rPr>
      </w:pPr>
      <w:r w:rsidRPr="0043772A">
        <w:rPr>
          <w:rFonts w:eastAsiaTheme="minorEastAsia"/>
          <w:b/>
          <w:snapToGrid w:val="0"/>
          <w:kern w:val="22"/>
          <w:sz w:val="24"/>
        </w:rPr>
        <w:t>A1.2</w:t>
      </w:r>
      <w:r w:rsidRPr="0043772A">
        <w:rPr>
          <w:rFonts w:eastAsiaTheme="minorEastAsia"/>
          <w:b/>
          <w:snapToGrid w:val="0"/>
          <w:kern w:val="22"/>
          <w:sz w:val="24"/>
        </w:rPr>
        <w:t>实施有效的农药监管</w:t>
      </w:r>
      <w:r w:rsidRPr="007E192A">
        <w:rPr>
          <w:rStyle w:val="FootnoteReference"/>
          <w:rFonts w:eastAsiaTheme="minorEastAsia"/>
          <w:snapToGrid w:val="0"/>
          <w:kern w:val="22"/>
          <w:sz w:val="24"/>
          <w:u w:val="none"/>
          <w:vertAlign w:val="superscript"/>
        </w:rPr>
        <w:footnoteReference w:id="7"/>
      </w:r>
    </w:p>
    <w:p w:rsidR="00495DEF" w:rsidRPr="0043772A" w:rsidRDefault="00495DEF" w:rsidP="00495DEF">
      <w:pPr>
        <w:suppressAutoHyphens/>
        <w:snapToGrid w:val="0"/>
        <w:spacing w:before="120" w:after="120"/>
        <w:rPr>
          <w:rFonts w:eastAsiaTheme="minorEastAsia"/>
          <w:sz w:val="24"/>
          <w:lang w:eastAsia="de-DE"/>
        </w:rPr>
      </w:pPr>
      <w:r w:rsidRPr="0043772A">
        <w:rPr>
          <w:rFonts w:eastAsiaTheme="minorEastAsia"/>
          <w:b/>
          <w:snapToGrid w:val="0"/>
          <w:kern w:val="22"/>
          <w:sz w:val="24"/>
        </w:rPr>
        <w:t>A.1.2.1</w:t>
      </w:r>
      <w:r w:rsidRPr="0043772A">
        <w:rPr>
          <w:rFonts w:eastAsiaTheme="minorEastAsia"/>
          <w:snapToGrid w:val="0"/>
          <w:kern w:val="22"/>
          <w:sz w:val="24"/>
        </w:rPr>
        <w:t>减少使用并逐步淘汰对授粉媒介造成危害或带来不可接受风险的现有农药，包括化妆品农药和农用化学品，避免注册那些对授粉媒介造成危害或带来不可接受风险的产品</w:t>
      </w:r>
      <w:r w:rsidRPr="0043772A">
        <w:rPr>
          <w:rFonts w:eastAsiaTheme="minorEastAsia"/>
          <w:b/>
          <w:snapToGrid w:val="0"/>
          <w:kern w:val="22"/>
          <w:sz w:val="24"/>
        </w:rPr>
        <w:t>；</w:t>
      </w:r>
    </w:p>
    <w:p w:rsidR="00495DEF" w:rsidRPr="0043772A" w:rsidRDefault="00495DEF" w:rsidP="00495DEF">
      <w:pPr>
        <w:suppressAutoHyphens/>
        <w:snapToGrid w:val="0"/>
        <w:spacing w:before="120" w:after="120"/>
        <w:rPr>
          <w:rFonts w:eastAsiaTheme="minorEastAsia"/>
          <w:sz w:val="24"/>
          <w:lang w:eastAsia="de-DE"/>
        </w:rPr>
      </w:pPr>
      <w:r w:rsidRPr="0043772A">
        <w:rPr>
          <w:rFonts w:eastAsiaTheme="minorEastAsia"/>
          <w:b/>
          <w:snapToGrid w:val="0"/>
          <w:kern w:val="22"/>
          <w:sz w:val="24"/>
        </w:rPr>
        <w:t>A.1.2.2</w:t>
      </w:r>
      <w:r w:rsidRPr="0043772A">
        <w:rPr>
          <w:rFonts w:eastAsiaTheme="minorEastAsia"/>
          <w:snapToGrid w:val="0"/>
          <w:kern w:val="22"/>
          <w:sz w:val="24"/>
        </w:rPr>
        <w:t>定期制定、加强和实施农药、杀虫剂涂层种子和改性活生物体的风险评估程序（考虑现场的实际暴露情况和长期影响），以考虑到对野生和受管理授粉媒介（包括卵、幼虫、蛹和成虫期）以及其他非目标物种的可能影响和累积效应，包括亚致死和间接效应</w:t>
      </w:r>
      <w:r w:rsidRPr="0043772A">
        <w:rPr>
          <w:rFonts w:eastAsiaTheme="minorEastAsia"/>
          <w:b/>
          <w:sz w:val="24"/>
        </w:rPr>
        <w:t>；</w:t>
      </w:r>
    </w:p>
    <w:p w:rsidR="00495DEF" w:rsidRPr="0043772A" w:rsidRDefault="00495DEF" w:rsidP="00495DEF">
      <w:pPr>
        <w:pStyle w:val="p1"/>
        <w:suppressAutoHyphens/>
        <w:snapToGrid w:val="0"/>
        <w:spacing w:before="120" w:after="120"/>
        <w:jc w:val="both"/>
        <w:rPr>
          <w:rFonts w:ascii="Times New Roman" w:eastAsiaTheme="minorEastAsia" w:hAnsi="Times New Roman"/>
          <w:color w:val="auto"/>
          <w:sz w:val="24"/>
          <w:szCs w:val="24"/>
          <w:lang w:val="en-GB" w:eastAsia="de-DE"/>
        </w:rPr>
      </w:pPr>
      <w:r w:rsidRPr="0043772A">
        <w:rPr>
          <w:rFonts w:ascii="Times New Roman" w:eastAsiaTheme="minorEastAsia" w:hAnsi="Times New Roman"/>
          <w:b/>
          <w:snapToGrid w:val="0"/>
          <w:color w:val="auto"/>
          <w:kern w:val="22"/>
          <w:sz w:val="24"/>
          <w:szCs w:val="24"/>
          <w:lang w:val="en-GB"/>
        </w:rPr>
        <w:lastRenderedPageBreak/>
        <w:t>A.1.2.3</w:t>
      </w:r>
      <w:r w:rsidRPr="0043772A">
        <w:rPr>
          <w:rFonts w:ascii="Times New Roman" w:eastAsiaTheme="minorEastAsia" w:hAnsi="Times New Roman"/>
          <w:color w:val="auto"/>
          <w:sz w:val="24"/>
          <w:szCs w:val="24"/>
          <w:lang w:val="en-GB" w:eastAsia="de-DE"/>
        </w:rPr>
        <w:t>与监管机构合作</w:t>
      </w:r>
      <w:r w:rsidRPr="0043772A">
        <w:rPr>
          <w:rFonts w:ascii="Times New Roman" w:eastAsiaTheme="minorEastAsia" w:hAnsi="Times New Roman"/>
          <w:color w:val="auto"/>
          <w:sz w:val="24"/>
          <w:szCs w:val="24"/>
          <w:lang w:val="en-GB"/>
        </w:rPr>
        <w:t>使用</w:t>
      </w:r>
      <w:r w:rsidRPr="0043772A">
        <w:rPr>
          <w:rFonts w:ascii="Times New Roman" w:eastAsiaTheme="minorEastAsia" w:hAnsi="Times New Roman"/>
          <w:color w:val="auto"/>
          <w:sz w:val="24"/>
          <w:szCs w:val="24"/>
          <w:lang w:val="en-GB" w:eastAsia="de-DE"/>
        </w:rPr>
        <w:t>诸如粮农组织农药登记工具包等工具</w:t>
      </w:r>
      <w:r w:rsidRPr="0043772A">
        <w:rPr>
          <w:rFonts w:ascii="Times New Roman" w:eastAsiaTheme="minorEastAsia" w:hAnsi="Times New Roman"/>
          <w:color w:val="auto"/>
          <w:sz w:val="24"/>
          <w:szCs w:val="24"/>
          <w:lang w:val="en-GB"/>
        </w:rPr>
        <w:t>；</w:t>
      </w:r>
    </w:p>
    <w:p w:rsidR="00495DEF" w:rsidRPr="0043772A" w:rsidRDefault="00495DEF" w:rsidP="00495DEF">
      <w:pPr>
        <w:pStyle w:val="p1"/>
        <w:suppressAutoHyphens/>
        <w:snapToGrid w:val="0"/>
        <w:spacing w:before="120" w:after="120"/>
        <w:jc w:val="both"/>
        <w:rPr>
          <w:rFonts w:ascii="Times New Roman" w:eastAsiaTheme="minorEastAsia" w:hAnsi="Times New Roman"/>
          <w:b/>
          <w:snapToGrid w:val="0"/>
          <w:color w:val="auto"/>
          <w:kern w:val="22"/>
          <w:sz w:val="24"/>
          <w:szCs w:val="24"/>
          <w:lang w:val="en-GB"/>
        </w:rPr>
      </w:pPr>
      <w:r w:rsidRPr="0043772A">
        <w:rPr>
          <w:rFonts w:ascii="Times New Roman" w:eastAsiaTheme="minorEastAsia" w:hAnsi="Times New Roman"/>
          <w:b/>
          <w:snapToGrid w:val="0"/>
          <w:color w:val="auto"/>
          <w:kern w:val="22"/>
          <w:sz w:val="24"/>
          <w:szCs w:val="24"/>
          <w:lang w:val="en-GB"/>
        </w:rPr>
        <w:t>A.1.2.4</w:t>
      </w:r>
      <w:r w:rsidRPr="0043772A">
        <w:rPr>
          <w:rFonts w:ascii="Times New Roman" w:eastAsiaTheme="minorEastAsia" w:hAnsi="Times New Roman"/>
          <w:snapToGrid w:val="0"/>
          <w:color w:val="auto"/>
          <w:kern w:val="22"/>
          <w:sz w:val="24"/>
          <w:szCs w:val="24"/>
          <w:lang w:val="en-GB"/>
        </w:rPr>
        <w:t>加强农药监管当局的能力，保护授粉媒介免受化学品的侵害；</w:t>
      </w:r>
    </w:p>
    <w:p w:rsidR="00495DEF" w:rsidRPr="0043772A" w:rsidRDefault="00495DEF" w:rsidP="00495DEF">
      <w:pPr>
        <w:pStyle w:val="p1"/>
        <w:suppressAutoHyphens/>
        <w:snapToGrid w:val="0"/>
        <w:spacing w:before="120" w:after="120"/>
        <w:jc w:val="both"/>
        <w:rPr>
          <w:rFonts w:ascii="Times New Roman" w:eastAsiaTheme="minorEastAsia" w:hAnsi="Times New Roman"/>
          <w:color w:val="auto"/>
          <w:sz w:val="24"/>
          <w:szCs w:val="24"/>
          <w:lang w:val="en-GB" w:eastAsia="de-DE"/>
        </w:rPr>
      </w:pPr>
      <w:r w:rsidRPr="0043772A">
        <w:rPr>
          <w:rFonts w:ascii="Times New Roman" w:eastAsiaTheme="minorEastAsia" w:hAnsi="Times New Roman"/>
          <w:b/>
          <w:color w:val="auto"/>
          <w:sz w:val="24"/>
          <w:szCs w:val="24"/>
          <w:lang w:val="en-GB" w:eastAsia="de-DE"/>
        </w:rPr>
        <w:t>A</w:t>
      </w:r>
      <w:r w:rsidRPr="0043772A">
        <w:rPr>
          <w:rFonts w:ascii="Times New Roman" w:eastAsiaTheme="minorEastAsia" w:hAnsi="Times New Roman"/>
          <w:b/>
          <w:snapToGrid w:val="0"/>
          <w:color w:val="auto"/>
          <w:kern w:val="22"/>
          <w:sz w:val="24"/>
          <w:szCs w:val="24"/>
          <w:lang w:val="en-GB"/>
        </w:rPr>
        <w:t>.1.2.5</w:t>
      </w:r>
      <w:r w:rsidRPr="0043772A">
        <w:rPr>
          <w:rFonts w:ascii="Times New Roman" w:eastAsiaTheme="minorEastAsia" w:hAnsi="Times New Roman"/>
          <w:color w:val="auto"/>
          <w:sz w:val="24"/>
          <w:szCs w:val="24"/>
          <w:lang w:val="en-GB" w:eastAsia="de-DE"/>
        </w:rPr>
        <w:t>根据粮农组织和世界卫生组织</w:t>
      </w:r>
      <w:r w:rsidRPr="0043772A">
        <w:rPr>
          <w:rFonts w:ascii="Times New Roman" w:eastAsiaTheme="minorEastAsia" w:hAnsi="Times New Roman"/>
          <w:color w:val="auto"/>
          <w:sz w:val="24"/>
          <w:szCs w:val="24"/>
          <w:lang w:val="en-GB"/>
        </w:rPr>
        <w:t>《</w:t>
      </w:r>
      <w:r w:rsidRPr="0043772A">
        <w:rPr>
          <w:rFonts w:ascii="Times New Roman" w:eastAsiaTheme="minorEastAsia" w:hAnsi="Times New Roman"/>
          <w:color w:val="auto"/>
          <w:sz w:val="24"/>
          <w:szCs w:val="24"/>
          <w:lang w:val="en-GB" w:eastAsia="de-DE"/>
        </w:rPr>
        <w:t>国际农药管理行为守则</w:t>
      </w:r>
      <w:r w:rsidRPr="0043772A">
        <w:rPr>
          <w:rFonts w:ascii="Times New Roman" w:eastAsiaTheme="minorEastAsia" w:hAnsi="Times New Roman"/>
          <w:color w:val="auto"/>
          <w:sz w:val="24"/>
          <w:szCs w:val="24"/>
          <w:lang w:val="en-GB"/>
        </w:rPr>
        <w:t>》</w:t>
      </w:r>
      <w:r w:rsidRPr="0043772A">
        <w:rPr>
          <w:rFonts w:ascii="Times New Roman" w:eastAsiaTheme="minorEastAsia" w:hAnsi="Times New Roman"/>
          <w:color w:val="auto"/>
          <w:sz w:val="24"/>
          <w:szCs w:val="24"/>
          <w:lang w:val="en-GB" w:eastAsia="de-DE"/>
        </w:rPr>
        <w:t>，制定和</w:t>
      </w:r>
      <w:r w:rsidRPr="0043772A">
        <w:rPr>
          <w:rFonts w:ascii="Times New Roman" w:eastAsiaTheme="minorEastAsia" w:hAnsi="Times New Roman"/>
          <w:color w:val="auto"/>
          <w:sz w:val="24"/>
          <w:szCs w:val="24"/>
          <w:lang w:val="de-DE"/>
        </w:rPr>
        <w:t>推广</w:t>
      </w:r>
      <w:r w:rsidRPr="0043772A">
        <w:rPr>
          <w:rFonts w:ascii="Times New Roman" w:eastAsiaTheme="minorEastAsia" w:hAnsi="Times New Roman"/>
          <w:color w:val="auto"/>
          <w:sz w:val="24"/>
          <w:szCs w:val="24"/>
          <w:lang w:val="en-GB" w:eastAsia="de-DE"/>
        </w:rPr>
        <w:t>关于农药使用最佳</w:t>
      </w:r>
      <w:r w:rsidRPr="0043772A">
        <w:rPr>
          <w:rFonts w:ascii="Times New Roman" w:eastAsiaTheme="minorEastAsia" w:hAnsi="Times New Roman"/>
          <w:color w:val="auto"/>
          <w:sz w:val="24"/>
          <w:szCs w:val="24"/>
          <w:lang w:val="en-GB"/>
        </w:rPr>
        <w:t>做法</w:t>
      </w:r>
      <w:r w:rsidRPr="0043772A">
        <w:rPr>
          <w:rFonts w:ascii="Times New Roman" w:eastAsiaTheme="minorEastAsia" w:hAnsi="Times New Roman"/>
          <w:color w:val="auto"/>
          <w:sz w:val="24"/>
          <w:szCs w:val="24"/>
          <w:lang w:val="en-GB" w:eastAsia="de-DE"/>
        </w:rPr>
        <w:t>（如</w:t>
      </w:r>
      <w:r w:rsidRPr="0043772A">
        <w:rPr>
          <w:rFonts w:ascii="Times New Roman" w:eastAsiaTheme="minorEastAsia" w:hAnsi="Times New Roman"/>
          <w:color w:val="auto"/>
          <w:sz w:val="24"/>
          <w:szCs w:val="24"/>
          <w:lang w:val="de-DE"/>
        </w:rPr>
        <w:t>技术方法</w:t>
      </w:r>
      <w:r w:rsidRPr="0043772A">
        <w:rPr>
          <w:rFonts w:ascii="Times New Roman" w:eastAsiaTheme="minorEastAsia" w:hAnsi="Times New Roman"/>
          <w:color w:val="auto"/>
          <w:sz w:val="24"/>
          <w:szCs w:val="24"/>
          <w:lang w:val="en-GB"/>
        </w:rPr>
        <w:t>、</w:t>
      </w:r>
      <w:r w:rsidRPr="0043772A">
        <w:rPr>
          <w:rFonts w:ascii="Times New Roman" w:eastAsiaTheme="minorEastAsia" w:hAnsi="Times New Roman"/>
          <w:color w:val="auto"/>
          <w:sz w:val="24"/>
          <w:szCs w:val="24"/>
          <w:lang w:val="en-GB" w:eastAsia="de-DE"/>
        </w:rPr>
        <w:t>技术</w:t>
      </w:r>
      <w:r w:rsidRPr="0043772A">
        <w:rPr>
          <w:rFonts w:ascii="Times New Roman" w:eastAsiaTheme="minorEastAsia" w:hAnsi="Times New Roman"/>
          <w:color w:val="auto"/>
          <w:sz w:val="24"/>
          <w:szCs w:val="24"/>
          <w:lang w:val="en-GB"/>
        </w:rPr>
        <w:t>、</w:t>
      </w:r>
      <w:r w:rsidRPr="0043772A">
        <w:rPr>
          <w:rFonts w:ascii="Times New Roman" w:eastAsiaTheme="minorEastAsia" w:hAnsi="Times New Roman"/>
          <w:color w:val="auto"/>
          <w:sz w:val="24"/>
          <w:szCs w:val="24"/>
          <w:lang w:val="en-GB" w:eastAsia="de-DE"/>
        </w:rPr>
        <w:t>时间</w:t>
      </w:r>
      <w:r w:rsidRPr="0043772A">
        <w:rPr>
          <w:rFonts w:ascii="Times New Roman" w:eastAsiaTheme="minorEastAsia" w:hAnsi="Times New Roman"/>
          <w:color w:val="auto"/>
          <w:sz w:val="24"/>
          <w:szCs w:val="24"/>
          <w:lang w:val="en-GB"/>
        </w:rPr>
        <w:t>、</w:t>
      </w:r>
      <w:r w:rsidRPr="0043772A">
        <w:rPr>
          <w:rFonts w:ascii="Times New Roman" w:eastAsiaTheme="minorEastAsia" w:hAnsi="Times New Roman"/>
          <w:color w:val="auto"/>
          <w:sz w:val="24"/>
          <w:szCs w:val="24"/>
          <w:lang w:val="en-GB" w:eastAsia="de-DE"/>
        </w:rPr>
        <w:t>非开花作物</w:t>
      </w:r>
      <w:r w:rsidRPr="0043772A">
        <w:rPr>
          <w:rFonts w:ascii="Times New Roman" w:eastAsiaTheme="minorEastAsia" w:hAnsi="Times New Roman"/>
          <w:color w:val="auto"/>
          <w:sz w:val="24"/>
          <w:szCs w:val="24"/>
          <w:lang w:val="en-GB"/>
        </w:rPr>
        <w:t>、气候</w:t>
      </w:r>
      <w:r w:rsidRPr="0043772A">
        <w:rPr>
          <w:rFonts w:ascii="Times New Roman" w:eastAsiaTheme="minorEastAsia" w:hAnsi="Times New Roman"/>
          <w:color w:val="auto"/>
          <w:sz w:val="24"/>
          <w:szCs w:val="24"/>
          <w:lang w:val="en-GB" w:eastAsia="de-DE"/>
        </w:rPr>
        <w:t>条件）的</w:t>
      </w:r>
      <w:r w:rsidRPr="0043772A">
        <w:rPr>
          <w:rFonts w:ascii="Times New Roman" w:eastAsiaTheme="minorEastAsia" w:hAnsi="Times New Roman"/>
          <w:color w:val="auto"/>
          <w:sz w:val="24"/>
          <w:szCs w:val="24"/>
          <w:lang w:val="en-GB"/>
        </w:rPr>
        <w:t>导则</w:t>
      </w:r>
      <w:r w:rsidRPr="0043772A">
        <w:rPr>
          <w:rFonts w:ascii="Times New Roman" w:eastAsiaTheme="minorEastAsia" w:hAnsi="Times New Roman"/>
          <w:color w:val="auto"/>
          <w:sz w:val="24"/>
          <w:szCs w:val="24"/>
          <w:lang w:val="en-GB" w:eastAsia="de-DE"/>
        </w:rPr>
        <w:t>和培训</w:t>
      </w:r>
      <w:r w:rsidRPr="0043772A">
        <w:rPr>
          <w:rFonts w:ascii="Times New Roman" w:eastAsiaTheme="minorEastAsia" w:hAnsi="Times New Roman"/>
          <w:color w:val="auto"/>
          <w:sz w:val="24"/>
          <w:szCs w:val="24"/>
          <w:lang w:val="en-GB"/>
        </w:rPr>
        <w:t>；</w:t>
      </w:r>
    </w:p>
    <w:p w:rsidR="00495DEF" w:rsidRPr="0043772A" w:rsidRDefault="00495DEF" w:rsidP="00495DEF">
      <w:pPr>
        <w:pStyle w:val="p1"/>
        <w:suppressAutoHyphens/>
        <w:snapToGrid w:val="0"/>
        <w:spacing w:before="120" w:after="120"/>
        <w:jc w:val="both"/>
        <w:rPr>
          <w:rFonts w:ascii="Times New Roman" w:eastAsiaTheme="minorEastAsia" w:hAnsi="Times New Roman"/>
          <w:b/>
          <w:snapToGrid w:val="0"/>
          <w:color w:val="auto"/>
          <w:kern w:val="22"/>
          <w:sz w:val="24"/>
          <w:szCs w:val="24"/>
          <w:lang w:val="en-GB"/>
        </w:rPr>
      </w:pPr>
      <w:r w:rsidRPr="0043772A">
        <w:rPr>
          <w:rFonts w:ascii="Times New Roman" w:eastAsiaTheme="minorEastAsia" w:hAnsi="Times New Roman"/>
          <w:b/>
          <w:color w:val="auto"/>
          <w:sz w:val="24"/>
          <w:szCs w:val="24"/>
          <w:lang w:val="en-GB" w:eastAsia="de-DE"/>
        </w:rPr>
        <w:t>A</w:t>
      </w:r>
      <w:r w:rsidRPr="0043772A">
        <w:rPr>
          <w:rFonts w:ascii="Times New Roman" w:eastAsiaTheme="minorEastAsia" w:hAnsi="Times New Roman"/>
          <w:b/>
          <w:snapToGrid w:val="0"/>
          <w:color w:val="auto"/>
          <w:kern w:val="22"/>
          <w:sz w:val="24"/>
          <w:szCs w:val="24"/>
          <w:lang w:val="en-GB"/>
        </w:rPr>
        <w:t>.1.2.6</w:t>
      </w:r>
      <w:r w:rsidRPr="0043772A">
        <w:rPr>
          <w:rFonts w:ascii="Times New Roman" w:eastAsiaTheme="minorEastAsia" w:hAnsi="Times New Roman"/>
          <w:color w:val="auto"/>
          <w:sz w:val="24"/>
          <w:szCs w:val="24"/>
          <w:lang w:val="en-GB" w:eastAsia="de-DE"/>
        </w:rPr>
        <w:t>制定</w:t>
      </w:r>
      <w:r w:rsidRPr="0043772A">
        <w:rPr>
          <w:rFonts w:ascii="Times New Roman" w:eastAsiaTheme="minorEastAsia" w:hAnsi="Times New Roman"/>
          <w:color w:val="auto"/>
          <w:sz w:val="24"/>
          <w:szCs w:val="24"/>
          <w:lang w:val="en-GB"/>
        </w:rPr>
        <w:t>和</w:t>
      </w:r>
      <w:r w:rsidRPr="0043772A">
        <w:rPr>
          <w:rFonts w:ascii="Times New Roman" w:eastAsiaTheme="minorEastAsia" w:hAnsi="Times New Roman"/>
          <w:color w:val="auto"/>
          <w:sz w:val="24"/>
          <w:szCs w:val="24"/>
          <w:lang w:val="en-GB" w:eastAsia="de-DE"/>
        </w:rPr>
        <w:t>实施国家和</w:t>
      </w:r>
      <w:r w:rsidRPr="0043772A">
        <w:rPr>
          <w:rFonts w:ascii="Times New Roman" w:eastAsiaTheme="minorEastAsia" w:hAnsi="Times New Roman"/>
          <w:color w:val="auto"/>
          <w:sz w:val="24"/>
          <w:szCs w:val="24"/>
          <w:lang w:val="en-GB"/>
        </w:rPr>
        <w:t>区域</w:t>
      </w:r>
      <w:r w:rsidRPr="0043772A">
        <w:rPr>
          <w:rFonts w:ascii="Times New Roman" w:eastAsiaTheme="minorEastAsia" w:hAnsi="Times New Roman"/>
          <w:color w:val="auto"/>
          <w:sz w:val="24"/>
          <w:szCs w:val="24"/>
          <w:lang w:val="en-GB" w:eastAsia="de-DE"/>
        </w:rPr>
        <w:t>降低</w:t>
      </w:r>
      <w:r w:rsidRPr="0043772A">
        <w:rPr>
          <w:rFonts w:ascii="Times New Roman" w:eastAsiaTheme="minorEastAsia" w:hAnsi="Times New Roman"/>
          <w:color w:val="auto"/>
          <w:sz w:val="24"/>
          <w:szCs w:val="24"/>
          <w:lang w:val="en-GB"/>
        </w:rPr>
        <w:t>农药</w:t>
      </w:r>
      <w:r w:rsidRPr="0043772A">
        <w:rPr>
          <w:rFonts w:ascii="Times New Roman" w:eastAsiaTheme="minorEastAsia" w:hAnsi="Times New Roman"/>
          <w:color w:val="auto"/>
          <w:sz w:val="24"/>
          <w:szCs w:val="24"/>
          <w:lang w:val="en-GB" w:eastAsia="de-DE"/>
        </w:rPr>
        <w:t>风险战略</w:t>
      </w:r>
      <w:r w:rsidRPr="0043772A">
        <w:rPr>
          <w:rFonts w:ascii="Times New Roman" w:eastAsiaTheme="minorEastAsia" w:hAnsi="Times New Roman"/>
          <w:color w:val="auto"/>
          <w:sz w:val="24"/>
          <w:szCs w:val="24"/>
          <w:lang w:val="en-GB"/>
        </w:rPr>
        <w:t>，</w:t>
      </w:r>
      <w:r w:rsidRPr="0043772A">
        <w:rPr>
          <w:rFonts w:ascii="Times New Roman" w:eastAsiaTheme="minorEastAsia" w:hAnsi="Times New Roman"/>
          <w:color w:val="auto"/>
          <w:sz w:val="24"/>
          <w:szCs w:val="24"/>
          <w:lang w:val="en-GB" w:eastAsia="de-DE"/>
        </w:rPr>
        <w:t>推广替代方法（例如</w:t>
      </w:r>
      <w:r w:rsidRPr="0043772A">
        <w:rPr>
          <w:rFonts w:ascii="Times New Roman" w:eastAsiaTheme="minorEastAsia" w:hAnsi="Times New Roman"/>
          <w:color w:val="auto"/>
          <w:sz w:val="24"/>
          <w:szCs w:val="24"/>
          <w:lang w:val="en-GB"/>
        </w:rPr>
        <w:t>，</w:t>
      </w:r>
      <w:r w:rsidRPr="0043772A">
        <w:rPr>
          <w:rFonts w:ascii="Times New Roman" w:eastAsiaTheme="minorEastAsia" w:hAnsi="Times New Roman"/>
          <w:color w:val="auto"/>
          <w:sz w:val="24"/>
          <w:szCs w:val="24"/>
          <w:lang w:val="en-GB" w:eastAsia="de-DE"/>
        </w:rPr>
        <w:t>病虫害综合</w:t>
      </w:r>
      <w:r w:rsidRPr="0043772A">
        <w:rPr>
          <w:rFonts w:ascii="Times New Roman" w:eastAsiaTheme="minorEastAsia" w:hAnsi="Times New Roman"/>
          <w:color w:val="auto"/>
          <w:sz w:val="24"/>
          <w:szCs w:val="24"/>
          <w:lang w:val="en-GB"/>
        </w:rPr>
        <w:t>管理做法</w:t>
      </w:r>
      <w:r w:rsidRPr="0043772A">
        <w:rPr>
          <w:rFonts w:ascii="Times New Roman" w:eastAsiaTheme="minorEastAsia" w:hAnsi="Times New Roman"/>
          <w:color w:val="auto"/>
          <w:sz w:val="24"/>
          <w:szCs w:val="24"/>
          <w:lang w:val="en-GB" w:eastAsia="de-DE"/>
        </w:rPr>
        <w:t>和生物防治）</w:t>
      </w:r>
      <w:r w:rsidRPr="0043772A">
        <w:rPr>
          <w:rFonts w:ascii="Times New Roman" w:eastAsiaTheme="minorEastAsia" w:hAnsi="Times New Roman"/>
          <w:color w:val="auto"/>
          <w:sz w:val="24"/>
          <w:szCs w:val="24"/>
          <w:lang w:val="en-GB"/>
        </w:rPr>
        <w:t>，</w:t>
      </w:r>
      <w:r w:rsidRPr="0043772A">
        <w:rPr>
          <w:rFonts w:ascii="Times New Roman" w:eastAsiaTheme="minorEastAsia" w:hAnsi="Times New Roman"/>
          <w:color w:val="auto"/>
          <w:sz w:val="24"/>
          <w:szCs w:val="24"/>
          <w:lang w:val="en-GB" w:eastAsia="de-DE"/>
        </w:rPr>
        <w:t>以减少或消除传粉媒介</w:t>
      </w:r>
      <w:r w:rsidRPr="0043772A">
        <w:rPr>
          <w:rFonts w:ascii="Times New Roman" w:eastAsiaTheme="minorEastAsia" w:hAnsi="Times New Roman"/>
          <w:color w:val="auto"/>
          <w:sz w:val="24"/>
          <w:szCs w:val="24"/>
          <w:lang w:val="en-GB"/>
        </w:rPr>
        <w:t>接触</w:t>
      </w:r>
      <w:r w:rsidRPr="0043772A">
        <w:rPr>
          <w:rFonts w:ascii="Times New Roman" w:eastAsiaTheme="minorEastAsia" w:hAnsi="Times New Roman"/>
          <w:color w:val="auto"/>
          <w:sz w:val="24"/>
          <w:szCs w:val="24"/>
          <w:lang w:val="en-GB" w:eastAsia="de-DE"/>
        </w:rPr>
        <w:t>有害农药的</w:t>
      </w:r>
      <w:r w:rsidRPr="0043772A">
        <w:rPr>
          <w:rFonts w:ascii="Times New Roman" w:eastAsiaTheme="minorEastAsia" w:hAnsi="Times New Roman"/>
          <w:color w:val="auto"/>
          <w:sz w:val="24"/>
          <w:szCs w:val="24"/>
          <w:lang w:val="en-GB"/>
        </w:rPr>
        <w:t>机会</w:t>
      </w:r>
      <w:r w:rsidRPr="0043772A">
        <w:rPr>
          <w:rFonts w:ascii="Times New Roman" w:eastAsiaTheme="minorEastAsia" w:hAnsi="Times New Roman"/>
          <w:b/>
          <w:snapToGrid w:val="0"/>
          <w:color w:val="auto"/>
          <w:kern w:val="22"/>
          <w:sz w:val="24"/>
          <w:szCs w:val="24"/>
          <w:lang w:val="en-GB"/>
        </w:rPr>
        <w:t>；</w:t>
      </w:r>
    </w:p>
    <w:p w:rsidR="00495DEF" w:rsidRPr="0043772A" w:rsidRDefault="00495DEF" w:rsidP="00495DEF">
      <w:pPr>
        <w:pStyle w:val="p1"/>
        <w:suppressAutoHyphens/>
        <w:snapToGrid w:val="0"/>
        <w:spacing w:before="120" w:after="120"/>
        <w:jc w:val="both"/>
        <w:rPr>
          <w:rFonts w:ascii="Times New Roman" w:eastAsiaTheme="minorEastAsia" w:hAnsi="Times New Roman"/>
          <w:color w:val="auto"/>
          <w:sz w:val="24"/>
          <w:szCs w:val="24"/>
          <w:lang w:val="en-GB" w:eastAsia="de-DE"/>
        </w:rPr>
      </w:pPr>
      <w:r w:rsidRPr="0043772A">
        <w:rPr>
          <w:rFonts w:ascii="Times New Roman" w:eastAsiaTheme="minorEastAsia" w:hAnsi="Times New Roman"/>
          <w:b/>
          <w:color w:val="auto"/>
          <w:sz w:val="24"/>
          <w:szCs w:val="24"/>
          <w:lang w:val="en-GB" w:eastAsia="de-DE"/>
        </w:rPr>
        <w:t>A</w:t>
      </w:r>
      <w:r w:rsidRPr="0043772A">
        <w:rPr>
          <w:rFonts w:ascii="Times New Roman" w:eastAsiaTheme="minorEastAsia" w:hAnsi="Times New Roman"/>
          <w:b/>
          <w:snapToGrid w:val="0"/>
          <w:color w:val="auto"/>
          <w:kern w:val="22"/>
          <w:sz w:val="24"/>
          <w:szCs w:val="24"/>
          <w:lang w:val="en-GB"/>
        </w:rPr>
        <w:t>.1.2.7</w:t>
      </w:r>
      <w:r w:rsidRPr="0043772A">
        <w:rPr>
          <w:rFonts w:ascii="Times New Roman" w:eastAsiaTheme="minorEastAsia" w:hAnsi="Times New Roman"/>
          <w:snapToGrid w:val="0"/>
          <w:color w:val="auto"/>
          <w:kern w:val="22"/>
          <w:sz w:val="24"/>
          <w:szCs w:val="24"/>
          <w:lang w:val="en-GB"/>
        </w:rPr>
        <w:t>酌情制定和实施国家农药及其转化产品的监督、监测和登记方案。</w:t>
      </w:r>
    </w:p>
    <w:p w:rsidR="00495DEF" w:rsidRPr="0043772A" w:rsidRDefault="00495DEF" w:rsidP="00495DEF">
      <w:pPr>
        <w:suppressLineNumbers/>
        <w:suppressAutoHyphens/>
        <w:adjustRightInd w:val="0"/>
        <w:snapToGrid w:val="0"/>
        <w:spacing w:before="240" w:after="120"/>
        <w:rPr>
          <w:rFonts w:eastAsiaTheme="minorEastAsia"/>
          <w:snapToGrid w:val="0"/>
          <w:kern w:val="22"/>
          <w:sz w:val="24"/>
        </w:rPr>
      </w:pPr>
      <w:r w:rsidRPr="0043772A">
        <w:rPr>
          <w:rFonts w:eastAsiaTheme="minorEastAsia"/>
          <w:b/>
          <w:snapToGrid w:val="0"/>
          <w:kern w:val="22"/>
          <w:sz w:val="24"/>
        </w:rPr>
        <w:t>A1.3</w:t>
      </w:r>
      <w:r w:rsidRPr="0043772A">
        <w:rPr>
          <w:rFonts w:eastAsiaTheme="minorEastAsia"/>
          <w:b/>
          <w:snapToGrid w:val="0"/>
          <w:kern w:val="22"/>
          <w:sz w:val="24"/>
        </w:rPr>
        <w:t>保护和推广土著和传统知识</w:t>
      </w:r>
    </w:p>
    <w:p w:rsidR="00495DEF" w:rsidRPr="0043772A" w:rsidRDefault="00495DEF" w:rsidP="00495DEF">
      <w:pPr>
        <w:suppressAutoHyphens/>
        <w:snapToGrid w:val="0"/>
        <w:spacing w:before="120" w:after="120"/>
        <w:rPr>
          <w:rFonts w:eastAsiaTheme="minorEastAsia"/>
          <w:snapToGrid w:val="0"/>
          <w:kern w:val="22"/>
          <w:sz w:val="24"/>
        </w:rPr>
      </w:pPr>
      <w:r w:rsidRPr="0043772A">
        <w:rPr>
          <w:rFonts w:eastAsiaTheme="minorEastAsia"/>
          <w:b/>
          <w:snapToGrid w:val="0"/>
          <w:kern w:val="22"/>
          <w:sz w:val="24"/>
        </w:rPr>
        <w:t>A.1.3.1</w:t>
      </w:r>
      <w:r w:rsidRPr="0043772A">
        <w:rPr>
          <w:rFonts w:eastAsiaTheme="minorEastAsia"/>
          <w:snapToGrid w:val="0"/>
          <w:kern w:val="22"/>
          <w:sz w:val="24"/>
        </w:rPr>
        <w:t>保护和推广与授粉媒介和授粉有关的土著和传统知识、创新和做法（例如，蜂房设计；授粉媒介资源管理；了解寄生虫影响的传统方式），支持以参与性方式鉴定新物种的鉴别特征并进行监测；</w:t>
      </w:r>
    </w:p>
    <w:p w:rsidR="00495DEF" w:rsidRPr="0043772A" w:rsidRDefault="00495DEF" w:rsidP="00495DEF">
      <w:pPr>
        <w:suppressAutoHyphens/>
        <w:snapToGrid w:val="0"/>
        <w:spacing w:before="120" w:after="120"/>
        <w:rPr>
          <w:rFonts w:eastAsiaTheme="minorEastAsia"/>
          <w:snapToGrid w:val="0"/>
          <w:kern w:val="22"/>
          <w:sz w:val="24"/>
        </w:rPr>
      </w:pPr>
      <w:r w:rsidRPr="0043772A">
        <w:rPr>
          <w:rFonts w:eastAsiaTheme="minorEastAsia"/>
          <w:b/>
          <w:snapToGrid w:val="0"/>
          <w:kern w:val="22"/>
          <w:sz w:val="24"/>
        </w:rPr>
        <w:t>A.1.3.2</w:t>
      </w:r>
      <w:r w:rsidRPr="0043772A">
        <w:rPr>
          <w:rFonts w:eastAsiaTheme="minorEastAsia"/>
          <w:snapToGrid w:val="0"/>
          <w:kern w:val="22"/>
          <w:sz w:val="24"/>
        </w:rPr>
        <w:t>保护既有土地权和保有权，以促进保护和可持续利用授粉媒介。</w:t>
      </w:r>
    </w:p>
    <w:p w:rsidR="00495DEF" w:rsidRPr="0043772A" w:rsidRDefault="00495DEF" w:rsidP="00495DEF">
      <w:pPr>
        <w:keepNext/>
        <w:suppressLineNumbers/>
        <w:suppressAutoHyphens/>
        <w:adjustRightInd w:val="0"/>
        <w:snapToGrid w:val="0"/>
        <w:spacing w:before="120" w:after="120"/>
        <w:rPr>
          <w:rFonts w:eastAsiaTheme="minorEastAsia"/>
          <w:b/>
          <w:snapToGrid w:val="0"/>
          <w:kern w:val="22"/>
          <w:sz w:val="24"/>
        </w:rPr>
      </w:pPr>
      <w:r w:rsidRPr="0043772A">
        <w:rPr>
          <w:rFonts w:eastAsiaTheme="minorEastAsia"/>
          <w:b/>
          <w:snapToGrid w:val="0"/>
          <w:kern w:val="22"/>
          <w:sz w:val="24"/>
        </w:rPr>
        <w:t>A1.4</w:t>
      </w:r>
      <w:r w:rsidRPr="0043772A">
        <w:rPr>
          <w:rFonts w:eastAsiaTheme="minorEastAsia"/>
          <w:b/>
          <w:snapToGrid w:val="0"/>
          <w:kern w:val="22"/>
          <w:sz w:val="24"/>
        </w:rPr>
        <w:t>控制受管理授粉媒介的贸易和流动以及其他与贸易有关的影响</w:t>
      </w:r>
    </w:p>
    <w:p w:rsidR="00495DEF" w:rsidRPr="0043772A" w:rsidRDefault="00495DEF" w:rsidP="00495DEF">
      <w:pPr>
        <w:suppressLineNumbers/>
        <w:suppressAutoHyphens/>
        <w:adjustRightInd w:val="0"/>
        <w:snapToGrid w:val="0"/>
        <w:spacing w:before="120" w:after="120"/>
        <w:rPr>
          <w:rFonts w:eastAsiaTheme="minorEastAsia"/>
          <w:snapToGrid w:val="0"/>
          <w:kern w:val="22"/>
          <w:sz w:val="24"/>
        </w:rPr>
      </w:pPr>
      <w:r w:rsidRPr="0043772A">
        <w:rPr>
          <w:rFonts w:eastAsiaTheme="minorEastAsia"/>
          <w:b/>
          <w:snapToGrid w:val="0"/>
          <w:kern w:val="22"/>
          <w:sz w:val="24"/>
        </w:rPr>
        <w:t>A.1.4.1</w:t>
      </w:r>
      <w:r w:rsidRPr="0043772A">
        <w:rPr>
          <w:rFonts w:eastAsiaTheme="minorEastAsia"/>
          <w:snapToGrid w:val="0"/>
          <w:kern w:val="22"/>
          <w:sz w:val="24"/>
        </w:rPr>
        <w:t>监测国家之间和</w:t>
      </w:r>
      <w:r w:rsidRPr="0043772A">
        <w:rPr>
          <w:rFonts w:eastAsiaTheme="minorEastAsia"/>
          <w:snapToGrid w:val="0"/>
          <w:kern w:val="22"/>
          <w:sz w:val="24"/>
          <w:lang w:val="en-US"/>
        </w:rPr>
        <w:t>国家内部</w:t>
      </w:r>
      <w:r w:rsidRPr="0043772A">
        <w:rPr>
          <w:rFonts w:eastAsiaTheme="minorEastAsia"/>
          <w:snapToGrid w:val="0"/>
          <w:kern w:val="22"/>
          <w:sz w:val="24"/>
        </w:rPr>
        <w:t>受管理的传粉媒介物种、亚种和品种的流动和贸易情况；</w:t>
      </w:r>
    </w:p>
    <w:p w:rsidR="00495DEF" w:rsidRPr="0043772A" w:rsidRDefault="00495DEF" w:rsidP="00495DEF">
      <w:pPr>
        <w:suppressLineNumbers/>
        <w:suppressAutoHyphens/>
        <w:adjustRightInd w:val="0"/>
        <w:snapToGrid w:val="0"/>
        <w:spacing w:before="120" w:after="120"/>
        <w:rPr>
          <w:rFonts w:eastAsiaTheme="minorEastAsia"/>
          <w:snapToGrid w:val="0"/>
          <w:kern w:val="22"/>
          <w:sz w:val="24"/>
        </w:rPr>
      </w:pPr>
      <w:r w:rsidRPr="0043772A">
        <w:rPr>
          <w:rFonts w:eastAsiaTheme="minorEastAsia"/>
          <w:b/>
          <w:snapToGrid w:val="0"/>
          <w:kern w:val="22"/>
          <w:sz w:val="24"/>
        </w:rPr>
        <w:t>A.1.4.2</w:t>
      </w:r>
      <w:r w:rsidRPr="0043772A">
        <w:rPr>
          <w:rFonts w:eastAsiaTheme="minorEastAsia"/>
          <w:snapToGrid w:val="0"/>
          <w:kern w:val="22"/>
          <w:sz w:val="24"/>
        </w:rPr>
        <w:t>制定和推广限制寄生虫和病原体向受管理的和野生授粉媒介种群传播的机制；</w:t>
      </w:r>
    </w:p>
    <w:p w:rsidR="00495DEF" w:rsidRPr="0043772A" w:rsidRDefault="00495DEF" w:rsidP="00495DEF">
      <w:pPr>
        <w:widowControl w:val="0"/>
        <w:suppressLineNumbers/>
        <w:suppressAutoHyphens/>
        <w:adjustRightInd w:val="0"/>
        <w:snapToGrid w:val="0"/>
        <w:spacing w:before="120" w:after="120"/>
        <w:rPr>
          <w:rFonts w:eastAsiaTheme="minorEastAsia"/>
          <w:snapToGrid w:val="0"/>
          <w:kern w:val="22"/>
          <w:sz w:val="24"/>
        </w:rPr>
      </w:pPr>
      <w:r w:rsidRPr="0043772A">
        <w:rPr>
          <w:rFonts w:eastAsiaTheme="minorEastAsia"/>
          <w:b/>
          <w:snapToGrid w:val="0"/>
          <w:kern w:val="22"/>
          <w:sz w:val="24"/>
        </w:rPr>
        <w:t>A.1.4.3</w:t>
      </w:r>
      <w:r w:rsidRPr="0043772A">
        <w:rPr>
          <w:rFonts w:eastAsiaTheme="minorEastAsia"/>
          <w:snapToGrid w:val="0"/>
          <w:kern w:val="22"/>
          <w:sz w:val="24"/>
        </w:rPr>
        <w:t>防止并最大限度地降低</w:t>
      </w:r>
      <w:r w:rsidRPr="0043772A">
        <w:rPr>
          <w:rFonts w:eastAsiaTheme="minorEastAsia"/>
          <w:sz w:val="24"/>
        </w:rPr>
        <w:t>引入</w:t>
      </w:r>
      <w:r w:rsidR="00FA727E">
        <w:rPr>
          <w:rFonts w:eastAsiaTheme="minorEastAsia" w:hint="eastAsia"/>
          <w:sz w:val="24"/>
        </w:rPr>
        <w:t>和</w:t>
      </w:r>
      <w:r w:rsidR="00FA727E">
        <w:rPr>
          <w:rFonts w:eastAsiaTheme="minorEastAsia"/>
          <w:sz w:val="24"/>
        </w:rPr>
        <w:t>传播</w:t>
      </w:r>
      <w:r w:rsidRPr="0043772A">
        <w:rPr>
          <w:rFonts w:eastAsiaTheme="minorEastAsia"/>
          <w:sz w:val="24"/>
        </w:rPr>
        <w:t>对授粉媒介及其赖以生存的植物资源造成不可接受风险的外来入侵物种（植物、授粉媒介、肉食动物、害虫和病原体）所带来的风险</w:t>
      </w:r>
      <w:r w:rsidRPr="0043772A">
        <w:rPr>
          <w:rFonts w:eastAsiaTheme="minorEastAsia"/>
          <w:snapToGrid w:val="0"/>
          <w:kern w:val="22"/>
          <w:sz w:val="24"/>
        </w:rPr>
        <w:t>，并对分散已经引入物种（例如欧洲熊蜂）的风险进行监控。</w:t>
      </w:r>
    </w:p>
    <w:p w:rsidR="00495DEF" w:rsidRPr="00413272" w:rsidRDefault="00495DEF" w:rsidP="00495DEF">
      <w:pPr>
        <w:suppressAutoHyphens/>
        <w:snapToGrid w:val="0"/>
        <w:spacing w:before="120" w:after="120"/>
        <w:jc w:val="center"/>
        <w:rPr>
          <w:rFonts w:ascii="SimSun" w:hAnsi="SimSun"/>
          <w:b/>
          <w:snapToGrid w:val="0"/>
          <w:sz w:val="24"/>
        </w:rPr>
      </w:pPr>
      <w:r w:rsidRPr="00413272">
        <w:rPr>
          <w:rFonts w:ascii="SimSun" w:hAnsi="SimSun" w:hint="eastAsia"/>
          <w:b/>
          <w:snapToGrid w:val="0"/>
          <w:sz w:val="24"/>
        </w:rPr>
        <w:t>构成部分</w:t>
      </w:r>
      <w:r w:rsidRPr="006E45C9">
        <w:rPr>
          <w:b/>
          <w:snapToGrid w:val="0"/>
          <w:sz w:val="24"/>
        </w:rPr>
        <w:t>2</w:t>
      </w:r>
      <w:r w:rsidRPr="00413272">
        <w:rPr>
          <w:rFonts w:ascii="SimSun" w:hAnsi="SimSun"/>
          <w:b/>
          <w:snapToGrid w:val="0"/>
          <w:sz w:val="24"/>
        </w:rPr>
        <w:t xml:space="preserve">: </w:t>
      </w:r>
      <w:r w:rsidRPr="00413272">
        <w:rPr>
          <w:rFonts w:ascii="SimSun" w:hAnsi="SimSun" w:hint="eastAsia"/>
          <w:b/>
          <w:snapToGrid w:val="0"/>
          <w:sz w:val="24"/>
        </w:rPr>
        <w:t>实地一级的执行工作</w:t>
      </w:r>
    </w:p>
    <w:p w:rsidR="00495DEF" w:rsidRPr="002922B2" w:rsidRDefault="00495DEF" w:rsidP="00495DEF">
      <w:pPr>
        <w:widowControl w:val="0"/>
        <w:suppressAutoHyphens/>
        <w:autoSpaceDE w:val="0"/>
        <w:autoSpaceDN w:val="0"/>
        <w:adjustRightInd w:val="0"/>
        <w:snapToGrid w:val="0"/>
        <w:spacing w:before="120" w:after="120"/>
        <w:rPr>
          <w:rFonts w:ascii="KaiTi" w:eastAsia="KaiTi" w:hAnsi="KaiTi"/>
          <w:snapToGrid w:val="0"/>
          <w:sz w:val="24"/>
        </w:rPr>
      </w:pPr>
      <w:r w:rsidRPr="002922B2">
        <w:rPr>
          <w:rFonts w:ascii="KaiTi" w:eastAsia="KaiTi" w:hAnsi="KaiTi" w:hint="eastAsia"/>
          <w:snapToGrid w:val="0"/>
          <w:sz w:val="24"/>
        </w:rPr>
        <w:t>业务目标</w:t>
      </w:r>
    </w:p>
    <w:p w:rsidR="00495DEF" w:rsidRPr="00413272" w:rsidRDefault="00495DEF" w:rsidP="00495DEF">
      <w:pPr>
        <w:widowControl w:val="0"/>
        <w:suppressAutoHyphens/>
        <w:autoSpaceDE w:val="0"/>
        <w:autoSpaceDN w:val="0"/>
        <w:adjustRightInd w:val="0"/>
        <w:snapToGrid w:val="0"/>
        <w:spacing w:before="120" w:after="120"/>
        <w:ind w:firstLine="720"/>
        <w:rPr>
          <w:rFonts w:ascii="SimSun" w:hAnsi="SimSun"/>
          <w:sz w:val="24"/>
        </w:rPr>
      </w:pPr>
      <w:r w:rsidRPr="00413272">
        <w:rPr>
          <w:rFonts w:ascii="SimSun" w:hAnsi="SimSun" w:hint="eastAsia"/>
          <w:sz w:val="24"/>
        </w:rPr>
        <w:t>加强和贯彻维护健康授粉媒介区系的管理做法，使农民、养蜂人、林务员、土地管理者和城市社区能够利用授粉</w:t>
      </w:r>
      <w:r>
        <w:rPr>
          <w:rFonts w:ascii="SimSun" w:hAnsi="SimSun" w:hint="eastAsia"/>
          <w:sz w:val="24"/>
        </w:rPr>
        <w:t>功能和</w:t>
      </w:r>
      <w:r w:rsidRPr="00413272">
        <w:rPr>
          <w:rFonts w:ascii="SimSun" w:hAnsi="SimSun" w:hint="eastAsia"/>
          <w:sz w:val="24"/>
        </w:rPr>
        <w:t>服务的收益，提高其生产力和改善生计</w:t>
      </w:r>
      <w:r w:rsidRPr="00413272">
        <w:rPr>
          <w:rFonts w:ascii="SimSun" w:hAnsi="SimSun" w:hint="eastAsia"/>
          <w:i/>
          <w:snapToGrid w:val="0"/>
          <w:sz w:val="24"/>
        </w:rPr>
        <w:t>。</w:t>
      </w:r>
    </w:p>
    <w:p w:rsidR="00495DEF" w:rsidRPr="002922B2" w:rsidRDefault="00495DEF" w:rsidP="00495DEF">
      <w:pPr>
        <w:widowControl w:val="0"/>
        <w:suppressAutoHyphens/>
        <w:autoSpaceDE w:val="0"/>
        <w:autoSpaceDN w:val="0"/>
        <w:adjustRightInd w:val="0"/>
        <w:snapToGrid w:val="0"/>
        <w:spacing w:before="120" w:after="120"/>
        <w:ind w:firstLine="720"/>
        <w:rPr>
          <w:rFonts w:ascii="KaiTi" w:eastAsia="KaiTi" w:hAnsi="KaiTi"/>
          <w:snapToGrid w:val="0"/>
          <w:sz w:val="24"/>
        </w:rPr>
      </w:pPr>
      <w:r w:rsidRPr="002922B2">
        <w:rPr>
          <w:rFonts w:ascii="KaiTi" w:eastAsia="KaiTi" w:hAnsi="KaiTi" w:hint="eastAsia"/>
          <w:snapToGrid w:val="0"/>
          <w:sz w:val="24"/>
        </w:rPr>
        <w:t>理论依据</w:t>
      </w:r>
    </w:p>
    <w:p w:rsidR="00495DEF" w:rsidRPr="00413272" w:rsidRDefault="00495DEF" w:rsidP="00495DEF">
      <w:pPr>
        <w:widowControl w:val="0"/>
        <w:suppressAutoHyphens/>
        <w:autoSpaceDE w:val="0"/>
        <w:autoSpaceDN w:val="0"/>
        <w:adjustRightInd w:val="0"/>
        <w:snapToGrid w:val="0"/>
        <w:spacing w:before="120" w:after="120"/>
        <w:ind w:firstLine="720"/>
        <w:rPr>
          <w:rFonts w:ascii="SimSun" w:hAnsi="SimSun"/>
          <w:sz w:val="24"/>
        </w:rPr>
      </w:pPr>
      <w:r w:rsidRPr="00413272">
        <w:rPr>
          <w:rFonts w:ascii="SimSun" w:hAnsi="SimSun" w:hint="eastAsia"/>
          <w:sz w:val="24"/>
        </w:rPr>
        <w:t>为了确保授粉媒介友好型生境，促进可持续农业生态系统和授粉媒介饲养，需要在实地处理授粉媒介减少的直接和间接驱动因素。需要</w:t>
      </w:r>
      <w:r>
        <w:rPr>
          <w:rFonts w:ascii="SimSun" w:hAnsi="SimSun" w:hint="eastAsia"/>
          <w:sz w:val="24"/>
        </w:rPr>
        <w:t>关注</w:t>
      </w:r>
      <w:r w:rsidRPr="00413272">
        <w:rPr>
          <w:rFonts w:ascii="SimSun" w:hAnsi="SimSun" w:hint="eastAsia"/>
          <w:sz w:val="24"/>
        </w:rPr>
        <w:t>农田和整个生态系统。景观层面的措施可以解决跨景观和部门管理的连通性和价值问题。改进的授粉媒介管理措施包括重视对蜜蜂和其他传粉媒介的饲养</w:t>
      </w:r>
      <w:r w:rsidRPr="00413272">
        <w:rPr>
          <w:rFonts w:ascii="SimSun" w:hAnsi="SimSun" w:hint="eastAsia"/>
          <w:i/>
          <w:snapToGrid w:val="0"/>
          <w:sz w:val="24"/>
        </w:rPr>
        <w:t>。</w:t>
      </w:r>
    </w:p>
    <w:p w:rsidR="00495DEF" w:rsidRPr="002922B2" w:rsidRDefault="00495DEF" w:rsidP="00495DEF">
      <w:pPr>
        <w:widowControl w:val="0"/>
        <w:suppressAutoHyphens/>
        <w:autoSpaceDE w:val="0"/>
        <w:autoSpaceDN w:val="0"/>
        <w:adjustRightInd w:val="0"/>
        <w:snapToGrid w:val="0"/>
        <w:spacing w:before="120" w:after="120"/>
        <w:rPr>
          <w:rFonts w:ascii="KaiTi" w:eastAsia="KaiTi" w:hAnsi="KaiTi"/>
          <w:snapToGrid w:val="0"/>
          <w:sz w:val="24"/>
        </w:rPr>
      </w:pPr>
      <w:r w:rsidRPr="002922B2">
        <w:rPr>
          <w:rFonts w:ascii="KaiTi" w:eastAsia="KaiTi" w:hAnsi="KaiTi" w:hint="eastAsia"/>
          <w:snapToGrid w:val="0"/>
          <w:sz w:val="24"/>
        </w:rPr>
        <w:t>活动</w:t>
      </w:r>
    </w:p>
    <w:p w:rsidR="00495DEF" w:rsidRPr="0043772A" w:rsidRDefault="00495DEF" w:rsidP="00495DEF">
      <w:pPr>
        <w:suppressAutoHyphens/>
        <w:snapToGrid w:val="0"/>
        <w:spacing w:before="120" w:after="120"/>
        <w:rPr>
          <w:rFonts w:eastAsiaTheme="minorEastAsia"/>
          <w:b/>
          <w:snapToGrid w:val="0"/>
          <w:kern w:val="22"/>
          <w:sz w:val="24"/>
        </w:rPr>
      </w:pPr>
      <w:r w:rsidRPr="0043772A">
        <w:rPr>
          <w:rFonts w:eastAsiaTheme="minorEastAsia"/>
          <w:b/>
          <w:snapToGrid w:val="0"/>
          <w:kern w:val="22"/>
          <w:sz w:val="24"/>
        </w:rPr>
        <w:t>A2.1</w:t>
      </w:r>
      <w:r w:rsidRPr="0043772A">
        <w:rPr>
          <w:rFonts w:eastAsiaTheme="minorEastAsia"/>
          <w:b/>
          <w:snapToGrid w:val="0"/>
          <w:kern w:val="22"/>
          <w:sz w:val="24"/>
        </w:rPr>
        <w:t>与农民、城市和农村养蜂人、土地管理人员、土著人民和当地社区共同设计并在农场和城市地区草场推行授粉媒介友好型做法</w:t>
      </w:r>
    </w:p>
    <w:p w:rsidR="00495DEF" w:rsidRPr="0043772A" w:rsidRDefault="00495DEF" w:rsidP="00495DEF">
      <w:pPr>
        <w:suppressLineNumbers/>
        <w:suppressAutoHyphens/>
        <w:adjustRightInd w:val="0"/>
        <w:snapToGrid w:val="0"/>
        <w:spacing w:before="120" w:after="120"/>
        <w:rPr>
          <w:rFonts w:eastAsiaTheme="minorEastAsia"/>
          <w:snapToGrid w:val="0"/>
          <w:kern w:val="22"/>
          <w:sz w:val="24"/>
        </w:rPr>
      </w:pPr>
      <w:r w:rsidRPr="0043772A">
        <w:rPr>
          <w:rFonts w:eastAsiaTheme="minorEastAsia"/>
          <w:b/>
          <w:snapToGrid w:val="0"/>
          <w:kern w:val="22"/>
          <w:sz w:val="24"/>
        </w:rPr>
        <w:t>A.2.1.1</w:t>
      </w:r>
      <w:r w:rsidRPr="0043772A">
        <w:rPr>
          <w:rFonts w:eastAsiaTheme="minorEastAsia"/>
          <w:snapToGrid w:val="0"/>
          <w:kern w:val="22"/>
          <w:sz w:val="24"/>
        </w:rPr>
        <w:t>酌情开辟大片未开垦的植被，并主要利用本地物种和延长花期，扩大花卉多样性，以确保授粉媒介的多样性、丰富性和持续不断的花卉资源；</w:t>
      </w:r>
    </w:p>
    <w:p w:rsidR="00495DEF" w:rsidRPr="0043772A" w:rsidRDefault="00495DEF" w:rsidP="00495DEF">
      <w:pPr>
        <w:suppressLineNumbers/>
        <w:suppressAutoHyphens/>
        <w:adjustRightInd w:val="0"/>
        <w:snapToGrid w:val="0"/>
        <w:spacing w:before="120" w:after="120"/>
        <w:rPr>
          <w:rFonts w:eastAsiaTheme="minorEastAsia"/>
          <w:snapToGrid w:val="0"/>
          <w:kern w:val="22"/>
          <w:sz w:val="24"/>
        </w:rPr>
      </w:pPr>
      <w:r w:rsidRPr="0043772A">
        <w:rPr>
          <w:rFonts w:eastAsiaTheme="minorEastAsia"/>
          <w:b/>
          <w:snapToGrid w:val="0"/>
          <w:kern w:val="22"/>
          <w:sz w:val="24"/>
        </w:rPr>
        <w:t>A.2.1.2</w:t>
      </w:r>
      <w:r w:rsidRPr="0043772A">
        <w:rPr>
          <w:rFonts w:eastAsiaTheme="minorEastAsia"/>
          <w:snapToGrid w:val="0"/>
          <w:kern w:val="22"/>
          <w:sz w:val="24"/>
        </w:rPr>
        <w:t>管理大量开花作物的花期，使授粉媒介受益；</w:t>
      </w:r>
    </w:p>
    <w:p w:rsidR="00495DEF" w:rsidRPr="0043772A" w:rsidRDefault="00495DEF" w:rsidP="00495DEF">
      <w:pPr>
        <w:suppressLineNumbers/>
        <w:suppressAutoHyphens/>
        <w:adjustRightInd w:val="0"/>
        <w:snapToGrid w:val="0"/>
        <w:spacing w:before="120" w:after="120"/>
        <w:rPr>
          <w:rFonts w:eastAsiaTheme="minorEastAsia"/>
          <w:snapToGrid w:val="0"/>
          <w:kern w:val="22"/>
          <w:sz w:val="24"/>
        </w:rPr>
      </w:pPr>
      <w:r w:rsidRPr="0043772A">
        <w:rPr>
          <w:rFonts w:eastAsiaTheme="minorEastAsia"/>
          <w:b/>
          <w:snapToGrid w:val="0"/>
          <w:kern w:val="22"/>
          <w:sz w:val="24"/>
        </w:rPr>
        <w:t>A.2.1.3</w:t>
      </w:r>
      <w:r w:rsidRPr="0043772A">
        <w:rPr>
          <w:rFonts w:eastAsiaTheme="minorEastAsia"/>
          <w:snapToGrid w:val="0"/>
          <w:kern w:val="22"/>
          <w:sz w:val="24"/>
        </w:rPr>
        <w:t>促进交换本地种子的网络；</w:t>
      </w:r>
    </w:p>
    <w:p w:rsidR="00495DEF" w:rsidRPr="0043772A" w:rsidRDefault="00495DEF" w:rsidP="00495DEF">
      <w:pPr>
        <w:suppressLineNumbers/>
        <w:suppressAutoHyphens/>
        <w:adjustRightInd w:val="0"/>
        <w:snapToGrid w:val="0"/>
        <w:spacing w:before="120" w:after="120"/>
        <w:rPr>
          <w:rFonts w:eastAsiaTheme="minorEastAsia"/>
          <w:snapToGrid w:val="0"/>
          <w:kern w:val="22"/>
          <w:sz w:val="24"/>
        </w:rPr>
      </w:pPr>
      <w:r w:rsidRPr="0043772A">
        <w:rPr>
          <w:rFonts w:eastAsiaTheme="minorEastAsia"/>
          <w:b/>
          <w:snapToGrid w:val="0"/>
          <w:kern w:val="22"/>
          <w:sz w:val="24"/>
        </w:rPr>
        <w:lastRenderedPageBreak/>
        <w:t>A.2.1.4</w:t>
      </w:r>
      <w:r w:rsidRPr="0043772A">
        <w:rPr>
          <w:rFonts w:eastAsiaTheme="minorEastAsia"/>
          <w:snapToGrid w:val="0"/>
          <w:kern w:val="22"/>
          <w:sz w:val="24"/>
        </w:rPr>
        <w:t>促进受管理授粉媒介种群内的遗传多样性及其保护；</w:t>
      </w:r>
    </w:p>
    <w:p w:rsidR="00495DEF" w:rsidRPr="0043772A" w:rsidRDefault="00495DEF" w:rsidP="00495DEF">
      <w:pPr>
        <w:suppressLineNumbers/>
        <w:suppressAutoHyphens/>
        <w:adjustRightInd w:val="0"/>
        <w:snapToGrid w:val="0"/>
        <w:spacing w:before="120" w:after="120"/>
        <w:rPr>
          <w:rFonts w:eastAsiaTheme="minorEastAsia"/>
          <w:snapToGrid w:val="0"/>
          <w:kern w:val="22"/>
          <w:sz w:val="24"/>
        </w:rPr>
      </w:pPr>
      <w:r w:rsidRPr="0043772A">
        <w:rPr>
          <w:rFonts w:eastAsiaTheme="minorEastAsia"/>
          <w:b/>
          <w:snapToGrid w:val="0"/>
          <w:kern w:val="22"/>
          <w:sz w:val="24"/>
        </w:rPr>
        <w:t>A.2.1.5</w:t>
      </w:r>
      <w:r w:rsidRPr="0043772A">
        <w:rPr>
          <w:rFonts w:eastAsiaTheme="minorEastAsia"/>
          <w:snapToGrid w:val="0"/>
          <w:kern w:val="22"/>
          <w:sz w:val="24"/>
        </w:rPr>
        <w:t>促进推广服务、农民之间共享方法和农民田间学校，以交流知识，为当地农业社区提供实务教育并增强其权能；</w:t>
      </w:r>
    </w:p>
    <w:p w:rsidR="00495DEF" w:rsidRPr="0043772A" w:rsidRDefault="00495DEF" w:rsidP="00495DEF">
      <w:pPr>
        <w:suppressLineNumbers/>
        <w:suppressAutoHyphens/>
        <w:adjustRightInd w:val="0"/>
        <w:snapToGrid w:val="0"/>
        <w:spacing w:before="120" w:after="120"/>
        <w:rPr>
          <w:rFonts w:eastAsiaTheme="minorEastAsia"/>
          <w:snapToGrid w:val="0"/>
          <w:kern w:val="22"/>
          <w:sz w:val="24"/>
        </w:rPr>
      </w:pPr>
      <w:r w:rsidRPr="0043772A">
        <w:rPr>
          <w:rFonts w:eastAsiaTheme="minorEastAsia"/>
          <w:b/>
          <w:snapToGrid w:val="0"/>
          <w:kern w:val="22"/>
          <w:sz w:val="24"/>
        </w:rPr>
        <w:t>A.2.1.6</w:t>
      </w:r>
      <w:r w:rsidRPr="0043772A">
        <w:rPr>
          <w:rFonts w:eastAsiaTheme="minorEastAsia"/>
          <w:snapToGrid w:val="0"/>
          <w:kern w:val="22"/>
          <w:sz w:val="24"/>
        </w:rPr>
        <w:t>通过作物轮作、间套作、</w:t>
      </w:r>
      <w:r w:rsidRPr="0043772A">
        <w:rPr>
          <w:rStyle w:val="ng-binding"/>
          <w:rFonts w:eastAsiaTheme="minorEastAsia"/>
          <w:sz w:val="24"/>
        </w:rPr>
        <w:t>复合农林业</w:t>
      </w:r>
      <w:r w:rsidRPr="0043772A">
        <w:rPr>
          <w:rFonts w:eastAsiaTheme="minorEastAsia"/>
          <w:snapToGrid w:val="0"/>
          <w:kern w:val="22"/>
          <w:sz w:val="24"/>
        </w:rPr>
        <w:t>、综合虫害管理、有机农业和生态集约化等家庭园圃和生态农业方法，实现农作制度及其产生的授粉媒介食物资源和生境多样化；</w:t>
      </w:r>
    </w:p>
    <w:p w:rsidR="00495DEF" w:rsidRPr="0043772A" w:rsidRDefault="00495DEF" w:rsidP="00495DEF">
      <w:pPr>
        <w:suppressLineNumbers/>
        <w:suppressAutoHyphens/>
        <w:adjustRightInd w:val="0"/>
        <w:snapToGrid w:val="0"/>
        <w:spacing w:before="120" w:after="120"/>
        <w:rPr>
          <w:rFonts w:eastAsiaTheme="minorEastAsia"/>
          <w:snapToGrid w:val="0"/>
          <w:kern w:val="22"/>
          <w:sz w:val="24"/>
        </w:rPr>
      </w:pPr>
      <w:r w:rsidRPr="0043772A">
        <w:rPr>
          <w:rFonts w:eastAsiaTheme="minorEastAsia"/>
          <w:b/>
          <w:snapToGrid w:val="0"/>
          <w:kern w:val="22"/>
          <w:sz w:val="24"/>
        </w:rPr>
        <w:t>A.2.1.7</w:t>
      </w:r>
      <w:r w:rsidRPr="0043772A">
        <w:rPr>
          <w:rFonts w:eastAsiaTheme="minorEastAsia"/>
          <w:snapToGrid w:val="0"/>
          <w:kern w:val="22"/>
          <w:sz w:val="24"/>
        </w:rPr>
        <w:t>在农耕授粉媒介管理范围内（例如，农药施用时机、气候条件和设备校准，以减少喷雾飘洒到场外地区），推广对综合农药管理（包括杂草管理策略和生物防治）和必要时有关农药使用的认识、培训和采用最佳做法，并避免或最大限度地减少已证明对授粉媒介造成严重或不可逆转损害的农药与其他驱动因素的协同作用；</w:t>
      </w:r>
    </w:p>
    <w:p w:rsidR="00495DEF" w:rsidRPr="0043772A" w:rsidRDefault="00495DEF" w:rsidP="00495DEF">
      <w:pPr>
        <w:suppressLineNumbers/>
        <w:suppressAutoHyphens/>
        <w:adjustRightInd w:val="0"/>
        <w:snapToGrid w:val="0"/>
        <w:spacing w:before="120" w:after="120"/>
        <w:rPr>
          <w:rFonts w:eastAsiaTheme="minorEastAsia"/>
          <w:snapToGrid w:val="0"/>
          <w:kern w:val="22"/>
          <w:sz w:val="24"/>
        </w:rPr>
      </w:pPr>
      <w:r w:rsidRPr="0043772A">
        <w:rPr>
          <w:rFonts w:eastAsiaTheme="minorEastAsia"/>
          <w:b/>
          <w:snapToGrid w:val="0"/>
          <w:kern w:val="22"/>
          <w:sz w:val="24"/>
        </w:rPr>
        <w:t>A.2.1.8</w:t>
      </w:r>
      <w:r w:rsidRPr="0043772A">
        <w:rPr>
          <w:rFonts w:eastAsiaTheme="minorEastAsia"/>
          <w:snapToGrid w:val="0"/>
          <w:kern w:val="22"/>
          <w:sz w:val="24"/>
        </w:rPr>
        <w:t>推广气候适应型农业最佳做法，使授粉媒介受益；</w:t>
      </w:r>
    </w:p>
    <w:p w:rsidR="00495DEF" w:rsidRPr="0043772A" w:rsidRDefault="00495DEF" w:rsidP="00495DEF">
      <w:pPr>
        <w:suppressLineNumbers/>
        <w:suppressAutoHyphens/>
        <w:adjustRightInd w:val="0"/>
        <w:snapToGrid w:val="0"/>
        <w:spacing w:before="120" w:after="120"/>
        <w:rPr>
          <w:rFonts w:eastAsiaTheme="minorEastAsia"/>
          <w:snapToGrid w:val="0"/>
          <w:kern w:val="22"/>
          <w:sz w:val="24"/>
        </w:rPr>
      </w:pPr>
      <w:r w:rsidRPr="0043772A">
        <w:rPr>
          <w:rFonts w:eastAsiaTheme="minorEastAsia"/>
          <w:b/>
          <w:snapToGrid w:val="0"/>
          <w:kern w:val="22"/>
          <w:sz w:val="24"/>
        </w:rPr>
        <w:t>A.2.1.9</w:t>
      </w:r>
      <w:r w:rsidRPr="0043772A">
        <w:rPr>
          <w:rFonts w:eastAsiaTheme="minorEastAsia"/>
          <w:snapToGrid w:val="0"/>
          <w:kern w:val="22"/>
          <w:sz w:val="24"/>
        </w:rPr>
        <w:t>将授粉媒介友好型做法纳入相关部门的现有实践中，包括农业和粮食生产的认证计划。</w:t>
      </w:r>
    </w:p>
    <w:p w:rsidR="00495DEF" w:rsidRPr="0043772A" w:rsidRDefault="00495DEF" w:rsidP="00495DEF">
      <w:pPr>
        <w:suppressAutoHyphens/>
        <w:snapToGrid w:val="0"/>
        <w:spacing w:before="240" w:after="120"/>
        <w:rPr>
          <w:rFonts w:eastAsiaTheme="minorEastAsia"/>
          <w:b/>
          <w:snapToGrid w:val="0"/>
          <w:kern w:val="22"/>
          <w:sz w:val="24"/>
        </w:rPr>
      </w:pPr>
      <w:r w:rsidRPr="0043772A">
        <w:rPr>
          <w:rFonts w:eastAsiaTheme="minorEastAsia"/>
          <w:b/>
          <w:snapToGrid w:val="0"/>
          <w:kern w:val="22"/>
          <w:sz w:val="24"/>
        </w:rPr>
        <w:t>A2.2</w:t>
      </w:r>
      <w:r w:rsidRPr="0043772A">
        <w:rPr>
          <w:rFonts w:eastAsiaTheme="minorEastAsia"/>
          <w:b/>
          <w:snapToGrid w:val="0"/>
          <w:kern w:val="22"/>
          <w:sz w:val="24"/>
        </w:rPr>
        <w:t>处理林业中授粉媒介友好型管理和授粉媒介的需求问题</w:t>
      </w:r>
    </w:p>
    <w:p w:rsidR="00495DEF" w:rsidRPr="0043772A" w:rsidRDefault="00495DEF" w:rsidP="00495DEF">
      <w:pPr>
        <w:suppressLineNumbers/>
        <w:suppressAutoHyphens/>
        <w:adjustRightInd w:val="0"/>
        <w:snapToGrid w:val="0"/>
        <w:spacing w:before="120" w:after="120"/>
        <w:rPr>
          <w:rFonts w:eastAsiaTheme="minorEastAsia"/>
          <w:snapToGrid w:val="0"/>
          <w:kern w:val="22"/>
          <w:sz w:val="24"/>
        </w:rPr>
      </w:pPr>
      <w:r w:rsidRPr="0043772A">
        <w:rPr>
          <w:rFonts w:eastAsiaTheme="minorEastAsia"/>
          <w:b/>
          <w:snapToGrid w:val="0"/>
          <w:kern w:val="22"/>
          <w:sz w:val="24"/>
        </w:rPr>
        <w:t>A.2.2.1</w:t>
      </w:r>
      <w:r w:rsidRPr="0043772A">
        <w:rPr>
          <w:rFonts w:eastAsiaTheme="minorEastAsia"/>
          <w:snapToGrid w:val="0"/>
          <w:kern w:val="22"/>
          <w:sz w:val="24"/>
        </w:rPr>
        <w:t>避免或尽量减少森林砍伐、有害的森林管理措施以及对野生授粉媒介和传统养蜂产生消极影响的其他威胁；</w:t>
      </w:r>
    </w:p>
    <w:p w:rsidR="00495DEF" w:rsidRPr="0043772A" w:rsidRDefault="00495DEF" w:rsidP="00495DEF">
      <w:pPr>
        <w:suppressLineNumbers/>
        <w:suppressAutoHyphens/>
        <w:adjustRightInd w:val="0"/>
        <w:snapToGrid w:val="0"/>
        <w:spacing w:before="120" w:after="120"/>
        <w:rPr>
          <w:rFonts w:eastAsiaTheme="minorEastAsia"/>
          <w:snapToGrid w:val="0"/>
          <w:kern w:val="22"/>
          <w:sz w:val="24"/>
        </w:rPr>
      </w:pPr>
      <w:r w:rsidRPr="0043772A">
        <w:rPr>
          <w:rFonts w:eastAsiaTheme="minorEastAsia"/>
          <w:b/>
          <w:snapToGrid w:val="0"/>
          <w:kern w:val="22"/>
          <w:sz w:val="24"/>
        </w:rPr>
        <w:t>A.2.2.2</w:t>
      </w:r>
      <w:r w:rsidRPr="0043772A">
        <w:rPr>
          <w:rFonts w:eastAsiaTheme="minorEastAsia"/>
          <w:snapToGrid w:val="0"/>
          <w:kern w:val="22"/>
          <w:sz w:val="24"/>
        </w:rPr>
        <w:t>提供和推广措施，以捕获、保护和运输原木内发现的蜂巢；</w:t>
      </w:r>
    </w:p>
    <w:p w:rsidR="00495DEF" w:rsidRPr="0043772A" w:rsidRDefault="00495DEF" w:rsidP="00495DEF">
      <w:pPr>
        <w:suppressLineNumbers/>
        <w:suppressAutoHyphens/>
        <w:adjustRightInd w:val="0"/>
        <w:snapToGrid w:val="0"/>
        <w:spacing w:before="120" w:after="120"/>
        <w:rPr>
          <w:rFonts w:eastAsiaTheme="minorEastAsia"/>
          <w:snapToGrid w:val="0"/>
          <w:kern w:val="22"/>
          <w:sz w:val="24"/>
        </w:rPr>
      </w:pPr>
      <w:r w:rsidRPr="0043772A">
        <w:rPr>
          <w:rFonts w:eastAsiaTheme="minorEastAsia"/>
          <w:b/>
          <w:snapToGrid w:val="0"/>
          <w:kern w:val="22"/>
          <w:sz w:val="24"/>
        </w:rPr>
        <w:t>A.2.2.3</w:t>
      </w:r>
      <w:r w:rsidRPr="0043772A">
        <w:rPr>
          <w:rFonts w:eastAsiaTheme="minorEastAsia"/>
          <w:snapToGrid w:val="0"/>
          <w:kern w:val="22"/>
          <w:sz w:val="24"/>
        </w:rPr>
        <w:t>促进复合农林业和林业系统，确保本地物种形成的异质生境，为授粉媒介提供多样化的花卉和筑巢资源；</w:t>
      </w:r>
    </w:p>
    <w:p w:rsidR="00495DEF" w:rsidRPr="0043772A" w:rsidRDefault="00495DEF" w:rsidP="00495DEF">
      <w:pPr>
        <w:suppressLineNumbers/>
        <w:suppressAutoHyphens/>
        <w:adjustRightInd w:val="0"/>
        <w:snapToGrid w:val="0"/>
        <w:spacing w:before="120" w:after="120"/>
        <w:rPr>
          <w:rFonts w:eastAsiaTheme="minorEastAsia"/>
          <w:snapToGrid w:val="0"/>
          <w:kern w:val="22"/>
          <w:sz w:val="24"/>
        </w:rPr>
      </w:pPr>
      <w:r w:rsidRPr="0043772A">
        <w:rPr>
          <w:rFonts w:eastAsiaTheme="minorEastAsia"/>
          <w:b/>
          <w:snapToGrid w:val="0"/>
          <w:kern w:val="22"/>
          <w:sz w:val="24"/>
        </w:rPr>
        <w:t>A.2.2.4</w:t>
      </w:r>
      <w:r w:rsidRPr="0043772A">
        <w:rPr>
          <w:rFonts w:eastAsiaTheme="minorEastAsia"/>
          <w:snapToGrid w:val="0"/>
          <w:kern w:val="22"/>
          <w:sz w:val="24"/>
        </w:rPr>
        <w:t>将有关授粉媒介的考虑因素纳入可持续林业管理认证系统规则。</w:t>
      </w:r>
    </w:p>
    <w:p w:rsidR="00495DEF" w:rsidRPr="0043772A" w:rsidRDefault="00495DEF" w:rsidP="00495DEF">
      <w:pPr>
        <w:keepNext/>
        <w:suppressAutoHyphens/>
        <w:snapToGrid w:val="0"/>
        <w:spacing w:before="240" w:after="120"/>
        <w:rPr>
          <w:rFonts w:eastAsiaTheme="minorEastAsia"/>
          <w:b/>
          <w:snapToGrid w:val="0"/>
          <w:kern w:val="22"/>
          <w:sz w:val="24"/>
        </w:rPr>
      </w:pPr>
      <w:r w:rsidRPr="0043772A">
        <w:rPr>
          <w:rFonts w:eastAsiaTheme="minorEastAsia"/>
          <w:b/>
          <w:snapToGrid w:val="0"/>
          <w:kern w:val="22"/>
          <w:sz w:val="24"/>
        </w:rPr>
        <w:t>A2.3</w:t>
      </w:r>
      <w:r w:rsidRPr="0043772A">
        <w:rPr>
          <w:rFonts w:eastAsiaTheme="minorEastAsia"/>
          <w:b/>
          <w:snapToGrid w:val="0"/>
          <w:kern w:val="22"/>
          <w:sz w:val="24"/>
        </w:rPr>
        <w:t>促进授粉媒介生境的连通性、保护、管理和恢复</w:t>
      </w:r>
    </w:p>
    <w:p w:rsidR="00495DEF" w:rsidRPr="0043772A" w:rsidRDefault="00495DEF" w:rsidP="00495DEF">
      <w:pPr>
        <w:suppressLineNumbers/>
        <w:suppressAutoHyphens/>
        <w:adjustRightInd w:val="0"/>
        <w:snapToGrid w:val="0"/>
        <w:spacing w:before="120" w:after="120"/>
        <w:rPr>
          <w:rFonts w:eastAsiaTheme="minorEastAsia"/>
          <w:snapToGrid w:val="0"/>
          <w:kern w:val="22"/>
          <w:sz w:val="24"/>
        </w:rPr>
      </w:pPr>
      <w:r w:rsidRPr="0043772A">
        <w:rPr>
          <w:rFonts w:eastAsiaTheme="minorEastAsia"/>
          <w:b/>
          <w:snapToGrid w:val="0"/>
          <w:kern w:val="22"/>
          <w:sz w:val="24"/>
        </w:rPr>
        <w:t xml:space="preserve">A.2.3.1 </w:t>
      </w:r>
      <w:r w:rsidRPr="0043772A">
        <w:rPr>
          <w:rFonts w:eastAsiaTheme="minorEastAsia"/>
          <w:snapToGrid w:val="0"/>
          <w:kern w:val="22"/>
          <w:sz w:val="24"/>
        </w:rPr>
        <w:t>保护或恢复分布在森林、草场、农田、城市地区和自然廊道等自然地区的授粉媒介和生境，因时因地地提供更多花卉资源和筑巢地；</w:t>
      </w:r>
    </w:p>
    <w:p w:rsidR="00495DEF" w:rsidRPr="0043772A" w:rsidRDefault="00495DEF" w:rsidP="00495DEF">
      <w:pPr>
        <w:suppressLineNumbers/>
        <w:suppressAutoHyphens/>
        <w:adjustRightInd w:val="0"/>
        <w:snapToGrid w:val="0"/>
        <w:spacing w:before="120" w:after="120"/>
        <w:rPr>
          <w:rFonts w:eastAsiaTheme="minorEastAsia"/>
          <w:snapToGrid w:val="0"/>
          <w:kern w:val="22"/>
          <w:sz w:val="24"/>
        </w:rPr>
      </w:pPr>
      <w:r w:rsidRPr="0043772A">
        <w:rPr>
          <w:rFonts w:eastAsiaTheme="minorEastAsia"/>
          <w:b/>
          <w:snapToGrid w:val="0"/>
          <w:kern w:val="22"/>
          <w:sz w:val="24"/>
        </w:rPr>
        <w:t>A.2.3.2</w:t>
      </w:r>
      <w:r w:rsidRPr="0043772A">
        <w:rPr>
          <w:rFonts w:eastAsiaTheme="minorEastAsia"/>
          <w:snapToGrid w:val="0"/>
          <w:kern w:val="22"/>
          <w:sz w:val="24"/>
        </w:rPr>
        <w:t>确认在全球、区域、国家和地方各级保护授粉媒介珍稀和濒危物种的重点领域和措施</w:t>
      </w:r>
      <w:r w:rsidRPr="0043772A">
        <w:rPr>
          <w:rFonts w:eastAsiaTheme="minorEastAsia"/>
          <w:b/>
          <w:snapToGrid w:val="0"/>
          <w:kern w:val="22"/>
          <w:sz w:val="24"/>
        </w:rPr>
        <w:t>；</w:t>
      </w:r>
    </w:p>
    <w:p w:rsidR="00495DEF" w:rsidRPr="0043772A" w:rsidRDefault="00495DEF" w:rsidP="00495DEF">
      <w:pPr>
        <w:suppressLineNumbers/>
        <w:suppressAutoHyphens/>
        <w:adjustRightInd w:val="0"/>
        <w:snapToGrid w:val="0"/>
        <w:spacing w:before="120" w:after="120"/>
        <w:rPr>
          <w:rFonts w:eastAsiaTheme="minorEastAsia"/>
          <w:snapToGrid w:val="0"/>
          <w:kern w:val="22"/>
          <w:sz w:val="24"/>
        </w:rPr>
      </w:pPr>
      <w:r w:rsidRPr="0043772A">
        <w:rPr>
          <w:rFonts w:eastAsiaTheme="minorEastAsia"/>
          <w:b/>
          <w:snapToGrid w:val="0"/>
          <w:kern w:val="22"/>
          <w:sz w:val="24"/>
        </w:rPr>
        <w:t>A.2.3.3</w:t>
      </w:r>
      <w:r w:rsidRPr="0043772A">
        <w:rPr>
          <w:rFonts w:eastAsiaTheme="minorEastAsia"/>
          <w:snapToGrid w:val="0"/>
          <w:kern w:val="22"/>
          <w:sz w:val="24"/>
        </w:rPr>
        <w:t>促进建立自然保护区和半自然区，并对其进行授粉媒介友好型管理，以及促进粮农组织</w:t>
      </w:r>
      <w:r w:rsidRPr="0043772A">
        <w:rPr>
          <w:rStyle w:val="ng-binding"/>
          <w:rFonts w:eastAsiaTheme="minorEastAsia"/>
          <w:sz w:val="24"/>
        </w:rPr>
        <w:t>全球重要农业传统体系等</w:t>
      </w:r>
      <w:r w:rsidRPr="0043772A">
        <w:rPr>
          <w:rFonts w:eastAsiaTheme="minorEastAsia"/>
          <w:snapToGrid w:val="0"/>
          <w:kern w:val="22"/>
          <w:sz w:val="24"/>
        </w:rPr>
        <w:t>其他现场选项；</w:t>
      </w:r>
    </w:p>
    <w:p w:rsidR="00495DEF" w:rsidRPr="0043772A" w:rsidRDefault="00495DEF" w:rsidP="00495DEF">
      <w:pPr>
        <w:suppressLineNumbers/>
        <w:suppressAutoHyphens/>
        <w:adjustRightInd w:val="0"/>
        <w:snapToGrid w:val="0"/>
        <w:spacing w:before="120" w:after="120"/>
        <w:rPr>
          <w:rFonts w:eastAsiaTheme="minorEastAsia"/>
          <w:snapToGrid w:val="0"/>
          <w:kern w:val="22"/>
          <w:sz w:val="24"/>
        </w:rPr>
      </w:pPr>
      <w:r w:rsidRPr="0043772A">
        <w:rPr>
          <w:rFonts w:eastAsiaTheme="minorEastAsia"/>
          <w:b/>
          <w:snapToGrid w:val="0"/>
          <w:kern w:val="22"/>
          <w:sz w:val="24"/>
        </w:rPr>
        <w:t>A.2.3.4</w:t>
      </w:r>
      <w:r w:rsidRPr="0043772A">
        <w:rPr>
          <w:rFonts w:eastAsiaTheme="minorEastAsia"/>
          <w:snapToGrid w:val="0"/>
          <w:kern w:val="22"/>
          <w:sz w:val="24"/>
        </w:rPr>
        <w:t>推动公路和铁路沿线城市地区和服务用地倡议，开辟和维护绿地和空地，为授粉媒介提供花卉和筑巢资源，通过提高公众对授粉媒介对人们日常生活具有重要意义的认识，改善人与授粉媒介之间的关系；</w:t>
      </w:r>
    </w:p>
    <w:p w:rsidR="00495DEF" w:rsidRPr="0043772A" w:rsidRDefault="00495DEF" w:rsidP="00495DEF">
      <w:pPr>
        <w:suppressLineNumbers/>
        <w:suppressAutoHyphens/>
        <w:adjustRightInd w:val="0"/>
        <w:snapToGrid w:val="0"/>
        <w:spacing w:before="120" w:after="120"/>
        <w:rPr>
          <w:rFonts w:eastAsiaTheme="minorEastAsia"/>
          <w:snapToGrid w:val="0"/>
          <w:kern w:val="22"/>
          <w:sz w:val="24"/>
        </w:rPr>
      </w:pPr>
      <w:r w:rsidRPr="0043772A">
        <w:rPr>
          <w:rFonts w:eastAsiaTheme="minorEastAsia"/>
          <w:b/>
          <w:snapToGrid w:val="0"/>
          <w:kern w:val="22"/>
          <w:sz w:val="24"/>
        </w:rPr>
        <w:t>A.2.3.5</w:t>
      </w:r>
      <w:r w:rsidRPr="0043772A">
        <w:rPr>
          <w:rFonts w:eastAsiaTheme="minorEastAsia"/>
          <w:snapToGrid w:val="0"/>
          <w:kern w:val="22"/>
          <w:sz w:val="24"/>
        </w:rPr>
        <w:t>管理火的使用和火灾控制措施，以减少火灾对授粉媒介和相关生态系统的负面影响</w:t>
      </w:r>
      <w:r w:rsidRPr="0043772A">
        <w:rPr>
          <w:rFonts w:eastAsiaTheme="minorEastAsia"/>
          <w:b/>
          <w:snapToGrid w:val="0"/>
          <w:kern w:val="22"/>
          <w:sz w:val="24"/>
        </w:rPr>
        <w:t>。</w:t>
      </w:r>
    </w:p>
    <w:p w:rsidR="00495DEF" w:rsidRPr="0043772A" w:rsidRDefault="00495DEF" w:rsidP="00495DEF">
      <w:pPr>
        <w:suppressLineNumbers/>
        <w:suppressAutoHyphens/>
        <w:adjustRightInd w:val="0"/>
        <w:snapToGrid w:val="0"/>
        <w:spacing w:before="240" w:after="120"/>
        <w:rPr>
          <w:rFonts w:eastAsiaTheme="minorEastAsia"/>
          <w:b/>
          <w:snapToGrid w:val="0"/>
          <w:kern w:val="22"/>
          <w:sz w:val="24"/>
        </w:rPr>
      </w:pPr>
      <w:r w:rsidRPr="0043772A">
        <w:rPr>
          <w:rFonts w:eastAsiaTheme="minorEastAsia"/>
          <w:b/>
          <w:snapToGrid w:val="0"/>
          <w:kern w:val="22"/>
          <w:sz w:val="24"/>
        </w:rPr>
        <w:t>A2.4</w:t>
      </w:r>
      <w:r w:rsidRPr="0043772A">
        <w:rPr>
          <w:rFonts w:eastAsiaTheme="minorEastAsia"/>
          <w:b/>
          <w:snapToGrid w:val="0"/>
          <w:kern w:val="22"/>
          <w:sz w:val="24"/>
        </w:rPr>
        <w:t>促进可持续养蜂和蜜蜂健康</w:t>
      </w:r>
    </w:p>
    <w:p w:rsidR="00495DEF" w:rsidRPr="0043772A" w:rsidRDefault="00495DEF" w:rsidP="00495DEF">
      <w:pPr>
        <w:suppressLineNumbers/>
        <w:suppressAutoHyphens/>
        <w:adjustRightInd w:val="0"/>
        <w:snapToGrid w:val="0"/>
        <w:spacing w:before="120" w:after="120"/>
        <w:rPr>
          <w:rFonts w:eastAsiaTheme="minorEastAsia"/>
          <w:snapToGrid w:val="0"/>
          <w:kern w:val="22"/>
          <w:sz w:val="24"/>
        </w:rPr>
      </w:pPr>
      <w:r w:rsidRPr="0043772A">
        <w:rPr>
          <w:rFonts w:eastAsiaTheme="minorEastAsia"/>
          <w:b/>
          <w:snapToGrid w:val="0"/>
          <w:kern w:val="22"/>
          <w:sz w:val="24"/>
        </w:rPr>
        <w:t>A.2.4.1</w:t>
      </w:r>
      <w:r w:rsidRPr="0043772A">
        <w:rPr>
          <w:rFonts w:eastAsiaTheme="minorEastAsia"/>
          <w:snapToGrid w:val="0"/>
          <w:kern w:val="22"/>
          <w:sz w:val="24"/>
        </w:rPr>
        <w:t>通过促进花卉资源更好地利用和饲养，</w:t>
      </w:r>
      <w:r w:rsidRPr="0043772A">
        <w:rPr>
          <w:rFonts w:eastAsiaTheme="minorEastAsia"/>
          <w:sz w:val="24"/>
        </w:rPr>
        <w:t>减少受管理的授粉媒介对甘露和花粉替代品的依赖，增进授粉媒介的营养素和对病虫害的免疫力</w:t>
      </w:r>
      <w:r w:rsidRPr="0043772A">
        <w:rPr>
          <w:rFonts w:eastAsiaTheme="minorEastAsia"/>
          <w:b/>
          <w:snapToGrid w:val="0"/>
          <w:kern w:val="22"/>
          <w:sz w:val="24"/>
        </w:rPr>
        <w:t>；</w:t>
      </w:r>
    </w:p>
    <w:p w:rsidR="00495DEF" w:rsidRPr="0043772A" w:rsidRDefault="00495DEF" w:rsidP="00495DEF">
      <w:pPr>
        <w:suppressLineNumbers/>
        <w:suppressAutoHyphens/>
        <w:adjustRightInd w:val="0"/>
        <w:snapToGrid w:val="0"/>
        <w:spacing w:before="120" w:after="120"/>
        <w:rPr>
          <w:rFonts w:eastAsiaTheme="minorEastAsia"/>
          <w:snapToGrid w:val="0"/>
          <w:kern w:val="22"/>
          <w:sz w:val="24"/>
        </w:rPr>
      </w:pPr>
      <w:r w:rsidRPr="0043772A">
        <w:rPr>
          <w:rFonts w:eastAsiaTheme="minorEastAsia"/>
          <w:b/>
          <w:snapToGrid w:val="0"/>
          <w:kern w:val="22"/>
          <w:sz w:val="24"/>
        </w:rPr>
        <w:lastRenderedPageBreak/>
        <w:t>A.2.4.2</w:t>
      </w:r>
      <w:r w:rsidRPr="0043772A">
        <w:rPr>
          <w:rFonts w:eastAsiaTheme="minorEastAsia"/>
          <w:snapToGrid w:val="0"/>
          <w:kern w:val="22"/>
          <w:sz w:val="24"/>
        </w:rPr>
        <w:t>最大限度减少感染和传播病原体、疾病和外来入侵物种的风险，尽可能减少因蜂巢运输而使受管理授粉媒介承受的压力</w:t>
      </w:r>
      <w:r w:rsidRPr="0043772A">
        <w:rPr>
          <w:rFonts w:eastAsiaTheme="minorEastAsia"/>
          <w:b/>
          <w:snapToGrid w:val="0"/>
          <w:kern w:val="22"/>
          <w:sz w:val="24"/>
        </w:rPr>
        <w:t>；</w:t>
      </w:r>
    </w:p>
    <w:p w:rsidR="00495DEF" w:rsidRPr="0043772A" w:rsidRDefault="00495DEF" w:rsidP="00495DEF">
      <w:pPr>
        <w:suppressLineNumbers/>
        <w:suppressAutoHyphens/>
        <w:adjustRightInd w:val="0"/>
        <w:snapToGrid w:val="0"/>
        <w:spacing w:before="120" w:after="120"/>
        <w:rPr>
          <w:rFonts w:eastAsiaTheme="minorEastAsia"/>
          <w:snapToGrid w:val="0"/>
          <w:kern w:val="22"/>
          <w:sz w:val="24"/>
        </w:rPr>
      </w:pPr>
      <w:r w:rsidRPr="0043772A">
        <w:rPr>
          <w:rFonts w:eastAsiaTheme="minorEastAsia"/>
          <w:b/>
          <w:snapToGrid w:val="0"/>
          <w:kern w:val="22"/>
          <w:sz w:val="24"/>
        </w:rPr>
        <w:t>A.2.4.3</w:t>
      </w:r>
      <w:r w:rsidRPr="0043772A">
        <w:rPr>
          <w:rFonts w:eastAsiaTheme="minorEastAsia"/>
          <w:snapToGrid w:val="0"/>
          <w:kern w:val="22"/>
          <w:sz w:val="24"/>
        </w:rPr>
        <w:t>规范受管理的授粉媒介的市场；</w:t>
      </w:r>
    </w:p>
    <w:p w:rsidR="00495DEF" w:rsidRPr="0043772A" w:rsidRDefault="00495DEF" w:rsidP="00495DEF">
      <w:pPr>
        <w:suppressLineNumbers/>
        <w:suppressAutoHyphens/>
        <w:adjustRightInd w:val="0"/>
        <w:snapToGrid w:val="0"/>
        <w:spacing w:before="120" w:after="120"/>
        <w:rPr>
          <w:rFonts w:eastAsiaTheme="minorEastAsia"/>
          <w:b/>
          <w:snapToGrid w:val="0"/>
          <w:kern w:val="22"/>
          <w:sz w:val="24"/>
        </w:rPr>
      </w:pPr>
      <w:r w:rsidRPr="0043772A">
        <w:rPr>
          <w:rFonts w:eastAsiaTheme="minorEastAsia"/>
          <w:b/>
          <w:snapToGrid w:val="0"/>
          <w:kern w:val="22"/>
          <w:sz w:val="24"/>
        </w:rPr>
        <w:t xml:space="preserve">A.2.4.4 </w:t>
      </w:r>
      <w:r w:rsidRPr="0043772A">
        <w:rPr>
          <w:rFonts w:eastAsiaTheme="minorEastAsia"/>
          <w:snapToGrid w:val="0"/>
          <w:kern w:val="22"/>
          <w:sz w:val="24"/>
        </w:rPr>
        <w:t>制定措施保护受管理授粉媒介的遗传多样性；</w:t>
      </w:r>
    </w:p>
    <w:p w:rsidR="00495DEF" w:rsidRPr="0043772A" w:rsidRDefault="00495DEF" w:rsidP="00495DEF">
      <w:pPr>
        <w:suppressLineNumbers/>
        <w:suppressAutoHyphens/>
        <w:adjustRightInd w:val="0"/>
        <w:snapToGrid w:val="0"/>
        <w:spacing w:before="120" w:after="120"/>
        <w:rPr>
          <w:rFonts w:eastAsiaTheme="minorEastAsia"/>
          <w:snapToGrid w:val="0"/>
          <w:kern w:val="22"/>
          <w:sz w:val="24"/>
        </w:rPr>
      </w:pPr>
      <w:r w:rsidRPr="0043772A">
        <w:rPr>
          <w:rFonts w:eastAsiaTheme="minorEastAsia"/>
          <w:b/>
          <w:snapToGrid w:val="0"/>
          <w:kern w:val="22"/>
          <w:sz w:val="24"/>
        </w:rPr>
        <w:t>A.2.4.5</w:t>
      </w:r>
      <w:r w:rsidRPr="0043772A">
        <w:rPr>
          <w:rFonts w:eastAsiaTheme="minorEastAsia"/>
          <w:snapToGrid w:val="0"/>
          <w:kern w:val="22"/>
          <w:sz w:val="24"/>
        </w:rPr>
        <w:t>推广与蜜蜂、无刺蜜蜂和其他受管理的授粉媒介管理创新做法有关的当地和传统知识</w:t>
      </w:r>
      <w:r w:rsidRPr="0043772A">
        <w:rPr>
          <w:rFonts w:eastAsiaTheme="minorEastAsia"/>
          <w:b/>
          <w:snapToGrid w:val="0"/>
          <w:sz w:val="24"/>
        </w:rPr>
        <w:t>。</w:t>
      </w:r>
    </w:p>
    <w:p w:rsidR="00495DEF" w:rsidRPr="00413272" w:rsidRDefault="00495DEF" w:rsidP="00495DEF">
      <w:pPr>
        <w:suppressAutoHyphens/>
        <w:snapToGrid w:val="0"/>
        <w:spacing w:before="120" w:after="120"/>
        <w:jc w:val="center"/>
        <w:rPr>
          <w:rFonts w:ascii="SimSun" w:hAnsi="SimSun"/>
          <w:b/>
          <w:snapToGrid w:val="0"/>
          <w:sz w:val="24"/>
        </w:rPr>
      </w:pPr>
      <w:r w:rsidRPr="00413272">
        <w:rPr>
          <w:rFonts w:ascii="SimSun" w:hAnsi="SimSun" w:hint="eastAsia"/>
          <w:b/>
          <w:snapToGrid w:val="0"/>
          <w:sz w:val="24"/>
        </w:rPr>
        <w:t>构成部分</w:t>
      </w:r>
      <w:r w:rsidRPr="0033385D">
        <w:rPr>
          <w:b/>
          <w:snapToGrid w:val="0"/>
          <w:sz w:val="24"/>
        </w:rPr>
        <w:t xml:space="preserve"> 3</w:t>
      </w:r>
      <w:r w:rsidRPr="00413272">
        <w:rPr>
          <w:rFonts w:ascii="SimSun" w:hAnsi="SimSun"/>
          <w:b/>
          <w:snapToGrid w:val="0"/>
          <w:sz w:val="24"/>
        </w:rPr>
        <w:t xml:space="preserve">: </w:t>
      </w:r>
      <w:r w:rsidRPr="00413272">
        <w:rPr>
          <w:rFonts w:ascii="SimSun" w:hAnsi="SimSun" w:hint="eastAsia"/>
          <w:b/>
          <w:snapToGrid w:val="0"/>
          <w:sz w:val="24"/>
        </w:rPr>
        <w:t>民间社会和私营部门的参与</w:t>
      </w:r>
    </w:p>
    <w:p w:rsidR="00495DEF" w:rsidRPr="002922B2" w:rsidRDefault="00495DEF" w:rsidP="00495DEF">
      <w:pPr>
        <w:suppressAutoHyphens/>
        <w:snapToGrid w:val="0"/>
        <w:spacing w:before="120" w:after="120"/>
        <w:rPr>
          <w:rFonts w:ascii="KaiTi" w:eastAsia="KaiTi" w:hAnsi="KaiTi"/>
          <w:snapToGrid w:val="0"/>
          <w:sz w:val="24"/>
        </w:rPr>
      </w:pPr>
      <w:r w:rsidRPr="002922B2">
        <w:rPr>
          <w:rFonts w:ascii="KaiTi" w:eastAsia="KaiTi" w:hAnsi="KaiTi" w:hint="eastAsia"/>
          <w:snapToGrid w:val="0"/>
          <w:sz w:val="24"/>
        </w:rPr>
        <w:t>业务目标</w:t>
      </w:r>
    </w:p>
    <w:p w:rsidR="00495DEF" w:rsidRPr="00413272" w:rsidRDefault="00495DEF" w:rsidP="00495DEF">
      <w:pPr>
        <w:suppressAutoHyphens/>
        <w:snapToGrid w:val="0"/>
        <w:spacing w:before="120" w:after="120"/>
        <w:ind w:firstLine="720"/>
        <w:rPr>
          <w:rFonts w:ascii="SimSun" w:hAnsi="SimSun"/>
          <w:snapToGrid w:val="0"/>
          <w:sz w:val="24"/>
        </w:rPr>
      </w:pPr>
      <w:r w:rsidRPr="00413272">
        <w:rPr>
          <w:rFonts w:ascii="SimSun" w:hAnsi="SimSun" w:hint="eastAsia"/>
          <w:snapToGrid w:val="0"/>
          <w:kern w:val="22"/>
          <w:sz w:val="24"/>
        </w:rPr>
        <w:t>促进对民众和私营部门的教育，提高其对授粉媒介及其生境价值的认识；改进决策工具；采取切实行动，降低和防止授粉媒介减少的现象。</w:t>
      </w:r>
    </w:p>
    <w:p w:rsidR="00495DEF" w:rsidRPr="002922B2" w:rsidRDefault="00495DEF" w:rsidP="00495DEF">
      <w:pPr>
        <w:suppressAutoHyphens/>
        <w:snapToGrid w:val="0"/>
        <w:spacing w:before="120" w:after="120"/>
        <w:ind w:firstLine="720"/>
        <w:rPr>
          <w:rFonts w:ascii="KaiTi" w:eastAsia="KaiTi" w:hAnsi="KaiTi"/>
          <w:snapToGrid w:val="0"/>
          <w:sz w:val="24"/>
        </w:rPr>
      </w:pPr>
      <w:r w:rsidRPr="002922B2">
        <w:rPr>
          <w:rFonts w:ascii="KaiTi" w:eastAsia="KaiTi" w:hAnsi="KaiTi" w:hint="eastAsia"/>
          <w:snapToGrid w:val="0"/>
          <w:sz w:val="24"/>
        </w:rPr>
        <w:t>理论依据</w:t>
      </w:r>
    </w:p>
    <w:p w:rsidR="00495DEF" w:rsidRPr="00413272" w:rsidRDefault="00495DEF" w:rsidP="00495DEF">
      <w:pPr>
        <w:suppressLineNumbers/>
        <w:suppressAutoHyphens/>
        <w:adjustRightInd w:val="0"/>
        <w:snapToGrid w:val="0"/>
        <w:spacing w:before="120" w:after="120"/>
        <w:ind w:firstLine="720"/>
        <w:rPr>
          <w:rFonts w:ascii="SimSun" w:hAnsi="SimSun"/>
          <w:snapToGrid w:val="0"/>
          <w:kern w:val="22"/>
          <w:sz w:val="24"/>
        </w:rPr>
      </w:pPr>
      <w:r w:rsidRPr="00413272">
        <w:rPr>
          <w:rFonts w:ascii="SimSun" w:hAnsi="SimSun" w:hint="eastAsia"/>
          <w:snapToGrid w:val="0"/>
          <w:sz w:val="24"/>
        </w:rPr>
        <w:t>全球农业越来越依赖授粉媒介，这种依赖大多与野生授粉媒介有关。</w:t>
      </w:r>
      <w:r>
        <w:rPr>
          <w:rFonts w:ascii="SimSun" w:hAnsi="SimSun" w:hint="eastAsia"/>
          <w:snapToGrid w:val="0"/>
          <w:sz w:val="24"/>
        </w:rPr>
        <w:t>大众</w:t>
      </w:r>
      <w:r w:rsidRPr="00413272">
        <w:rPr>
          <w:rFonts w:ascii="SimSun" w:hAnsi="SimSun" w:hint="eastAsia"/>
          <w:snapToGrid w:val="0"/>
          <w:sz w:val="24"/>
        </w:rPr>
        <w:t>和私营部门，包括食品和化妆品</w:t>
      </w:r>
      <w:r>
        <w:rPr>
          <w:rFonts w:ascii="SimSun" w:hAnsi="SimSun" w:hint="eastAsia"/>
          <w:snapToGrid w:val="0"/>
          <w:sz w:val="24"/>
        </w:rPr>
        <w:t>行业以及</w:t>
      </w:r>
      <w:r w:rsidRPr="00413272">
        <w:rPr>
          <w:rFonts w:ascii="SimSun" w:hAnsi="SimSun" w:hint="eastAsia"/>
          <w:snapToGrid w:val="0"/>
          <w:sz w:val="24"/>
        </w:rPr>
        <w:t>供应</w:t>
      </w:r>
      <w:r w:rsidRPr="00226587">
        <w:rPr>
          <w:rFonts w:ascii="SimSun" w:hAnsi="SimSun" w:hint="eastAsia"/>
          <w:snapToGrid w:val="0"/>
          <w:spacing w:val="-20"/>
          <w:sz w:val="24"/>
        </w:rPr>
        <w:t>链管理部门，对保护授粉媒介表现出越来越大的兴趣。在此基础上</w:t>
      </w:r>
      <w:r w:rsidRPr="00413272">
        <w:rPr>
          <w:rFonts w:ascii="SimSun" w:hAnsi="SimSun" w:hint="eastAsia"/>
          <w:snapToGrid w:val="0"/>
          <w:sz w:val="24"/>
        </w:rPr>
        <w:t>，需要为民间社会和私营部门</w:t>
      </w:r>
      <w:r>
        <w:rPr>
          <w:rFonts w:ascii="SimSun" w:hAnsi="SimSun" w:hint="eastAsia"/>
          <w:snapToGrid w:val="0"/>
          <w:sz w:val="24"/>
        </w:rPr>
        <w:t>详细设计</w:t>
      </w:r>
      <w:r w:rsidRPr="00413272">
        <w:rPr>
          <w:rFonts w:ascii="SimSun" w:hAnsi="SimSun" w:hint="eastAsia"/>
          <w:snapToGrid w:val="0"/>
          <w:sz w:val="24"/>
        </w:rPr>
        <w:t>保护授粉媒介及其生境的具有针对性的行动。加深对授粉服务易受损失以及</w:t>
      </w:r>
      <w:r>
        <w:rPr>
          <w:rFonts w:ascii="SimSun" w:hAnsi="SimSun" w:hint="eastAsia"/>
          <w:snapToGrid w:val="0"/>
          <w:sz w:val="24"/>
        </w:rPr>
        <w:t>对</w:t>
      </w:r>
      <w:r w:rsidRPr="00413272">
        <w:rPr>
          <w:rFonts w:ascii="SimSun" w:hAnsi="SimSun" w:hint="eastAsia"/>
          <w:snapToGrid w:val="0"/>
          <w:sz w:val="24"/>
        </w:rPr>
        <w:t>这些</w:t>
      </w:r>
      <w:r>
        <w:rPr>
          <w:rFonts w:ascii="SimSun" w:hAnsi="SimSun" w:hint="eastAsia"/>
          <w:snapToGrid w:val="0"/>
          <w:sz w:val="24"/>
        </w:rPr>
        <w:t>功能和</w:t>
      </w:r>
      <w:r w:rsidRPr="00413272">
        <w:rPr>
          <w:rFonts w:ascii="SimSun" w:hAnsi="SimSun" w:hint="eastAsia"/>
          <w:snapToGrid w:val="0"/>
          <w:sz w:val="24"/>
        </w:rPr>
        <w:t>服务的价值的了解将有助于推动此类举措</w:t>
      </w:r>
      <w:r w:rsidRPr="00413272">
        <w:rPr>
          <w:rFonts w:ascii="SimSun" w:hAnsi="SimSun" w:hint="eastAsia"/>
          <w:sz w:val="24"/>
        </w:rPr>
        <w:t>。</w:t>
      </w:r>
    </w:p>
    <w:p w:rsidR="00495DEF" w:rsidRPr="002922B2" w:rsidRDefault="00495DEF" w:rsidP="00495DEF">
      <w:pPr>
        <w:suppressAutoHyphens/>
        <w:snapToGrid w:val="0"/>
        <w:spacing w:before="120" w:after="120"/>
        <w:rPr>
          <w:rFonts w:ascii="KaiTi" w:eastAsia="KaiTi" w:hAnsi="KaiTi"/>
          <w:snapToGrid w:val="0"/>
          <w:sz w:val="24"/>
        </w:rPr>
      </w:pPr>
      <w:r w:rsidRPr="002922B2">
        <w:rPr>
          <w:rFonts w:ascii="KaiTi" w:eastAsia="KaiTi" w:hAnsi="KaiTi" w:hint="eastAsia"/>
          <w:snapToGrid w:val="0"/>
          <w:sz w:val="24"/>
        </w:rPr>
        <w:t>活动</w:t>
      </w:r>
    </w:p>
    <w:p w:rsidR="00495DEF" w:rsidRPr="0043772A" w:rsidRDefault="00495DEF" w:rsidP="00495DEF">
      <w:pPr>
        <w:suppressAutoHyphens/>
        <w:snapToGrid w:val="0"/>
        <w:spacing w:before="120" w:after="120"/>
        <w:rPr>
          <w:rFonts w:eastAsiaTheme="minorEastAsia"/>
          <w:b/>
          <w:sz w:val="24"/>
          <w:lang w:eastAsia="de-DE"/>
        </w:rPr>
      </w:pPr>
      <w:r w:rsidRPr="0043772A">
        <w:rPr>
          <w:rFonts w:eastAsiaTheme="minorEastAsia"/>
          <w:b/>
          <w:sz w:val="24"/>
          <w:lang w:eastAsia="de-DE"/>
        </w:rPr>
        <w:t>A3.1</w:t>
      </w:r>
      <w:r w:rsidRPr="0043772A">
        <w:rPr>
          <w:rFonts w:eastAsiaTheme="minorEastAsia"/>
          <w:b/>
          <w:sz w:val="24"/>
          <w:lang w:eastAsia="de-DE"/>
        </w:rPr>
        <w:t>提高公众</w:t>
      </w:r>
      <w:r w:rsidRPr="0043772A">
        <w:rPr>
          <w:rFonts w:eastAsiaTheme="minorEastAsia"/>
          <w:b/>
          <w:sz w:val="24"/>
        </w:rPr>
        <w:t>认识</w:t>
      </w:r>
    </w:p>
    <w:p w:rsidR="00495DEF" w:rsidRPr="0043772A" w:rsidRDefault="00495DEF" w:rsidP="00495DEF">
      <w:pPr>
        <w:suppressAutoHyphens/>
        <w:snapToGrid w:val="0"/>
        <w:spacing w:before="120" w:after="120"/>
        <w:rPr>
          <w:rFonts w:eastAsiaTheme="minorEastAsia"/>
          <w:sz w:val="24"/>
        </w:rPr>
      </w:pPr>
      <w:r w:rsidRPr="0043772A">
        <w:rPr>
          <w:rFonts w:eastAsiaTheme="minorEastAsia"/>
          <w:b/>
          <w:sz w:val="24"/>
          <w:lang w:eastAsia="de-DE"/>
        </w:rPr>
        <w:t>A.3.1.1</w:t>
      </w:r>
      <w:r w:rsidRPr="0043772A">
        <w:rPr>
          <w:rFonts w:eastAsiaTheme="minorEastAsia"/>
          <w:snapToGrid w:val="0"/>
          <w:kern w:val="22"/>
          <w:sz w:val="24"/>
        </w:rPr>
        <w:t>促使农民、推广人员、养蜂人、非政府组织、学校、大众媒体和消费者组织等特定的主要利益相关群体参与提高认识活动，了解授粉媒介和授粉对健康、福祉和生计的价值</w:t>
      </w:r>
      <w:r w:rsidRPr="0043772A">
        <w:rPr>
          <w:rFonts w:eastAsiaTheme="minorEastAsia"/>
          <w:sz w:val="24"/>
        </w:rPr>
        <w:t>；</w:t>
      </w:r>
    </w:p>
    <w:p w:rsidR="00495DEF" w:rsidRPr="0043772A" w:rsidRDefault="00495DEF" w:rsidP="00495DEF">
      <w:pPr>
        <w:suppressAutoHyphens/>
        <w:snapToGrid w:val="0"/>
        <w:spacing w:before="120" w:after="120"/>
        <w:rPr>
          <w:rFonts w:eastAsiaTheme="minorEastAsia"/>
          <w:sz w:val="24"/>
        </w:rPr>
      </w:pPr>
      <w:r w:rsidRPr="0043772A">
        <w:rPr>
          <w:rFonts w:eastAsiaTheme="minorEastAsia"/>
          <w:b/>
          <w:sz w:val="24"/>
          <w:lang w:eastAsia="de-DE"/>
        </w:rPr>
        <w:t>A.3.1.2</w:t>
      </w:r>
      <w:r w:rsidRPr="0043772A">
        <w:rPr>
          <w:rFonts w:eastAsiaTheme="minorEastAsia"/>
          <w:snapToGrid w:val="0"/>
          <w:kern w:val="22"/>
          <w:sz w:val="24"/>
        </w:rPr>
        <w:t>提高食品公司、化妆品制造商和供应链管理部门等私营部门对授粉功能和服务减少对其业务带来的风险以及保护授粉媒介产生的价值的认识</w:t>
      </w:r>
      <w:r w:rsidRPr="0043772A">
        <w:rPr>
          <w:rFonts w:eastAsiaTheme="minorEastAsia"/>
          <w:sz w:val="24"/>
        </w:rPr>
        <w:t>；</w:t>
      </w:r>
    </w:p>
    <w:p w:rsidR="00495DEF" w:rsidRPr="0043772A" w:rsidRDefault="00495DEF" w:rsidP="00495DEF">
      <w:pPr>
        <w:suppressAutoHyphens/>
        <w:snapToGrid w:val="0"/>
        <w:spacing w:before="120" w:after="120"/>
        <w:rPr>
          <w:rFonts w:eastAsiaTheme="minorEastAsia"/>
          <w:b/>
          <w:sz w:val="24"/>
          <w:lang w:eastAsia="de-DE"/>
        </w:rPr>
      </w:pPr>
      <w:r w:rsidRPr="0043772A">
        <w:rPr>
          <w:rFonts w:eastAsiaTheme="minorEastAsia"/>
          <w:b/>
          <w:sz w:val="24"/>
          <w:lang w:eastAsia="de-DE"/>
        </w:rPr>
        <w:t>A.3.1.3</w:t>
      </w:r>
      <w:r w:rsidRPr="0043772A">
        <w:rPr>
          <w:rFonts w:eastAsiaTheme="minorEastAsia"/>
          <w:snapToGrid w:val="0"/>
          <w:kern w:val="22"/>
          <w:sz w:val="24"/>
        </w:rPr>
        <w:t>促进大众包括农民和养蜂人应用技术和建立生物分类能力，以识别和区分授粉媒介和有害生物，最终有助于授粉媒介的数据收集</w:t>
      </w:r>
      <w:r w:rsidRPr="0043772A">
        <w:rPr>
          <w:rFonts w:eastAsiaTheme="minorEastAsia"/>
          <w:sz w:val="24"/>
        </w:rPr>
        <w:t>；</w:t>
      </w:r>
    </w:p>
    <w:p w:rsidR="00495DEF" w:rsidRPr="0043772A" w:rsidRDefault="00495DEF" w:rsidP="00495DEF">
      <w:pPr>
        <w:suppressAutoHyphens/>
        <w:snapToGrid w:val="0"/>
        <w:spacing w:before="120" w:after="120"/>
        <w:rPr>
          <w:rFonts w:eastAsiaTheme="minorEastAsia"/>
          <w:sz w:val="24"/>
          <w:lang w:eastAsia="de-DE"/>
        </w:rPr>
      </w:pPr>
      <w:r w:rsidRPr="0043772A">
        <w:rPr>
          <w:rFonts w:eastAsiaTheme="minorEastAsia"/>
          <w:b/>
          <w:sz w:val="24"/>
          <w:lang w:eastAsia="de-DE"/>
        </w:rPr>
        <w:t xml:space="preserve">A.3.1.4 </w:t>
      </w:r>
      <w:r w:rsidRPr="0043772A">
        <w:rPr>
          <w:rFonts w:eastAsiaTheme="minorEastAsia"/>
          <w:sz w:val="24"/>
          <w:lang w:eastAsia="de-DE"/>
        </w:rPr>
        <w:t>支持促进利益相关方参与保护和可持续利用授粉媒介的运动和活动，包括联合</w:t>
      </w:r>
      <w:r w:rsidRPr="0043772A">
        <w:rPr>
          <w:rFonts w:eastAsiaTheme="minorEastAsia"/>
          <w:snapToGrid w:val="0"/>
          <w:kern w:val="22"/>
          <w:sz w:val="24"/>
        </w:rPr>
        <w:t>国大会</w:t>
      </w:r>
      <w:r w:rsidRPr="0043772A">
        <w:rPr>
          <w:rFonts w:eastAsiaTheme="minorEastAsia"/>
          <w:snapToGrid w:val="0"/>
          <w:kern w:val="22"/>
          <w:sz w:val="24"/>
          <w:lang w:val="en-US"/>
        </w:rPr>
        <w:t>规定</w:t>
      </w:r>
      <w:r w:rsidRPr="0043772A">
        <w:rPr>
          <w:rFonts w:eastAsiaTheme="minorEastAsia"/>
          <w:snapToGrid w:val="0"/>
          <w:kern w:val="22"/>
          <w:sz w:val="24"/>
        </w:rPr>
        <w:t>的</w:t>
      </w:r>
      <w:r w:rsidRPr="0043772A">
        <w:rPr>
          <w:rFonts w:eastAsiaTheme="minorEastAsia"/>
          <w:snapToGrid w:val="0"/>
          <w:kern w:val="22"/>
          <w:sz w:val="24"/>
        </w:rPr>
        <w:t>5</w:t>
      </w:r>
      <w:r w:rsidRPr="0043772A">
        <w:rPr>
          <w:rFonts w:eastAsiaTheme="minorEastAsia"/>
          <w:snapToGrid w:val="0"/>
          <w:kern w:val="22"/>
          <w:sz w:val="24"/>
        </w:rPr>
        <w:t>月</w:t>
      </w:r>
      <w:r w:rsidRPr="0043772A">
        <w:rPr>
          <w:rFonts w:eastAsiaTheme="minorEastAsia"/>
          <w:snapToGrid w:val="0"/>
          <w:kern w:val="22"/>
          <w:sz w:val="24"/>
        </w:rPr>
        <w:t>20</w:t>
      </w:r>
      <w:r w:rsidRPr="0043772A">
        <w:rPr>
          <w:rFonts w:eastAsiaTheme="minorEastAsia"/>
          <w:snapToGrid w:val="0"/>
          <w:kern w:val="22"/>
          <w:sz w:val="24"/>
        </w:rPr>
        <w:t>日世界蜜蜂日的纪念活动。</w:t>
      </w:r>
      <w:r w:rsidRPr="007E192A">
        <w:rPr>
          <w:rStyle w:val="FootnoteReference"/>
          <w:rFonts w:eastAsiaTheme="minorEastAsia"/>
          <w:sz w:val="24"/>
          <w:u w:val="none"/>
          <w:vertAlign w:val="superscript"/>
          <w:lang w:eastAsia="de-DE"/>
        </w:rPr>
        <w:footnoteReference w:id="8"/>
      </w:r>
      <w:r w:rsidRPr="007E192A">
        <w:rPr>
          <w:rFonts w:eastAsiaTheme="minorEastAsia"/>
          <w:snapToGrid w:val="0"/>
          <w:kern w:val="22"/>
          <w:sz w:val="24"/>
          <w:vertAlign w:val="superscript"/>
        </w:rPr>
        <w:t xml:space="preserve"> </w:t>
      </w:r>
    </w:p>
    <w:p w:rsidR="00495DEF" w:rsidRPr="0043772A" w:rsidRDefault="00495DEF" w:rsidP="00495DEF">
      <w:pPr>
        <w:suppressAutoHyphens/>
        <w:snapToGrid w:val="0"/>
        <w:spacing w:before="120" w:after="120"/>
        <w:rPr>
          <w:rFonts w:eastAsiaTheme="minorEastAsia"/>
          <w:b/>
          <w:sz w:val="24"/>
          <w:lang w:eastAsia="de-DE"/>
        </w:rPr>
      </w:pPr>
      <w:r w:rsidRPr="0043772A">
        <w:rPr>
          <w:rFonts w:eastAsiaTheme="minorEastAsia"/>
          <w:b/>
          <w:sz w:val="24"/>
          <w:lang w:eastAsia="de-DE"/>
        </w:rPr>
        <w:t>A3.2</w:t>
      </w:r>
      <w:r w:rsidRPr="0043772A">
        <w:rPr>
          <w:rFonts w:eastAsiaTheme="minorEastAsia"/>
          <w:b/>
          <w:sz w:val="24"/>
        </w:rPr>
        <w:t>大众行动</w:t>
      </w:r>
    </w:p>
    <w:p w:rsidR="00495DEF" w:rsidRPr="0043772A" w:rsidRDefault="00495DEF" w:rsidP="00495DEF">
      <w:pPr>
        <w:suppressAutoHyphens/>
        <w:snapToGrid w:val="0"/>
        <w:spacing w:before="120" w:after="120"/>
        <w:rPr>
          <w:rFonts w:eastAsiaTheme="minorEastAsia"/>
          <w:sz w:val="24"/>
        </w:rPr>
      </w:pPr>
      <w:r w:rsidRPr="0043772A">
        <w:rPr>
          <w:rFonts w:eastAsiaTheme="minorEastAsia"/>
          <w:b/>
          <w:sz w:val="24"/>
          <w:lang w:eastAsia="de-DE"/>
        </w:rPr>
        <w:t>A.3.2.1</w:t>
      </w:r>
      <w:r w:rsidRPr="0043772A">
        <w:rPr>
          <w:rFonts w:eastAsiaTheme="minorEastAsia"/>
          <w:snapToGrid w:val="0"/>
          <w:kern w:val="22"/>
          <w:sz w:val="24"/>
        </w:rPr>
        <w:t>促进儿童和学生的教育活动，使其认识到授粉媒介和生态系统功能及服务在日常生活中的重要性，并提出促进保护授粉媒介的方法；</w:t>
      </w:r>
    </w:p>
    <w:p w:rsidR="00495DEF" w:rsidRPr="0043772A" w:rsidRDefault="00495DEF" w:rsidP="00495DEF">
      <w:pPr>
        <w:suppressAutoHyphens/>
        <w:snapToGrid w:val="0"/>
        <w:spacing w:before="120" w:after="120"/>
        <w:rPr>
          <w:rFonts w:eastAsiaTheme="minorEastAsia"/>
          <w:sz w:val="24"/>
        </w:rPr>
      </w:pPr>
      <w:r w:rsidRPr="0043772A">
        <w:rPr>
          <w:rFonts w:eastAsiaTheme="minorEastAsia"/>
          <w:b/>
          <w:sz w:val="24"/>
          <w:lang w:eastAsia="de-DE"/>
        </w:rPr>
        <w:t>A.3.2.2</w:t>
      </w:r>
      <w:r w:rsidRPr="0043772A">
        <w:rPr>
          <w:rFonts w:eastAsiaTheme="minorEastAsia"/>
          <w:snapToGrid w:val="0"/>
          <w:kern w:val="22"/>
          <w:sz w:val="24"/>
        </w:rPr>
        <w:t>将授粉媒介及生态系统功能和服务主题纳入农业、环境和经济课程；</w:t>
      </w:r>
    </w:p>
    <w:p w:rsidR="00495DEF" w:rsidRPr="0043772A" w:rsidRDefault="00495DEF" w:rsidP="00495DEF">
      <w:pPr>
        <w:suppressAutoHyphens/>
        <w:snapToGrid w:val="0"/>
        <w:spacing w:before="120" w:after="120"/>
        <w:rPr>
          <w:rFonts w:eastAsiaTheme="minorEastAsia"/>
          <w:sz w:val="24"/>
        </w:rPr>
      </w:pPr>
      <w:r w:rsidRPr="0043772A">
        <w:rPr>
          <w:rFonts w:eastAsiaTheme="minorEastAsia"/>
          <w:b/>
          <w:sz w:val="24"/>
          <w:lang w:eastAsia="de-DE"/>
        </w:rPr>
        <w:t>A.3.2.3</w:t>
      </w:r>
      <w:r w:rsidRPr="0043772A">
        <w:rPr>
          <w:rFonts w:eastAsiaTheme="minorEastAsia"/>
          <w:snapToGrid w:val="0"/>
          <w:kern w:val="22"/>
          <w:sz w:val="24"/>
        </w:rPr>
        <w:t>支持公民科学项目，以生成授粉媒介和授粉数据，并提高民间社会组织对授粉媒介作用的认识</w:t>
      </w:r>
      <w:r w:rsidRPr="0043772A">
        <w:rPr>
          <w:rFonts w:eastAsiaTheme="minorEastAsia"/>
          <w:sz w:val="24"/>
        </w:rPr>
        <w:t>；</w:t>
      </w:r>
    </w:p>
    <w:p w:rsidR="00495DEF" w:rsidRPr="0043772A" w:rsidRDefault="00495DEF" w:rsidP="00495DEF">
      <w:pPr>
        <w:suppressAutoHyphens/>
        <w:snapToGrid w:val="0"/>
        <w:spacing w:before="120" w:after="120"/>
        <w:rPr>
          <w:rFonts w:eastAsiaTheme="minorEastAsia"/>
          <w:sz w:val="24"/>
        </w:rPr>
      </w:pPr>
      <w:r w:rsidRPr="0043772A">
        <w:rPr>
          <w:rFonts w:eastAsiaTheme="minorEastAsia"/>
          <w:b/>
          <w:sz w:val="24"/>
          <w:lang w:eastAsia="de-DE"/>
        </w:rPr>
        <w:lastRenderedPageBreak/>
        <w:t>A.3.2.4</w:t>
      </w:r>
      <w:r w:rsidRPr="0043772A">
        <w:rPr>
          <w:rFonts w:eastAsiaTheme="minorEastAsia"/>
          <w:snapToGrid w:val="0"/>
          <w:kern w:val="22"/>
          <w:sz w:val="24"/>
        </w:rPr>
        <w:t>鼓励开展网络建设活动，包括举行会议、</w:t>
      </w:r>
      <w:r w:rsidRPr="007E192A">
        <w:rPr>
          <w:rStyle w:val="FootnoteReference"/>
          <w:rFonts w:eastAsiaTheme="minorEastAsia"/>
          <w:sz w:val="24"/>
          <w:u w:val="none"/>
          <w:vertAlign w:val="superscript"/>
          <w:lang w:eastAsia="de-DE"/>
        </w:rPr>
        <w:footnoteReference w:id="9"/>
      </w:r>
      <w:r w:rsidRPr="007E192A">
        <w:rPr>
          <w:rStyle w:val="FootnoteReference"/>
          <w:sz w:val="24"/>
          <w:u w:val="none"/>
          <w:vertAlign w:val="superscript"/>
          <w:lang w:eastAsia="de-DE"/>
        </w:rPr>
        <w:t xml:space="preserve"> </w:t>
      </w:r>
      <w:r w:rsidRPr="0043772A">
        <w:rPr>
          <w:rFonts w:eastAsiaTheme="minorEastAsia"/>
          <w:snapToGrid w:val="0"/>
          <w:kern w:val="22"/>
          <w:sz w:val="24"/>
        </w:rPr>
        <w:t>通过方便所有相关利益攸关利用的公共辩论、门户网站、社交媒体和信息网，传播有关授粉媒介和授粉的信息</w:t>
      </w:r>
      <w:r w:rsidRPr="0043772A">
        <w:rPr>
          <w:rFonts w:eastAsiaTheme="minorEastAsia"/>
          <w:b/>
          <w:sz w:val="24"/>
        </w:rPr>
        <w:t>。</w:t>
      </w:r>
    </w:p>
    <w:p w:rsidR="00495DEF" w:rsidRPr="0043772A" w:rsidRDefault="00495DEF" w:rsidP="00495DEF">
      <w:pPr>
        <w:suppressAutoHyphens/>
        <w:snapToGrid w:val="0"/>
        <w:spacing w:before="120" w:after="120"/>
        <w:rPr>
          <w:rFonts w:eastAsiaTheme="minorEastAsia"/>
          <w:b/>
          <w:sz w:val="24"/>
          <w:lang w:eastAsia="de-DE"/>
        </w:rPr>
      </w:pPr>
      <w:r w:rsidRPr="0043772A">
        <w:rPr>
          <w:rFonts w:eastAsiaTheme="minorEastAsia"/>
          <w:b/>
          <w:sz w:val="24"/>
          <w:lang w:eastAsia="de-DE"/>
        </w:rPr>
        <w:t>A3.3</w:t>
      </w:r>
      <w:r w:rsidRPr="0043772A">
        <w:rPr>
          <w:rFonts w:eastAsiaTheme="minorEastAsia"/>
          <w:b/>
          <w:sz w:val="24"/>
        </w:rPr>
        <w:t>企业</w:t>
      </w:r>
      <w:r w:rsidRPr="0043772A">
        <w:rPr>
          <w:rFonts w:eastAsiaTheme="minorEastAsia"/>
          <w:b/>
          <w:sz w:val="24"/>
          <w:lang w:eastAsia="de-DE"/>
        </w:rPr>
        <w:t>和供应链参与</w:t>
      </w:r>
    </w:p>
    <w:p w:rsidR="00495DEF" w:rsidRPr="0043772A" w:rsidRDefault="00495DEF" w:rsidP="00495DEF">
      <w:pPr>
        <w:suppressAutoHyphens/>
        <w:snapToGrid w:val="0"/>
        <w:spacing w:before="120" w:after="120"/>
        <w:rPr>
          <w:rFonts w:eastAsiaTheme="minorEastAsia"/>
          <w:sz w:val="24"/>
        </w:rPr>
      </w:pPr>
      <w:r w:rsidRPr="0043772A">
        <w:rPr>
          <w:rFonts w:eastAsiaTheme="minorEastAsia"/>
          <w:b/>
          <w:sz w:val="24"/>
          <w:lang w:eastAsia="de-DE"/>
        </w:rPr>
        <w:t>A.3.3.1</w:t>
      </w:r>
      <w:r w:rsidRPr="0043772A">
        <w:rPr>
          <w:rFonts w:eastAsiaTheme="minorEastAsia"/>
          <w:snapToGrid w:val="0"/>
          <w:kern w:val="22"/>
          <w:sz w:val="24"/>
        </w:rPr>
        <w:t>提供决策工具，协助不同利益相关方赋予授粉媒介和授粉价值，包括非货币价值；</w:t>
      </w:r>
    </w:p>
    <w:p w:rsidR="00495DEF" w:rsidRPr="0043772A" w:rsidRDefault="00495DEF" w:rsidP="00495DEF">
      <w:pPr>
        <w:suppressAutoHyphens/>
        <w:snapToGrid w:val="0"/>
        <w:spacing w:before="120" w:after="120"/>
        <w:rPr>
          <w:rFonts w:eastAsiaTheme="minorEastAsia"/>
          <w:sz w:val="24"/>
          <w:lang w:eastAsia="de-DE"/>
        </w:rPr>
      </w:pPr>
      <w:r w:rsidRPr="0043772A">
        <w:rPr>
          <w:rFonts w:eastAsiaTheme="minorEastAsia"/>
          <w:b/>
          <w:sz w:val="24"/>
          <w:lang w:eastAsia="de-DE"/>
        </w:rPr>
        <w:t>A.3.3.2</w:t>
      </w:r>
      <w:r w:rsidRPr="0043772A">
        <w:rPr>
          <w:rFonts w:eastAsiaTheme="minorEastAsia"/>
          <w:snapToGrid w:val="0"/>
          <w:kern w:val="22"/>
          <w:sz w:val="24"/>
        </w:rPr>
        <w:t>制定模式，将授粉媒介和授粉纳入农业和粮食生产的实际成本核算</w:t>
      </w:r>
      <w:r w:rsidRPr="0043772A">
        <w:rPr>
          <w:rFonts w:eastAsiaTheme="minorEastAsia"/>
          <w:bCs/>
          <w:sz w:val="24"/>
          <w:lang w:val="en-US"/>
        </w:rPr>
        <w:t>；</w:t>
      </w:r>
    </w:p>
    <w:p w:rsidR="00495DEF" w:rsidRPr="00226587" w:rsidRDefault="00495DEF" w:rsidP="00495DEF">
      <w:pPr>
        <w:suppressAutoHyphens/>
        <w:snapToGrid w:val="0"/>
        <w:spacing w:before="120" w:after="120"/>
        <w:rPr>
          <w:rFonts w:eastAsiaTheme="minorEastAsia"/>
          <w:sz w:val="24"/>
          <w:lang w:eastAsia="de-DE"/>
        </w:rPr>
      </w:pPr>
      <w:r w:rsidRPr="0043772A">
        <w:rPr>
          <w:rFonts w:eastAsiaTheme="minorEastAsia"/>
          <w:b/>
          <w:snapToGrid w:val="0"/>
          <w:kern w:val="22"/>
          <w:sz w:val="24"/>
        </w:rPr>
        <w:t>A.3.3.3</w:t>
      </w:r>
      <w:r w:rsidRPr="00226587">
        <w:rPr>
          <w:rFonts w:eastAsiaTheme="minorEastAsia"/>
          <w:snapToGrid w:val="0"/>
          <w:kern w:val="22"/>
          <w:sz w:val="24"/>
        </w:rPr>
        <w:t>加深私营部门对商品和商品对各种授粉媒介依赖性（农作物产量和质量）之间的联系的了解；</w:t>
      </w:r>
    </w:p>
    <w:p w:rsidR="00495DEF" w:rsidRPr="00226587" w:rsidRDefault="00495DEF" w:rsidP="00495DEF">
      <w:pPr>
        <w:suppressAutoHyphens/>
        <w:snapToGrid w:val="0"/>
        <w:spacing w:before="120" w:after="120"/>
        <w:rPr>
          <w:rFonts w:eastAsiaTheme="minorEastAsia"/>
          <w:sz w:val="24"/>
          <w:lang w:eastAsia="de-DE"/>
        </w:rPr>
      </w:pPr>
      <w:r w:rsidRPr="00226587">
        <w:rPr>
          <w:rFonts w:eastAsiaTheme="minorEastAsia"/>
          <w:b/>
          <w:snapToGrid w:val="0"/>
          <w:kern w:val="22"/>
          <w:sz w:val="24"/>
        </w:rPr>
        <w:t>A.3.3.4</w:t>
      </w:r>
      <w:r w:rsidRPr="00226587">
        <w:rPr>
          <w:rFonts w:eastAsiaTheme="minorEastAsia"/>
          <w:snapToGrid w:val="0"/>
          <w:kern w:val="22"/>
          <w:sz w:val="24"/>
        </w:rPr>
        <w:t>分享授粉缺失的证据、经济影响和对生计的影响，支持企业识别潜在风险，开展脆弱性评估，并采取授粉媒介友好型措施</w:t>
      </w:r>
      <w:r w:rsidRPr="00226587">
        <w:rPr>
          <w:rFonts w:eastAsiaTheme="minorEastAsia"/>
          <w:b/>
          <w:snapToGrid w:val="0"/>
          <w:kern w:val="22"/>
          <w:sz w:val="24"/>
        </w:rPr>
        <w:t>；</w:t>
      </w:r>
    </w:p>
    <w:p w:rsidR="00495DEF" w:rsidRPr="00226587" w:rsidRDefault="00495DEF" w:rsidP="00495DEF">
      <w:pPr>
        <w:suppressAutoHyphens/>
        <w:snapToGrid w:val="0"/>
        <w:spacing w:before="120" w:after="120"/>
        <w:rPr>
          <w:rFonts w:eastAsiaTheme="minorEastAsia"/>
          <w:sz w:val="24"/>
        </w:rPr>
      </w:pPr>
      <w:r w:rsidRPr="00226587">
        <w:rPr>
          <w:rFonts w:eastAsiaTheme="minorEastAsia"/>
          <w:b/>
          <w:snapToGrid w:val="0"/>
          <w:kern w:val="22"/>
          <w:sz w:val="24"/>
        </w:rPr>
        <w:t>A.3.3.5</w:t>
      </w:r>
      <w:r w:rsidRPr="00226587">
        <w:rPr>
          <w:rFonts w:eastAsiaTheme="minorEastAsia"/>
          <w:snapToGrid w:val="0"/>
          <w:kern w:val="22"/>
          <w:sz w:val="24"/>
        </w:rPr>
        <w:t>开发和分享授粉媒介友好型业务案例，供采取行动</w:t>
      </w:r>
      <w:r w:rsidRPr="00226587">
        <w:rPr>
          <w:rFonts w:eastAsiaTheme="minorEastAsia"/>
          <w:sz w:val="24"/>
        </w:rPr>
        <w:t>；</w:t>
      </w:r>
    </w:p>
    <w:p w:rsidR="00495DEF" w:rsidRPr="00226587" w:rsidRDefault="00495DEF" w:rsidP="00495DEF">
      <w:pPr>
        <w:suppressAutoHyphens/>
        <w:snapToGrid w:val="0"/>
        <w:spacing w:before="120" w:after="120"/>
        <w:rPr>
          <w:rFonts w:eastAsiaTheme="minorEastAsia"/>
          <w:b/>
          <w:snapToGrid w:val="0"/>
          <w:kern w:val="22"/>
          <w:sz w:val="24"/>
        </w:rPr>
      </w:pPr>
      <w:r w:rsidRPr="00226587">
        <w:rPr>
          <w:rFonts w:eastAsiaTheme="minorEastAsia"/>
          <w:b/>
          <w:snapToGrid w:val="0"/>
          <w:kern w:val="22"/>
          <w:sz w:val="24"/>
        </w:rPr>
        <w:t>A.3.3.6</w:t>
      </w:r>
      <w:r w:rsidRPr="00226587">
        <w:rPr>
          <w:rFonts w:eastAsiaTheme="minorEastAsia"/>
          <w:snapToGrid w:val="0"/>
          <w:kern w:val="22"/>
          <w:sz w:val="24"/>
        </w:rPr>
        <w:t>宣导使用生态标签、标准和消费者作出可能有利于授粉媒介的选择的重要性。</w:t>
      </w:r>
    </w:p>
    <w:p w:rsidR="00495DEF" w:rsidRPr="00413272" w:rsidRDefault="00495DEF" w:rsidP="00495DEF">
      <w:pPr>
        <w:jc w:val="center"/>
        <w:rPr>
          <w:rFonts w:ascii="SimSun" w:hAnsi="SimSun"/>
          <w:snapToGrid w:val="0"/>
          <w:sz w:val="24"/>
        </w:rPr>
      </w:pPr>
      <w:r w:rsidRPr="00413272">
        <w:rPr>
          <w:rFonts w:ascii="SimSun" w:hAnsi="SimSun" w:hint="eastAsia"/>
          <w:b/>
          <w:snapToGrid w:val="0"/>
          <w:sz w:val="24"/>
        </w:rPr>
        <w:t>构成部分</w:t>
      </w:r>
      <w:r w:rsidRPr="00413272">
        <w:rPr>
          <w:rFonts w:ascii="SimSun" w:hAnsi="SimSun"/>
          <w:b/>
          <w:snapToGrid w:val="0"/>
          <w:sz w:val="24"/>
        </w:rPr>
        <w:t xml:space="preserve">4: </w:t>
      </w:r>
      <w:r w:rsidRPr="00413272">
        <w:rPr>
          <w:rFonts w:ascii="SimSun" w:hAnsi="SimSun" w:hint="eastAsia"/>
          <w:b/>
          <w:snapToGrid w:val="0"/>
          <w:sz w:val="24"/>
        </w:rPr>
        <w:t>监测、研究和评估</w:t>
      </w:r>
    </w:p>
    <w:p w:rsidR="00495DEF" w:rsidRPr="000100AB" w:rsidRDefault="00495DEF" w:rsidP="00495DEF">
      <w:pPr>
        <w:widowControl w:val="0"/>
        <w:suppressAutoHyphens/>
        <w:adjustRightInd w:val="0"/>
        <w:snapToGrid w:val="0"/>
        <w:spacing w:before="120" w:after="120"/>
        <w:rPr>
          <w:rFonts w:ascii="KaiTi" w:eastAsia="KaiTi" w:hAnsi="KaiTi"/>
          <w:snapToGrid w:val="0"/>
          <w:sz w:val="24"/>
        </w:rPr>
      </w:pPr>
      <w:r w:rsidRPr="000100AB">
        <w:rPr>
          <w:rFonts w:ascii="KaiTi" w:eastAsia="KaiTi" w:hAnsi="KaiTi" w:hint="eastAsia"/>
          <w:snapToGrid w:val="0"/>
          <w:sz w:val="24"/>
        </w:rPr>
        <w:t>业务目标</w:t>
      </w:r>
    </w:p>
    <w:p w:rsidR="00495DEF" w:rsidRPr="00413272" w:rsidRDefault="00495DEF" w:rsidP="00495DEF">
      <w:pPr>
        <w:widowControl w:val="0"/>
        <w:suppressAutoHyphens/>
        <w:adjustRightInd w:val="0"/>
        <w:snapToGrid w:val="0"/>
        <w:spacing w:before="120" w:after="120"/>
        <w:ind w:firstLine="720"/>
        <w:rPr>
          <w:rFonts w:ascii="SimSun" w:hAnsi="SimSun"/>
          <w:b/>
          <w:snapToGrid w:val="0"/>
          <w:sz w:val="24"/>
        </w:rPr>
      </w:pPr>
      <w:r w:rsidRPr="00413272">
        <w:rPr>
          <w:rFonts w:ascii="SimSun" w:hAnsi="SimSun" w:hint="eastAsia"/>
          <w:snapToGrid w:val="0"/>
          <w:sz w:val="24"/>
        </w:rPr>
        <w:t>监测和评估各区域授粉媒介、授粉及其生境的现况和趋势，通过促进相关研究等方式，弥补知识差距</w:t>
      </w:r>
      <w:r w:rsidRPr="00413272">
        <w:rPr>
          <w:rFonts w:ascii="SimSun" w:hAnsi="SimSun" w:hint="eastAsia"/>
          <w:sz w:val="24"/>
        </w:rPr>
        <w:t>。</w:t>
      </w:r>
    </w:p>
    <w:p w:rsidR="00495DEF" w:rsidRPr="000100AB" w:rsidRDefault="00495DEF" w:rsidP="00495DEF">
      <w:pPr>
        <w:widowControl w:val="0"/>
        <w:suppressAutoHyphens/>
        <w:adjustRightInd w:val="0"/>
        <w:snapToGrid w:val="0"/>
        <w:spacing w:before="120" w:after="120"/>
        <w:rPr>
          <w:rFonts w:ascii="KaiTi" w:eastAsia="KaiTi" w:hAnsi="KaiTi"/>
          <w:snapToGrid w:val="0"/>
          <w:sz w:val="24"/>
        </w:rPr>
      </w:pPr>
      <w:r w:rsidRPr="000100AB">
        <w:rPr>
          <w:rFonts w:ascii="KaiTi" w:eastAsia="KaiTi" w:hAnsi="KaiTi" w:hint="eastAsia"/>
          <w:snapToGrid w:val="0"/>
          <w:sz w:val="24"/>
        </w:rPr>
        <w:t>理论依据</w:t>
      </w:r>
    </w:p>
    <w:p w:rsidR="00495DEF" w:rsidRPr="00413272" w:rsidRDefault="00495DEF" w:rsidP="00495DEF">
      <w:pPr>
        <w:widowControl w:val="0"/>
        <w:suppressAutoHyphens/>
        <w:adjustRightInd w:val="0"/>
        <w:snapToGrid w:val="0"/>
        <w:spacing w:before="120" w:after="120"/>
        <w:ind w:firstLine="720"/>
        <w:rPr>
          <w:rFonts w:ascii="SimSun" w:hAnsi="SimSun"/>
          <w:snapToGrid w:val="0"/>
          <w:sz w:val="24"/>
        </w:rPr>
      </w:pPr>
      <w:r w:rsidRPr="00413272">
        <w:rPr>
          <w:rFonts w:ascii="SimSun" w:hAnsi="SimSun" w:hint="eastAsia"/>
          <w:bCs/>
          <w:snapToGrid w:val="0"/>
          <w:sz w:val="24"/>
        </w:rPr>
        <w:t>有必要对授粉媒介</w:t>
      </w:r>
      <w:r>
        <w:rPr>
          <w:rFonts w:ascii="SimSun" w:hAnsi="SimSun" w:hint="eastAsia"/>
          <w:bCs/>
          <w:snapToGrid w:val="0"/>
          <w:sz w:val="24"/>
        </w:rPr>
        <w:t>及</w:t>
      </w:r>
      <w:r w:rsidRPr="00413272">
        <w:rPr>
          <w:rFonts w:ascii="SimSun" w:hAnsi="SimSun" w:hint="eastAsia"/>
          <w:bCs/>
          <w:snapToGrid w:val="0"/>
          <w:sz w:val="24"/>
        </w:rPr>
        <w:t>授粉</w:t>
      </w:r>
      <w:r>
        <w:rPr>
          <w:rFonts w:ascii="SimSun" w:hAnsi="SimSun" w:hint="eastAsia"/>
          <w:bCs/>
          <w:snapToGrid w:val="0"/>
          <w:sz w:val="24"/>
        </w:rPr>
        <w:t>功能和</w:t>
      </w:r>
      <w:r w:rsidRPr="00413272">
        <w:rPr>
          <w:rFonts w:ascii="SimSun" w:hAnsi="SimSun" w:hint="eastAsia"/>
          <w:bCs/>
          <w:snapToGrid w:val="0"/>
          <w:sz w:val="24"/>
        </w:rPr>
        <w:t>服务的现状和趋势、保护和可持续利用授粉媒介的措施以及这些措施的成果进行监测和评估，以便为适应性管理提供信息。应鼓励学术和研究机构、相关国际组织和网络在考虑到传统知识的同时，进行进一步研究，弥补知识差距和扩大研究范围，把更多种类的授粉媒介涵盖在内，支持全球、区域、国家、国家以下和地方各级进行协调一致的监测工作，并进行相关的能力建设，特别是发展中国家，这些国家迄今</w:t>
      </w:r>
      <w:r>
        <w:rPr>
          <w:rFonts w:ascii="SimSun" w:hAnsi="SimSun" w:hint="eastAsia"/>
          <w:bCs/>
          <w:snapToGrid w:val="0"/>
          <w:sz w:val="24"/>
        </w:rPr>
        <w:t>很少开展</w:t>
      </w:r>
      <w:r w:rsidRPr="00413272">
        <w:rPr>
          <w:rFonts w:ascii="SimSun" w:hAnsi="SimSun" w:hint="eastAsia"/>
          <w:bCs/>
          <w:snapToGrid w:val="0"/>
          <w:sz w:val="24"/>
        </w:rPr>
        <w:t>研究和监测</w:t>
      </w:r>
      <w:r>
        <w:rPr>
          <w:rFonts w:ascii="SimSun" w:hAnsi="SimSun" w:hint="eastAsia"/>
          <w:bCs/>
          <w:snapToGrid w:val="0"/>
          <w:sz w:val="24"/>
        </w:rPr>
        <w:t>方面的</w:t>
      </w:r>
      <w:r w:rsidRPr="00413272">
        <w:rPr>
          <w:rFonts w:ascii="SimSun" w:hAnsi="SimSun" w:hint="eastAsia"/>
          <w:bCs/>
          <w:snapToGrid w:val="0"/>
          <w:sz w:val="24"/>
        </w:rPr>
        <w:t>工作</w:t>
      </w:r>
      <w:r w:rsidRPr="00413272">
        <w:rPr>
          <w:rFonts w:ascii="SimSun" w:hAnsi="SimSun" w:hint="eastAsia"/>
          <w:snapToGrid w:val="0"/>
          <w:sz w:val="24"/>
        </w:rPr>
        <w:t>。</w:t>
      </w:r>
    </w:p>
    <w:p w:rsidR="00495DEF" w:rsidRPr="000100AB" w:rsidRDefault="00495DEF" w:rsidP="00495DEF">
      <w:pPr>
        <w:widowControl w:val="0"/>
        <w:suppressAutoHyphens/>
        <w:adjustRightInd w:val="0"/>
        <w:snapToGrid w:val="0"/>
        <w:spacing w:before="120" w:after="120"/>
        <w:rPr>
          <w:rFonts w:ascii="KaiTi" w:eastAsia="KaiTi" w:hAnsi="KaiTi"/>
          <w:snapToGrid w:val="0"/>
          <w:sz w:val="24"/>
        </w:rPr>
      </w:pPr>
      <w:r w:rsidRPr="000100AB">
        <w:rPr>
          <w:rFonts w:ascii="KaiTi" w:eastAsia="KaiTi" w:hAnsi="KaiTi" w:hint="eastAsia"/>
          <w:snapToGrid w:val="0"/>
          <w:sz w:val="24"/>
        </w:rPr>
        <w:t>活动</w:t>
      </w:r>
    </w:p>
    <w:p w:rsidR="00495DEF" w:rsidRPr="0043772A" w:rsidRDefault="00495DEF" w:rsidP="00495DEF">
      <w:pPr>
        <w:widowControl w:val="0"/>
        <w:suppressLineNumbers/>
        <w:suppressAutoHyphens/>
        <w:adjustRightInd w:val="0"/>
        <w:snapToGrid w:val="0"/>
        <w:spacing w:before="120" w:after="120"/>
        <w:rPr>
          <w:rFonts w:eastAsiaTheme="minorEastAsia"/>
          <w:b/>
          <w:sz w:val="24"/>
          <w:lang w:eastAsia="de-DE"/>
        </w:rPr>
      </w:pPr>
      <w:r w:rsidRPr="0043772A">
        <w:rPr>
          <w:rFonts w:eastAsiaTheme="minorEastAsia"/>
          <w:b/>
          <w:snapToGrid w:val="0"/>
          <w:kern w:val="22"/>
          <w:sz w:val="24"/>
        </w:rPr>
        <w:t>A4.1</w:t>
      </w:r>
      <w:r w:rsidRPr="0043772A">
        <w:rPr>
          <w:rFonts w:eastAsiaTheme="minorEastAsia"/>
          <w:b/>
          <w:sz w:val="24"/>
        </w:rPr>
        <w:t>监测</w:t>
      </w:r>
    </w:p>
    <w:p w:rsidR="00495DEF" w:rsidRPr="0043772A" w:rsidRDefault="00495DEF" w:rsidP="00495DEF">
      <w:pPr>
        <w:widowControl w:val="0"/>
        <w:suppressLineNumbers/>
        <w:suppressAutoHyphens/>
        <w:adjustRightInd w:val="0"/>
        <w:snapToGrid w:val="0"/>
        <w:spacing w:before="120" w:after="120"/>
        <w:rPr>
          <w:rFonts w:eastAsiaTheme="minorEastAsia"/>
          <w:b/>
          <w:snapToGrid w:val="0"/>
          <w:kern w:val="22"/>
          <w:sz w:val="24"/>
        </w:rPr>
      </w:pPr>
      <w:r w:rsidRPr="0043772A">
        <w:rPr>
          <w:rFonts w:eastAsiaTheme="minorEastAsia"/>
          <w:b/>
          <w:snapToGrid w:val="0"/>
          <w:kern w:val="22"/>
          <w:sz w:val="24"/>
        </w:rPr>
        <w:t>A.4.1.1</w:t>
      </w:r>
      <w:r w:rsidRPr="0043772A">
        <w:rPr>
          <w:rFonts w:eastAsiaTheme="minorEastAsia"/>
          <w:snapToGrid w:val="0"/>
          <w:kern w:val="22"/>
          <w:sz w:val="24"/>
        </w:rPr>
        <w:t>监测授粉媒介的现状和趋势，特别关注目前缺乏数据的那些地区；</w:t>
      </w:r>
    </w:p>
    <w:p w:rsidR="00495DEF" w:rsidRPr="0043772A" w:rsidRDefault="00495DEF" w:rsidP="00495DEF">
      <w:pPr>
        <w:suppressLineNumbers/>
        <w:suppressAutoHyphens/>
        <w:adjustRightInd w:val="0"/>
        <w:snapToGrid w:val="0"/>
        <w:spacing w:before="120" w:after="120"/>
        <w:rPr>
          <w:rFonts w:eastAsiaTheme="minorEastAsia"/>
          <w:snapToGrid w:val="0"/>
          <w:kern w:val="22"/>
          <w:sz w:val="24"/>
        </w:rPr>
      </w:pPr>
      <w:r w:rsidRPr="0043772A">
        <w:rPr>
          <w:rFonts w:eastAsiaTheme="minorEastAsia"/>
          <w:b/>
          <w:snapToGrid w:val="0"/>
          <w:kern w:val="22"/>
          <w:sz w:val="24"/>
        </w:rPr>
        <w:t>A.4.1.2</w:t>
      </w:r>
      <w:r w:rsidRPr="0043772A">
        <w:rPr>
          <w:rFonts w:eastAsiaTheme="minorEastAsia"/>
          <w:snapToGrid w:val="0"/>
          <w:kern w:val="22"/>
          <w:sz w:val="24"/>
        </w:rPr>
        <w:t>量化作物和自然生态系统中授粉缺失的情况，在可行的情况下，特别关注目前缺乏数据的那些地区和农业系统，并应用一致和可比较的规程来确定最有效的干预措施；</w:t>
      </w:r>
    </w:p>
    <w:p w:rsidR="00495DEF" w:rsidRPr="0043772A" w:rsidRDefault="00495DEF" w:rsidP="00495DEF">
      <w:pPr>
        <w:suppressLineNumbers/>
        <w:suppressAutoHyphens/>
        <w:adjustRightInd w:val="0"/>
        <w:snapToGrid w:val="0"/>
        <w:spacing w:before="120" w:after="120"/>
        <w:rPr>
          <w:rFonts w:eastAsiaTheme="minorEastAsia"/>
          <w:snapToGrid w:val="0"/>
          <w:kern w:val="22"/>
          <w:sz w:val="24"/>
        </w:rPr>
      </w:pPr>
      <w:r w:rsidRPr="0043772A">
        <w:rPr>
          <w:rFonts w:eastAsiaTheme="minorEastAsia"/>
          <w:b/>
          <w:snapToGrid w:val="0"/>
          <w:kern w:val="22"/>
          <w:sz w:val="24"/>
        </w:rPr>
        <w:t>A.4.1.3</w:t>
      </w:r>
      <w:r w:rsidRPr="0043772A">
        <w:rPr>
          <w:rFonts w:eastAsiaTheme="minorEastAsia"/>
          <w:snapToGrid w:val="0"/>
          <w:kern w:val="22"/>
          <w:sz w:val="24"/>
        </w:rPr>
        <w:t>监测授粉媒介减少的驱动因素和威胁，以及它们的现况和趋势，以确定授粉媒介减少的可能原因；</w:t>
      </w:r>
    </w:p>
    <w:p w:rsidR="00495DEF" w:rsidRPr="0043772A" w:rsidRDefault="00495DEF" w:rsidP="00495DEF">
      <w:pPr>
        <w:suppressLineNumbers/>
        <w:suppressAutoHyphens/>
        <w:adjustRightInd w:val="0"/>
        <w:snapToGrid w:val="0"/>
        <w:spacing w:before="120" w:after="120"/>
        <w:rPr>
          <w:rFonts w:eastAsiaTheme="minorEastAsia"/>
          <w:snapToGrid w:val="0"/>
          <w:kern w:val="22"/>
          <w:sz w:val="24"/>
        </w:rPr>
      </w:pPr>
      <w:r w:rsidRPr="0043772A">
        <w:rPr>
          <w:rFonts w:eastAsiaTheme="minorEastAsia"/>
          <w:b/>
          <w:snapToGrid w:val="0"/>
          <w:kern w:val="22"/>
          <w:sz w:val="24"/>
        </w:rPr>
        <w:t>A.4.1.4</w:t>
      </w:r>
      <w:r w:rsidRPr="0043772A">
        <w:rPr>
          <w:rFonts w:eastAsiaTheme="minorEastAsia"/>
          <w:snapToGrid w:val="0"/>
          <w:kern w:val="22"/>
          <w:sz w:val="24"/>
        </w:rPr>
        <w:t>监测干预措施对保护授粉媒介及管理授粉功能和服务的效用；</w:t>
      </w:r>
    </w:p>
    <w:p w:rsidR="00495DEF" w:rsidRPr="0043772A" w:rsidRDefault="00495DEF" w:rsidP="00495DEF">
      <w:pPr>
        <w:suppressLineNumbers/>
        <w:suppressAutoHyphens/>
        <w:adjustRightInd w:val="0"/>
        <w:snapToGrid w:val="0"/>
        <w:spacing w:before="120" w:after="120"/>
        <w:rPr>
          <w:rFonts w:eastAsiaTheme="minorEastAsia"/>
          <w:snapToGrid w:val="0"/>
          <w:kern w:val="22"/>
          <w:sz w:val="24"/>
        </w:rPr>
      </w:pPr>
      <w:r w:rsidRPr="0043772A">
        <w:rPr>
          <w:rFonts w:eastAsiaTheme="minorEastAsia"/>
          <w:b/>
          <w:snapToGrid w:val="0"/>
          <w:kern w:val="22"/>
          <w:sz w:val="24"/>
        </w:rPr>
        <w:t>A.4.1.5</w:t>
      </w:r>
      <w:r w:rsidRPr="0043772A">
        <w:rPr>
          <w:rFonts w:eastAsiaTheme="minorEastAsia"/>
          <w:snapToGrid w:val="0"/>
          <w:kern w:val="22"/>
          <w:sz w:val="24"/>
        </w:rPr>
        <w:t>支持使用技术和开发方便用户的工具，如移动应用程序，通过公民科学促进对授粉媒介的监测；</w:t>
      </w:r>
    </w:p>
    <w:p w:rsidR="00495DEF" w:rsidRPr="0043772A" w:rsidRDefault="00495DEF" w:rsidP="00495DEF">
      <w:pPr>
        <w:suppressLineNumbers/>
        <w:suppressAutoHyphens/>
        <w:adjustRightInd w:val="0"/>
        <w:snapToGrid w:val="0"/>
        <w:spacing w:before="120" w:after="120"/>
        <w:rPr>
          <w:rFonts w:eastAsiaTheme="minorEastAsia"/>
          <w:sz w:val="24"/>
        </w:rPr>
      </w:pPr>
      <w:r w:rsidRPr="0043772A">
        <w:rPr>
          <w:rFonts w:eastAsiaTheme="minorEastAsia"/>
          <w:b/>
          <w:snapToGrid w:val="0"/>
          <w:kern w:val="22"/>
          <w:sz w:val="24"/>
        </w:rPr>
        <w:lastRenderedPageBreak/>
        <w:t>A.4.1.6</w:t>
      </w:r>
      <w:r w:rsidRPr="0043772A">
        <w:rPr>
          <w:rFonts w:eastAsiaTheme="minorEastAsia"/>
          <w:snapToGrid w:val="0"/>
          <w:kern w:val="22"/>
          <w:sz w:val="24"/>
        </w:rPr>
        <w:t>推动把授粉媒介和授粉作为生物多样性现状、生态系统健康、农业生产力和可持续发展的指标</w:t>
      </w:r>
      <w:r w:rsidRPr="0043772A">
        <w:rPr>
          <w:rFonts w:eastAsiaTheme="minorEastAsia"/>
          <w:sz w:val="24"/>
        </w:rPr>
        <w:t>。</w:t>
      </w:r>
    </w:p>
    <w:p w:rsidR="00495DEF" w:rsidRPr="0043772A" w:rsidRDefault="00495DEF" w:rsidP="00495DEF">
      <w:pPr>
        <w:suppressLineNumbers/>
        <w:suppressAutoHyphens/>
        <w:adjustRightInd w:val="0"/>
        <w:snapToGrid w:val="0"/>
        <w:spacing w:before="120" w:after="120"/>
        <w:rPr>
          <w:rFonts w:eastAsiaTheme="minorEastAsia"/>
          <w:snapToGrid w:val="0"/>
          <w:kern w:val="22"/>
          <w:sz w:val="24"/>
        </w:rPr>
      </w:pPr>
      <w:proofErr w:type="gramStart"/>
      <w:r w:rsidRPr="0043772A">
        <w:rPr>
          <w:rFonts w:eastAsiaTheme="minorEastAsia"/>
          <w:b/>
          <w:snapToGrid w:val="0"/>
          <w:kern w:val="22"/>
          <w:sz w:val="24"/>
        </w:rPr>
        <w:t xml:space="preserve">A.4.1.7  </w:t>
      </w:r>
      <w:r w:rsidRPr="0043772A">
        <w:rPr>
          <w:rFonts w:eastAsiaTheme="minorEastAsia"/>
          <w:b/>
          <w:snapToGrid w:val="0"/>
          <w:kern w:val="22"/>
          <w:sz w:val="24"/>
        </w:rPr>
        <w:t>促进制定自然生态系统中系统监测授粉媒介的方法</w:t>
      </w:r>
      <w:proofErr w:type="gramEnd"/>
      <w:r w:rsidRPr="0043772A">
        <w:rPr>
          <w:rFonts w:eastAsiaTheme="minorEastAsia"/>
          <w:b/>
          <w:snapToGrid w:val="0"/>
          <w:kern w:val="22"/>
          <w:sz w:val="24"/>
        </w:rPr>
        <w:t>，特别是在保护区或对保护和生产性生态系统具有重要意义的地点，以促进在当地一级制定详细的视觉地图，然后进行决策。</w:t>
      </w:r>
    </w:p>
    <w:p w:rsidR="00495DEF" w:rsidRPr="0043772A" w:rsidRDefault="00495DEF" w:rsidP="00495DEF">
      <w:pPr>
        <w:keepNext/>
        <w:suppressAutoHyphens/>
        <w:snapToGrid w:val="0"/>
        <w:spacing w:before="120" w:after="120"/>
        <w:rPr>
          <w:rFonts w:eastAsiaTheme="minorEastAsia"/>
          <w:b/>
          <w:sz w:val="24"/>
          <w:lang w:eastAsia="de-DE"/>
        </w:rPr>
      </w:pPr>
      <w:r w:rsidRPr="0043772A">
        <w:rPr>
          <w:rFonts w:eastAsiaTheme="minorEastAsia"/>
          <w:b/>
          <w:snapToGrid w:val="0"/>
          <w:kern w:val="22"/>
          <w:sz w:val="24"/>
        </w:rPr>
        <w:t>A4.2</w:t>
      </w:r>
      <w:r w:rsidRPr="0043772A">
        <w:rPr>
          <w:rFonts w:eastAsiaTheme="minorEastAsia"/>
          <w:b/>
          <w:sz w:val="24"/>
        </w:rPr>
        <w:t>研究</w:t>
      </w:r>
    </w:p>
    <w:p w:rsidR="00495DEF" w:rsidRPr="0043772A" w:rsidRDefault="00495DEF" w:rsidP="00495DEF">
      <w:pPr>
        <w:suppressAutoHyphens/>
        <w:snapToGrid w:val="0"/>
        <w:spacing w:before="120" w:after="120"/>
        <w:rPr>
          <w:rFonts w:eastAsiaTheme="minorEastAsia"/>
          <w:snapToGrid w:val="0"/>
          <w:kern w:val="22"/>
          <w:sz w:val="24"/>
        </w:rPr>
      </w:pPr>
      <w:r w:rsidRPr="0043772A">
        <w:rPr>
          <w:rFonts w:eastAsiaTheme="minorEastAsia"/>
          <w:b/>
          <w:snapToGrid w:val="0"/>
          <w:kern w:val="22"/>
          <w:sz w:val="24"/>
        </w:rPr>
        <w:t>A.4.2.1</w:t>
      </w:r>
      <w:r w:rsidRPr="0043772A">
        <w:rPr>
          <w:rFonts w:eastAsiaTheme="minorEastAsia"/>
          <w:snapToGrid w:val="0"/>
          <w:kern w:val="22"/>
          <w:sz w:val="24"/>
        </w:rPr>
        <w:t>促进研究自然生态系统中非蜂类群和其他野生授粉媒介物种及其提供的生态系统功能和服务，以便制定适当的管理政策和保护措施；</w:t>
      </w:r>
    </w:p>
    <w:p w:rsidR="00495DEF" w:rsidRPr="0043772A" w:rsidRDefault="00495DEF" w:rsidP="00495DEF">
      <w:pPr>
        <w:suppressAutoHyphens/>
        <w:snapToGrid w:val="0"/>
        <w:spacing w:before="120" w:after="120"/>
        <w:rPr>
          <w:rFonts w:eastAsiaTheme="minorEastAsia"/>
          <w:snapToGrid w:val="0"/>
          <w:kern w:val="22"/>
          <w:sz w:val="24"/>
        </w:rPr>
      </w:pPr>
      <w:r w:rsidRPr="0043772A">
        <w:rPr>
          <w:rFonts w:eastAsiaTheme="minorEastAsia"/>
          <w:b/>
          <w:snapToGrid w:val="0"/>
          <w:kern w:val="22"/>
          <w:sz w:val="24"/>
        </w:rPr>
        <w:t>A.4.2.2</w:t>
      </w:r>
      <w:r w:rsidRPr="0043772A">
        <w:rPr>
          <w:rFonts w:eastAsiaTheme="minorEastAsia"/>
          <w:snapToGrid w:val="0"/>
          <w:kern w:val="22"/>
          <w:sz w:val="24"/>
        </w:rPr>
        <w:t>在农业部门和相关企业进行关于授粉媒介减少造成的社会经济和环境影响的研究，包括参与式研究；</w:t>
      </w:r>
    </w:p>
    <w:p w:rsidR="00495DEF" w:rsidRPr="0043772A" w:rsidRDefault="00495DEF" w:rsidP="00495DEF">
      <w:pPr>
        <w:suppressAutoHyphens/>
        <w:snapToGrid w:val="0"/>
        <w:spacing w:before="120" w:after="120"/>
        <w:rPr>
          <w:rFonts w:eastAsiaTheme="minorEastAsia"/>
          <w:snapToGrid w:val="0"/>
          <w:kern w:val="22"/>
          <w:sz w:val="24"/>
        </w:rPr>
      </w:pPr>
      <w:r w:rsidRPr="0043772A">
        <w:rPr>
          <w:rFonts w:eastAsiaTheme="minorEastAsia"/>
          <w:b/>
          <w:snapToGrid w:val="0"/>
          <w:kern w:val="22"/>
          <w:sz w:val="24"/>
        </w:rPr>
        <w:t>A.4.2.3</w:t>
      </w:r>
      <w:r w:rsidRPr="0043772A">
        <w:rPr>
          <w:rFonts w:eastAsiaTheme="minorEastAsia"/>
          <w:snapToGrid w:val="0"/>
          <w:kern w:val="22"/>
          <w:sz w:val="24"/>
        </w:rPr>
        <w:t>促进授粉媒介样本研究、数据收集、管理和分析、储存和归纳整理规程，包括合作研究模式的统一；</w:t>
      </w:r>
    </w:p>
    <w:p w:rsidR="00495DEF" w:rsidRPr="00226587" w:rsidRDefault="00495DEF" w:rsidP="00495DEF">
      <w:pPr>
        <w:suppressLineNumbers/>
        <w:suppressAutoHyphens/>
        <w:adjustRightInd w:val="0"/>
        <w:snapToGrid w:val="0"/>
        <w:spacing w:before="120" w:after="120"/>
        <w:rPr>
          <w:rFonts w:eastAsiaTheme="minorEastAsia"/>
          <w:snapToGrid w:val="0"/>
          <w:kern w:val="22"/>
          <w:sz w:val="24"/>
        </w:rPr>
      </w:pPr>
      <w:r w:rsidRPr="00226587">
        <w:rPr>
          <w:rFonts w:eastAsiaTheme="minorEastAsia"/>
          <w:b/>
          <w:snapToGrid w:val="0"/>
          <w:kern w:val="22"/>
          <w:sz w:val="24"/>
        </w:rPr>
        <w:t>A.4.2.4</w:t>
      </w:r>
      <w:r w:rsidRPr="00226587">
        <w:rPr>
          <w:rFonts w:eastAsiaTheme="minorEastAsia"/>
          <w:snapToGrid w:val="0"/>
          <w:kern w:val="22"/>
          <w:sz w:val="24"/>
        </w:rPr>
        <w:t>促进和分享进一步的研究，以弥补知识差距，包括了解传粉媒介部分丧失对作物生产的影响</w:t>
      </w:r>
      <w:r w:rsidRPr="00226587">
        <w:rPr>
          <w:rFonts w:eastAsiaTheme="minorEastAsia"/>
          <w:snapToGrid w:val="0"/>
          <w:kern w:val="22"/>
          <w:sz w:val="24"/>
          <w:lang w:val="en-US"/>
        </w:rPr>
        <w:t>，处理</w:t>
      </w:r>
      <w:r w:rsidRPr="00226587">
        <w:rPr>
          <w:rFonts w:eastAsiaTheme="minorEastAsia"/>
          <w:snapToGrid w:val="0"/>
          <w:kern w:val="22"/>
          <w:sz w:val="24"/>
        </w:rPr>
        <w:t>农药（考虑到其可能的累积效应）、改性活生物体在实地条件下的潜在影响，包括对受管理和野生授粉媒介以及对群体和孤立的授粉媒介的不同影响，在不同气候条件下对农作物和非农作物授粉的短期和长期影响，以及授粉媒介损失对生态系统完整性及其维护的影响；</w:t>
      </w:r>
    </w:p>
    <w:p w:rsidR="00495DEF" w:rsidRPr="00226587" w:rsidRDefault="00495DEF" w:rsidP="00495DEF">
      <w:pPr>
        <w:suppressLineNumbers/>
        <w:suppressAutoHyphens/>
        <w:adjustRightInd w:val="0"/>
        <w:snapToGrid w:val="0"/>
        <w:spacing w:before="120" w:after="120"/>
        <w:rPr>
          <w:rFonts w:eastAsiaTheme="minorEastAsia"/>
          <w:snapToGrid w:val="0"/>
          <w:kern w:val="22"/>
          <w:sz w:val="24"/>
        </w:rPr>
      </w:pPr>
      <w:r w:rsidRPr="00226587">
        <w:rPr>
          <w:rFonts w:eastAsiaTheme="minorEastAsia"/>
          <w:b/>
          <w:snapToGrid w:val="0"/>
          <w:kern w:val="22"/>
          <w:sz w:val="24"/>
        </w:rPr>
        <w:t>A.4.2.5</w:t>
      </w:r>
      <w:r w:rsidRPr="00226587">
        <w:rPr>
          <w:rFonts w:eastAsiaTheme="minorEastAsia"/>
          <w:snapToGrid w:val="0"/>
          <w:kern w:val="22"/>
          <w:sz w:val="24"/>
        </w:rPr>
        <w:t>促进进一步的研究，确定如何将授粉媒介友好型做法纳入农耕制度，作为提高产量和质量以及将生物多样性纳入农业系统主流的努力的一部分；</w:t>
      </w:r>
    </w:p>
    <w:p w:rsidR="00495DEF" w:rsidRPr="00226587" w:rsidRDefault="00495DEF" w:rsidP="00495DEF">
      <w:pPr>
        <w:suppressLineNumbers/>
        <w:suppressAutoHyphens/>
        <w:adjustRightInd w:val="0"/>
        <w:snapToGrid w:val="0"/>
        <w:spacing w:before="120" w:after="120"/>
        <w:rPr>
          <w:rFonts w:eastAsiaTheme="minorEastAsia"/>
          <w:snapToGrid w:val="0"/>
          <w:kern w:val="22"/>
          <w:sz w:val="24"/>
        </w:rPr>
      </w:pPr>
      <w:r w:rsidRPr="00226587">
        <w:rPr>
          <w:rFonts w:eastAsiaTheme="minorEastAsia"/>
          <w:b/>
          <w:snapToGrid w:val="0"/>
          <w:kern w:val="22"/>
          <w:sz w:val="24"/>
        </w:rPr>
        <w:t>A.4.2.6</w:t>
      </w:r>
      <w:r w:rsidRPr="00226587">
        <w:rPr>
          <w:rFonts w:eastAsiaTheme="minorEastAsia"/>
          <w:snapToGrid w:val="0"/>
          <w:kern w:val="22"/>
          <w:sz w:val="24"/>
        </w:rPr>
        <w:t>促进进一步的研究，以确定气候变化下授粉的风险和潜在适应措施和缓解工具，包括关键物种及其生境的可能丧失，以及授粉在更广泛的生态系统复原力和恢复方面发挥的作用；</w:t>
      </w:r>
    </w:p>
    <w:p w:rsidR="00495DEF" w:rsidRPr="00226587" w:rsidRDefault="00495DEF" w:rsidP="00495DEF">
      <w:pPr>
        <w:suppressLineNumbers/>
        <w:suppressAutoHyphens/>
        <w:adjustRightInd w:val="0"/>
        <w:snapToGrid w:val="0"/>
        <w:spacing w:before="120" w:after="120"/>
        <w:rPr>
          <w:rFonts w:eastAsiaTheme="minorEastAsia"/>
          <w:color w:val="000080"/>
          <w:sz w:val="24"/>
        </w:rPr>
      </w:pPr>
      <w:r w:rsidRPr="00226587">
        <w:rPr>
          <w:rFonts w:eastAsiaTheme="minorEastAsia"/>
          <w:b/>
          <w:snapToGrid w:val="0"/>
          <w:kern w:val="22"/>
          <w:sz w:val="24"/>
        </w:rPr>
        <w:t>A.4.2.7</w:t>
      </w:r>
      <w:r w:rsidRPr="00226587">
        <w:rPr>
          <w:rFonts w:eastAsiaTheme="minorEastAsia"/>
          <w:snapToGrid w:val="0"/>
          <w:kern w:val="22"/>
          <w:sz w:val="24"/>
        </w:rPr>
        <w:t>促进进一步研究和分析虫害管理及其与授粉功能和服务的相互作用，同时考虑到导致授粉媒介减少的驱动因素的影响，支持制定更可行和更可持续的替代办法</w:t>
      </w:r>
      <w:r w:rsidRPr="00226587">
        <w:rPr>
          <w:rFonts w:eastAsiaTheme="minorEastAsia"/>
          <w:color w:val="000080"/>
          <w:sz w:val="24"/>
        </w:rPr>
        <w:t>；</w:t>
      </w:r>
    </w:p>
    <w:p w:rsidR="00495DEF" w:rsidRPr="00226587" w:rsidRDefault="00495DEF" w:rsidP="00495DEF">
      <w:pPr>
        <w:suppressLineNumbers/>
        <w:suppressAutoHyphens/>
        <w:adjustRightInd w:val="0"/>
        <w:snapToGrid w:val="0"/>
        <w:spacing w:before="120" w:after="120"/>
        <w:rPr>
          <w:rFonts w:eastAsiaTheme="minorEastAsia"/>
          <w:snapToGrid w:val="0"/>
          <w:kern w:val="22"/>
          <w:sz w:val="24"/>
        </w:rPr>
      </w:pPr>
      <w:r w:rsidRPr="00226587">
        <w:rPr>
          <w:rFonts w:eastAsiaTheme="minorEastAsia"/>
          <w:b/>
          <w:snapToGrid w:val="0"/>
          <w:kern w:val="22"/>
          <w:sz w:val="24"/>
        </w:rPr>
        <w:t xml:space="preserve">A.4.2.8 </w:t>
      </w:r>
      <w:r w:rsidRPr="00226587">
        <w:rPr>
          <w:rFonts w:eastAsiaTheme="minorEastAsia"/>
          <w:snapToGrid w:val="0"/>
          <w:kern w:val="22"/>
          <w:sz w:val="24"/>
        </w:rPr>
        <w:t>促进进一步的研究和分析，确定在粮食生产之外综合提供生态系统功能和服务以及授粉媒介保护的方法</w:t>
      </w:r>
      <w:r w:rsidRPr="00226587">
        <w:rPr>
          <w:rFonts w:eastAsiaTheme="minorEastAsia"/>
          <w:b/>
          <w:snapToGrid w:val="0"/>
          <w:kern w:val="22"/>
          <w:sz w:val="24"/>
        </w:rPr>
        <w:t>；</w:t>
      </w:r>
    </w:p>
    <w:p w:rsidR="00495DEF" w:rsidRPr="00226587" w:rsidRDefault="00495DEF" w:rsidP="00495DEF">
      <w:pPr>
        <w:suppressAutoHyphens/>
        <w:snapToGrid w:val="0"/>
        <w:spacing w:before="120" w:after="120"/>
        <w:rPr>
          <w:rFonts w:eastAsiaTheme="minorEastAsia"/>
          <w:snapToGrid w:val="0"/>
          <w:kern w:val="22"/>
          <w:sz w:val="24"/>
        </w:rPr>
      </w:pPr>
      <w:r w:rsidRPr="00226587">
        <w:rPr>
          <w:rFonts w:eastAsiaTheme="minorEastAsia"/>
          <w:b/>
          <w:snapToGrid w:val="0"/>
          <w:kern w:val="22"/>
          <w:sz w:val="24"/>
        </w:rPr>
        <w:t xml:space="preserve">A.4.29 </w:t>
      </w:r>
      <w:r w:rsidRPr="00226587">
        <w:rPr>
          <w:rFonts w:eastAsiaTheme="minorEastAsia"/>
          <w:snapToGrid w:val="0"/>
          <w:kern w:val="22"/>
          <w:sz w:val="24"/>
        </w:rPr>
        <w:t>将授粉媒介研究和调查结果转化为专门为广大利益相关方群体制定的建议和最佳做法；</w:t>
      </w:r>
    </w:p>
    <w:p w:rsidR="00495DEF" w:rsidRPr="00226587" w:rsidRDefault="00495DEF" w:rsidP="00495DEF">
      <w:pPr>
        <w:suppressLineNumbers/>
        <w:suppressAutoHyphens/>
        <w:adjustRightInd w:val="0"/>
        <w:snapToGrid w:val="0"/>
        <w:spacing w:before="120" w:after="120"/>
        <w:rPr>
          <w:rFonts w:eastAsiaTheme="minorEastAsia"/>
          <w:snapToGrid w:val="0"/>
          <w:kern w:val="22"/>
          <w:sz w:val="24"/>
        </w:rPr>
      </w:pPr>
      <w:r w:rsidRPr="00226587">
        <w:rPr>
          <w:rFonts w:eastAsiaTheme="minorEastAsia"/>
          <w:b/>
          <w:snapToGrid w:val="0"/>
          <w:kern w:val="22"/>
          <w:sz w:val="24"/>
        </w:rPr>
        <w:t>A.4.2.10</w:t>
      </w:r>
      <w:r w:rsidRPr="00226587">
        <w:rPr>
          <w:rFonts w:eastAsiaTheme="minorEastAsia"/>
          <w:snapToGrid w:val="0"/>
          <w:kern w:val="22"/>
          <w:sz w:val="24"/>
        </w:rPr>
        <w:t>加强科学证据、保护</w:t>
      </w:r>
      <w:r w:rsidRPr="00226587">
        <w:rPr>
          <w:rFonts w:eastAsiaTheme="minorEastAsia"/>
          <w:snapToGrid w:val="0"/>
          <w:kern w:val="22"/>
          <w:sz w:val="24"/>
          <w:lang w:val="en-US"/>
        </w:rPr>
        <w:t>做法</w:t>
      </w:r>
      <w:r w:rsidRPr="00226587">
        <w:rPr>
          <w:rFonts w:eastAsiaTheme="minorEastAsia"/>
          <w:snapToGrid w:val="0"/>
          <w:kern w:val="22"/>
          <w:sz w:val="24"/>
        </w:rPr>
        <w:t>和农民研究者社区实践与传统知识之间的协同作用，以更好地支持行动</w:t>
      </w:r>
      <w:r w:rsidRPr="00226587">
        <w:rPr>
          <w:rFonts w:eastAsiaTheme="minorEastAsia"/>
          <w:b/>
          <w:sz w:val="24"/>
        </w:rPr>
        <w:t>。</w:t>
      </w:r>
    </w:p>
    <w:p w:rsidR="00495DEF" w:rsidRPr="00226587" w:rsidRDefault="00495DEF" w:rsidP="00495DEF">
      <w:pPr>
        <w:suppressAutoHyphens/>
        <w:snapToGrid w:val="0"/>
        <w:spacing w:before="120" w:after="120"/>
        <w:rPr>
          <w:rFonts w:eastAsiaTheme="minorEastAsia"/>
          <w:b/>
          <w:sz w:val="24"/>
          <w:lang w:eastAsia="de-DE"/>
        </w:rPr>
      </w:pPr>
      <w:r w:rsidRPr="00226587">
        <w:rPr>
          <w:rFonts w:eastAsiaTheme="minorEastAsia"/>
          <w:b/>
          <w:snapToGrid w:val="0"/>
          <w:kern w:val="22"/>
          <w:sz w:val="24"/>
        </w:rPr>
        <w:t>A4.3</w:t>
      </w:r>
      <w:r w:rsidRPr="00226587">
        <w:rPr>
          <w:rFonts w:eastAsiaTheme="minorEastAsia"/>
          <w:b/>
          <w:sz w:val="24"/>
        </w:rPr>
        <w:t>评估</w:t>
      </w:r>
    </w:p>
    <w:p w:rsidR="00495DEF" w:rsidRPr="00226587" w:rsidRDefault="00495DEF" w:rsidP="00495DEF">
      <w:pPr>
        <w:suppressLineNumbers/>
        <w:suppressAutoHyphens/>
        <w:adjustRightInd w:val="0"/>
        <w:snapToGrid w:val="0"/>
        <w:spacing w:before="120" w:after="120"/>
        <w:rPr>
          <w:rFonts w:eastAsiaTheme="minorEastAsia"/>
          <w:snapToGrid w:val="0"/>
          <w:kern w:val="22"/>
          <w:sz w:val="24"/>
        </w:rPr>
      </w:pPr>
      <w:r w:rsidRPr="00226587">
        <w:rPr>
          <w:rFonts w:eastAsiaTheme="minorEastAsia"/>
          <w:b/>
          <w:snapToGrid w:val="0"/>
          <w:kern w:val="22"/>
          <w:sz w:val="24"/>
        </w:rPr>
        <w:t>A.4.3.1</w:t>
      </w:r>
      <w:r w:rsidRPr="00226587">
        <w:rPr>
          <w:rFonts w:eastAsiaTheme="minorEastAsia"/>
          <w:b/>
          <w:snapToGrid w:val="0"/>
          <w:kern w:val="22"/>
          <w:sz w:val="24"/>
        </w:rPr>
        <w:t>通过永久性授粉媒介监测过程生成数据集，创建</w:t>
      </w:r>
      <w:r w:rsidRPr="00226587">
        <w:rPr>
          <w:rFonts w:eastAsiaTheme="minorEastAsia"/>
          <w:snapToGrid w:val="0"/>
          <w:kern w:val="22"/>
          <w:sz w:val="24"/>
        </w:rPr>
        <w:t>能显示授粉媒介和授粉的现况以及特定作物脆弱性的区域</w:t>
      </w:r>
      <w:r w:rsidRPr="00226587">
        <w:rPr>
          <w:rFonts w:eastAsiaTheme="minorEastAsia"/>
          <w:snapToGrid w:val="0"/>
          <w:kern w:val="22"/>
          <w:sz w:val="24"/>
        </w:rPr>
        <w:t>/</w:t>
      </w:r>
      <w:r w:rsidRPr="00226587">
        <w:rPr>
          <w:rFonts w:eastAsiaTheme="minorEastAsia"/>
          <w:snapToGrid w:val="0"/>
          <w:kern w:val="22"/>
          <w:sz w:val="24"/>
        </w:rPr>
        <w:t>国家</w:t>
      </w:r>
      <w:r w:rsidRPr="00226587">
        <w:rPr>
          <w:rFonts w:eastAsiaTheme="minorEastAsia"/>
          <w:snapToGrid w:val="0"/>
          <w:kern w:val="22"/>
          <w:sz w:val="24"/>
        </w:rPr>
        <w:t>/</w:t>
      </w:r>
      <w:r w:rsidRPr="00226587">
        <w:rPr>
          <w:rFonts w:eastAsiaTheme="minorEastAsia"/>
          <w:snapToGrid w:val="0"/>
          <w:kern w:val="22"/>
          <w:sz w:val="24"/>
        </w:rPr>
        <w:t>国家以下和地方的详细视觉地图，以支持决策；</w:t>
      </w:r>
    </w:p>
    <w:p w:rsidR="00495DEF" w:rsidRPr="00226587" w:rsidRDefault="00495DEF" w:rsidP="00495DEF">
      <w:pPr>
        <w:suppressLineNumbers/>
        <w:suppressAutoHyphens/>
        <w:adjustRightInd w:val="0"/>
        <w:snapToGrid w:val="0"/>
        <w:spacing w:before="120" w:after="120"/>
        <w:rPr>
          <w:rFonts w:eastAsiaTheme="minorEastAsia"/>
          <w:snapToGrid w:val="0"/>
          <w:kern w:val="22"/>
          <w:sz w:val="24"/>
        </w:rPr>
      </w:pPr>
      <w:r w:rsidRPr="00226587">
        <w:rPr>
          <w:rFonts w:eastAsiaTheme="minorEastAsia"/>
          <w:b/>
          <w:snapToGrid w:val="0"/>
          <w:kern w:val="22"/>
          <w:sz w:val="24"/>
        </w:rPr>
        <w:t>A.4.3.2</w:t>
      </w:r>
      <w:r w:rsidRPr="00226587">
        <w:rPr>
          <w:rFonts w:eastAsiaTheme="minorEastAsia"/>
          <w:snapToGrid w:val="0"/>
          <w:kern w:val="22"/>
          <w:sz w:val="24"/>
        </w:rPr>
        <w:t>评估授粉媒介和授粉的益处，同时考虑到为农业和私营部门，包括食品公司、化妆品制造商和供应链带来的经济价值和其他价值；</w:t>
      </w:r>
    </w:p>
    <w:p w:rsidR="00495DEF" w:rsidRPr="00226587" w:rsidRDefault="00495DEF" w:rsidP="00495DEF">
      <w:pPr>
        <w:suppressLineNumbers/>
        <w:suppressAutoHyphens/>
        <w:adjustRightInd w:val="0"/>
        <w:snapToGrid w:val="0"/>
        <w:spacing w:before="120" w:after="120"/>
        <w:rPr>
          <w:rFonts w:eastAsiaTheme="minorEastAsia"/>
          <w:snapToGrid w:val="0"/>
          <w:kern w:val="22"/>
          <w:sz w:val="24"/>
        </w:rPr>
      </w:pPr>
      <w:r w:rsidRPr="00226587">
        <w:rPr>
          <w:rFonts w:eastAsiaTheme="minorEastAsia"/>
          <w:b/>
          <w:snapToGrid w:val="0"/>
          <w:kern w:val="22"/>
          <w:sz w:val="24"/>
        </w:rPr>
        <w:lastRenderedPageBreak/>
        <w:t>A.4.3.3</w:t>
      </w:r>
      <w:r w:rsidRPr="00226587">
        <w:rPr>
          <w:rFonts w:eastAsiaTheme="minorEastAsia"/>
          <w:snapToGrid w:val="0"/>
          <w:kern w:val="22"/>
          <w:sz w:val="24"/>
        </w:rPr>
        <w:t>评估授粉媒介友好型做法，包括保护农耕地未开垦地区的好处，并提出砍伐森林的替代方案</w:t>
      </w:r>
      <w:r w:rsidRPr="00226587">
        <w:rPr>
          <w:rFonts w:eastAsiaTheme="minorEastAsia"/>
          <w:b/>
          <w:snapToGrid w:val="0"/>
          <w:kern w:val="22"/>
          <w:sz w:val="24"/>
        </w:rPr>
        <w:t>；</w:t>
      </w:r>
    </w:p>
    <w:p w:rsidR="00495DEF" w:rsidRPr="00226587" w:rsidRDefault="00495DEF" w:rsidP="00495DEF">
      <w:pPr>
        <w:suppressAutoHyphens/>
        <w:snapToGrid w:val="0"/>
        <w:spacing w:before="120" w:after="120"/>
        <w:rPr>
          <w:rFonts w:eastAsiaTheme="minorEastAsia"/>
          <w:sz w:val="24"/>
          <w:lang w:eastAsia="de-DE"/>
        </w:rPr>
      </w:pPr>
      <w:r w:rsidRPr="00226587">
        <w:rPr>
          <w:rFonts w:eastAsiaTheme="minorEastAsia"/>
          <w:b/>
          <w:snapToGrid w:val="0"/>
          <w:kern w:val="22"/>
          <w:sz w:val="24"/>
        </w:rPr>
        <w:t>A.4.3.4</w:t>
      </w:r>
      <w:r w:rsidRPr="00226587">
        <w:rPr>
          <w:rFonts w:eastAsiaTheme="minorEastAsia"/>
          <w:snapToGrid w:val="0"/>
          <w:kern w:val="22"/>
          <w:sz w:val="24"/>
        </w:rPr>
        <w:t>加深对特定作物、农业生态系统和自然环境中传粉媒介减少的后果的了解</w:t>
      </w:r>
      <w:r w:rsidRPr="00226587">
        <w:rPr>
          <w:rFonts w:eastAsiaTheme="minorEastAsia"/>
          <w:sz w:val="24"/>
        </w:rPr>
        <w:t>；</w:t>
      </w:r>
    </w:p>
    <w:p w:rsidR="00495DEF" w:rsidRPr="00226587" w:rsidRDefault="00495DEF" w:rsidP="00495DEF">
      <w:pPr>
        <w:suppressAutoHyphens/>
        <w:snapToGrid w:val="0"/>
        <w:spacing w:before="120" w:after="120"/>
        <w:rPr>
          <w:rFonts w:eastAsiaTheme="minorEastAsia"/>
          <w:sz w:val="24"/>
          <w:lang w:eastAsia="de-DE"/>
        </w:rPr>
      </w:pPr>
      <w:r w:rsidRPr="00226587">
        <w:rPr>
          <w:rFonts w:eastAsiaTheme="minorEastAsia"/>
          <w:b/>
          <w:snapToGrid w:val="0"/>
          <w:kern w:val="22"/>
          <w:sz w:val="24"/>
        </w:rPr>
        <w:t>A.4.3.5</w:t>
      </w:r>
      <w:r w:rsidRPr="00226587">
        <w:rPr>
          <w:rFonts w:eastAsiaTheme="minorEastAsia"/>
          <w:snapToGrid w:val="0"/>
          <w:kern w:val="22"/>
          <w:sz w:val="24"/>
        </w:rPr>
        <w:t>支持确认自然和林业及农业系统等受管理</w:t>
      </w:r>
      <w:r w:rsidRPr="00226587">
        <w:rPr>
          <w:rFonts w:eastAsiaTheme="minorEastAsia"/>
          <w:snapToGrid w:val="0"/>
          <w:kern w:val="22"/>
          <w:sz w:val="24"/>
          <w:lang w:val="en-US"/>
        </w:rPr>
        <w:t>区域</w:t>
      </w:r>
      <w:r w:rsidRPr="00226587">
        <w:rPr>
          <w:rFonts w:eastAsiaTheme="minorEastAsia"/>
          <w:snapToGrid w:val="0"/>
          <w:kern w:val="22"/>
          <w:sz w:val="24"/>
        </w:rPr>
        <w:t>的授粉媒介，以及授粉媒介与植物之间的相互作用和人类活动在生态系统中的影响</w:t>
      </w:r>
      <w:r w:rsidRPr="00226587">
        <w:rPr>
          <w:rFonts w:eastAsiaTheme="minorEastAsia"/>
          <w:b/>
          <w:snapToGrid w:val="0"/>
          <w:kern w:val="22"/>
          <w:sz w:val="24"/>
        </w:rPr>
        <w:t>；</w:t>
      </w:r>
    </w:p>
    <w:p w:rsidR="00495DEF" w:rsidRPr="00226587" w:rsidRDefault="00495DEF" w:rsidP="00495DEF">
      <w:pPr>
        <w:tabs>
          <w:tab w:val="left" w:pos="720"/>
        </w:tabs>
        <w:suppressAutoHyphens/>
        <w:snapToGrid w:val="0"/>
        <w:spacing w:before="120" w:after="120"/>
        <w:rPr>
          <w:rFonts w:eastAsiaTheme="minorEastAsia"/>
          <w:sz w:val="24"/>
        </w:rPr>
      </w:pPr>
      <w:r w:rsidRPr="00226587">
        <w:rPr>
          <w:rFonts w:eastAsiaTheme="minorEastAsia"/>
          <w:b/>
          <w:snapToGrid w:val="0"/>
          <w:kern w:val="22"/>
          <w:sz w:val="24"/>
        </w:rPr>
        <w:t>A.4.3.6</w:t>
      </w:r>
      <w:r w:rsidRPr="00226587">
        <w:rPr>
          <w:rFonts w:eastAsiaTheme="minorEastAsia"/>
          <w:snapToGrid w:val="0"/>
          <w:kern w:val="22"/>
          <w:sz w:val="24"/>
        </w:rPr>
        <w:t>处理不同地区的生物分类评估需求，制定弥补现有差距的具有针对性的战略；</w:t>
      </w:r>
    </w:p>
    <w:p w:rsidR="00495DEF" w:rsidRPr="00226587" w:rsidRDefault="00495DEF" w:rsidP="00495DEF">
      <w:pPr>
        <w:tabs>
          <w:tab w:val="left" w:pos="720"/>
        </w:tabs>
        <w:suppressAutoHyphens/>
        <w:snapToGrid w:val="0"/>
        <w:spacing w:before="120" w:after="120"/>
        <w:rPr>
          <w:rFonts w:eastAsiaTheme="minorEastAsia"/>
          <w:sz w:val="24"/>
        </w:rPr>
      </w:pPr>
      <w:r w:rsidRPr="00226587">
        <w:rPr>
          <w:rFonts w:eastAsiaTheme="minorEastAsia"/>
          <w:b/>
          <w:snapToGrid w:val="0"/>
          <w:kern w:val="22"/>
          <w:sz w:val="24"/>
        </w:rPr>
        <w:t>A.4.3.7</w:t>
      </w:r>
      <w:r w:rsidRPr="00226587">
        <w:rPr>
          <w:rFonts w:eastAsiaTheme="minorEastAsia"/>
          <w:snapToGrid w:val="0"/>
          <w:kern w:val="22"/>
          <w:sz w:val="24"/>
        </w:rPr>
        <w:t>增加生物分类能力，以增强有关授粉媒介及其现况和趋势的知识；查明其种群变化的驱动因素；制定适当的解决方案</w:t>
      </w:r>
      <w:r w:rsidRPr="00226587">
        <w:rPr>
          <w:rFonts w:eastAsiaTheme="minorEastAsia"/>
          <w:sz w:val="24"/>
        </w:rPr>
        <w:t>；</w:t>
      </w:r>
    </w:p>
    <w:p w:rsidR="00495DEF" w:rsidRPr="00226587" w:rsidRDefault="00495DEF" w:rsidP="00495DEF">
      <w:pPr>
        <w:tabs>
          <w:tab w:val="left" w:pos="720"/>
        </w:tabs>
        <w:suppressAutoHyphens/>
        <w:snapToGrid w:val="0"/>
        <w:spacing w:before="120" w:after="120"/>
        <w:rPr>
          <w:rFonts w:eastAsiaTheme="minorEastAsia"/>
          <w:sz w:val="24"/>
        </w:rPr>
      </w:pPr>
      <w:r w:rsidRPr="00226587">
        <w:rPr>
          <w:rFonts w:eastAsiaTheme="minorEastAsia"/>
          <w:b/>
          <w:snapToGrid w:val="0"/>
          <w:kern w:val="22"/>
          <w:sz w:val="24"/>
        </w:rPr>
        <w:t>A.4.3.8</w:t>
      </w:r>
      <w:r w:rsidRPr="00226587">
        <w:rPr>
          <w:rFonts w:eastAsiaTheme="minorEastAsia"/>
          <w:snapToGrid w:val="0"/>
          <w:kern w:val="22"/>
          <w:sz w:val="24"/>
        </w:rPr>
        <w:t>促进定期评估来自不同生物分类群组的授粉媒介物种的保护现况，定期更新国家、区域和全球红色数据手册和红色名录，制定保护和恢复濒危授粉媒介物种的行动计划。</w:t>
      </w:r>
    </w:p>
    <w:p w:rsidR="00495DEF" w:rsidRPr="00BD5340" w:rsidRDefault="00495DEF" w:rsidP="00495DEF">
      <w:pPr>
        <w:pStyle w:val="Heading1"/>
        <w:numPr>
          <w:ilvl w:val="1"/>
          <w:numId w:val="0"/>
        </w:numPr>
        <w:suppressAutoHyphens/>
        <w:snapToGrid w:val="0"/>
        <w:spacing w:before="120"/>
        <w:ind w:left="567" w:hanging="567"/>
        <w:jc w:val="both"/>
        <w:rPr>
          <w:rFonts w:ascii="KaiTi" w:eastAsia="KaiTi" w:hAnsi="KaiTi"/>
          <w:b w:val="0"/>
          <w:caps w:val="0"/>
          <w:snapToGrid w:val="0"/>
          <w:kern w:val="22"/>
          <w:sz w:val="24"/>
        </w:rPr>
      </w:pPr>
      <w:r w:rsidRPr="00BD5340">
        <w:rPr>
          <w:rFonts w:ascii="KaiTi" w:eastAsia="KaiTi" w:hAnsi="KaiTi"/>
          <w:b w:val="0"/>
          <w:caps w:val="0"/>
          <w:snapToGrid w:val="0"/>
          <w:kern w:val="22"/>
          <w:sz w:val="24"/>
        </w:rPr>
        <w:t>行为体</w:t>
      </w:r>
    </w:p>
    <w:p w:rsidR="00495DEF" w:rsidRPr="00226587" w:rsidRDefault="00495DEF" w:rsidP="00495DEF">
      <w:pPr>
        <w:tabs>
          <w:tab w:val="left" w:pos="720"/>
        </w:tabs>
        <w:suppressAutoHyphens/>
        <w:snapToGrid w:val="0"/>
        <w:spacing w:before="120" w:after="120"/>
        <w:ind w:firstLine="720"/>
        <w:rPr>
          <w:rFonts w:eastAsiaTheme="minorEastAsia"/>
          <w:sz w:val="24"/>
        </w:rPr>
      </w:pPr>
      <w:r w:rsidRPr="00226587">
        <w:rPr>
          <w:rFonts w:eastAsiaTheme="minorEastAsia"/>
          <w:sz w:val="24"/>
        </w:rPr>
        <w:t>本《行动计划》针对所有相关利益攸关方，包括《里约公约》和其他多边环境协定缔约方、国家、国家以下各级和市政府、捐助机构、包括全球环境基金、世界银行、区域和国家开发银行、为农村发展提供重要贷款组合的银行、私人和企业捐助者以及其他相关机构和组织、土地所有者和土地管理者、农民、养蜂人、土著人民和当地社区、私营部门和民间社会。</w:t>
      </w:r>
    </w:p>
    <w:p w:rsidR="00495DEF" w:rsidRPr="00226587" w:rsidRDefault="00495DEF" w:rsidP="00495DEF">
      <w:pPr>
        <w:suppressAutoHyphens/>
        <w:snapToGrid w:val="0"/>
        <w:spacing w:before="120" w:after="120"/>
        <w:ind w:firstLine="720"/>
        <w:rPr>
          <w:rFonts w:eastAsiaTheme="minorEastAsia"/>
          <w:sz w:val="24"/>
        </w:rPr>
      </w:pPr>
      <w:r w:rsidRPr="00226587">
        <w:rPr>
          <w:rFonts w:eastAsiaTheme="minorEastAsia"/>
          <w:sz w:val="24"/>
        </w:rPr>
        <w:t>粮农组织将采用先前计划的成功办法，促进《行动计划》的实施。这一新阶段还旨在使有关授粉和授粉媒介的活动与粮农组织区域和国家办事处更紧密地结合在一起，以产生协同效应和提供更广泛的支持。在国家和区域一级充分执行《行动计划》第二阶段将取决于能否得到资源。</w:t>
      </w:r>
    </w:p>
    <w:p w:rsidR="00495DEF" w:rsidRPr="00413272" w:rsidRDefault="00495DEF" w:rsidP="00495DEF">
      <w:pPr>
        <w:pStyle w:val="Heading1"/>
        <w:tabs>
          <w:tab w:val="clear" w:pos="720"/>
        </w:tabs>
        <w:snapToGrid w:val="0"/>
        <w:spacing w:before="120"/>
        <w:rPr>
          <w:rFonts w:ascii="SimSun" w:hAnsi="SimSun"/>
          <w:sz w:val="24"/>
        </w:rPr>
      </w:pPr>
      <w:r w:rsidRPr="00413272">
        <w:rPr>
          <w:rFonts w:ascii="SimSun" w:hAnsi="SimSun" w:hint="eastAsia"/>
          <w:sz w:val="24"/>
        </w:rPr>
        <w:t>四</w:t>
      </w:r>
      <w:r w:rsidRPr="00413272">
        <w:rPr>
          <w:rFonts w:ascii="SimSun" w:hAnsi="SimSun"/>
          <w:sz w:val="24"/>
        </w:rPr>
        <w:t>.</w:t>
      </w:r>
      <w:r w:rsidRPr="00413272">
        <w:rPr>
          <w:rFonts w:ascii="SimSun" w:hAnsi="SimSun"/>
          <w:sz w:val="24"/>
        </w:rPr>
        <w:tab/>
      </w:r>
      <w:r w:rsidRPr="00413272">
        <w:rPr>
          <w:rFonts w:ascii="SimSun" w:hAnsi="SimSun" w:hint="eastAsia"/>
          <w:sz w:val="24"/>
        </w:rPr>
        <w:t>支助准则和工具</w:t>
      </w:r>
    </w:p>
    <w:p w:rsidR="00495DEF" w:rsidRDefault="00495DEF" w:rsidP="00495DEF">
      <w:pPr>
        <w:suppressAutoHyphens/>
        <w:snapToGrid w:val="0"/>
        <w:spacing w:before="120" w:after="120"/>
        <w:ind w:firstLine="720"/>
        <w:rPr>
          <w:rFonts w:ascii="SimSun" w:hAnsi="SimSun"/>
          <w:sz w:val="24"/>
        </w:rPr>
      </w:pPr>
      <w:r w:rsidRPr="00413272">
        <w:rPr>
          <w:rFonts w:ascii="SimSun" w:hAnsi="SimSun" w:hint="eastAsia"/>
          <w:sz w:val="24"/>
        </w:rPr>
        <w:t>支助准则和工具清单载于一份信息说明</w:t>
      </w:r>
      <w:r w:rsidRPr="00413272">
        <w:rPr>
          <w:rFonts w:ascii="SimSun" w:hAnsi="SimSun"/>
          <w:sz w:val="24"/>
        </w:rPr>
        <w:t>(</w:t>
      </w:r>
      <w:r w:rsidRPr="009C0673">
        <w:rPr>
          <w:sz w:val="24"/>
        </w:rPr>
        <w:t>CBD/SBSTTA/22/INF/20</w:t>
      </w:r>
      <w:r w:rsidRPr="00413272">
        <w:rPr>
          <w:rFonts w:ascii="SimSun" w:hAnsi="SimSun"/>
          <w:sz w:val="24"/>
        </w:rPr>
        <w:t>)</w:t>
      </w:r>
      <w:r w:rsidRPr="00413272">
        <w:rPr>
          <w:rFonts w:ascii="SimSun" w:hAnsi="SimSun" w:hint="eastAsia"/>
          <w:sz w:val="24"/>
        </w:rPr>
        <w:t>中。</w:t>
      </w:r>
    </w:p>
    <w:p w:rsidR="00495DEF" w:rsidRPr="000E18E5" w:rsidRDefault="00495DEF" w:rsidP="00495DEF">
      <w:pPr>
        <w:widowControl w:val="0"/>
        <w:snapToGrid w:val="0"/>
        <w:spacing w:before="240" w:after="120"/>
        <w:jc w:val="center"/>
        <w:rPr>
          <w:rFonts w:ascii="KaiTi" w:eastAsia="KaiTi" w:hAnsi="KaiTi"/>
          <w:sz w:val="24"/>
        </w:rPr>
      </w:pPr>
      <w:r w:rsidRPr="000E18E5">
        <w:rPr>
          <w:rFonts w:ascii="KaiTi" w:eastAsia="KaiTi" w:hAnsi="KaiTi" w:hint="eastAsia"/>
          <w:sz w:val="24"/>
        </w:rPr>
        <w:t>附件二</w:t>
      </w:r>
    </w:p>
    <w:p w:rsidR="00495DEF" w:rsidRPr="004219FF" w:rsidRDefault="00495DEF" w:rsidP="00495DEF">
      <w:pPr>
        <w:pStyle w:val="Heading1"/>
        <w:keepNext w:val="0"/>
        <w:widowControl w:val="0"/>
        <w:tabs>
          <w:tab w:val="clear" w:pos="720"/>
        </w:tabs>
        <w:snapToGrid w:val="0"/>
        <w:spacing w:before="120"/>
        <w:ind w:left="1170" w:right="990"/>
        <w:rPr>
          <w:rFonts w:asciiTheme="minorEastAsia" w:eastAsiaTheme="minorEastAsia" w:hAnsiTheme="minorEastAsia"/>
          <w:kern w:val="22"/>
          <w:sz w:val="24"/>
        </w:rPr>
      </w:pPr>
      <w:r w:rsidRPr="004219FF">
        <w:rPr>
          <w:rFonts w:asciiTheme="minorEastAsia" w:eastAsiaTheme="minorEastAsia" w:hAnsiTheme="minorEastAsia" w:hint="eastAsia"/>
          <w:kern w:val="22"/>
          <w:sz w:val="24"/>
        </w:rPr>
        <w:t xml:space="preserve">概要 - </w:t>
      </w:r>
      <w:r w:rsidRPr="004219FF">
        <w:rPr>
          <w:rFonts w:asciiTheme="minorEastAsia" w:eastAsiaTheme="minorEastAsia" w:hAnsiTheme="minorEastAsia" w:hint="eastAsia"/>
          <w:sz w:val="24"/>
        </w:rPr>
        <w:t>审查授粉媒介和授粉在农业和粮食生产中的作用外与所有生态系统中保护和可持续利用生物多样性的相关性</w:t>
      </w:r>
    </w:p>
    <w:p w:rsidR="00495DEF" w:rsidRPr="00413272" w:rsidRDefault="00495DEF" w:rsidP="00495DEF">
      <w:pPr>
        <w:widowControl w:val="0"/>
        <w:suppressAutoHyphens/>
        <w:autoSpaceDE w:val="0"/>
        <w:autoSpaceDN w:val="0"/>
        <w:adjustRightInd w:val="0"/>
        <w:snapToGrid w:val="0"/>
        <w:spacing w:before="120" w:after="120"/>
        <w:jc w:val="center"/>
        <w:rPr>
          <w:rFonts w:ascii="SimSun" w:hAnsi="SimSun" w:cstheme="majorBidi"/>
          <w:b/>
          <w:bCs/>
          <w:sz w:val="24"/>
        </w:rPr>
      </w:pPr>
      <w:r w:rsidRPr="00C505FE">
        <w:rPr>
          <w:b/>
          <w:bCs/>
          <w:sz w:val="24"/>
        </w:rPr>
        <w:t>A.</w:t>
      </w:r>
      <w:r w:rsidRPr="00413272">
        <w:rPr>
          <w:rFonts w:ascii="SimSun" w:hAnsi="SimSun" w:cstheme="majorBidi"/>
          <w:b/>
          <w:bCs/>
          <w:sz w:val="24"/>
        </w:rPr>
        <w:tab/>
      </w:r>
      <w:r w:rsidRPr="00413272">
        <w:rPr>
          <w:rFonts w:ascii="SimSun" w:hAnsi="SimSun" w:cstheme="majorBidi" w:hint="eastAsia"/>
          <w:b/>
          <w:bCs/>
          <w:sz w:val="24"/>
        </w:rPr>
        <w:t>导言</w:t>
      </w:r>
    </w:p>
    <w:p w:rsidR="00495DEF" w:rsidRPr="0043772A" w:rsidRDefault="00495DEF" w:rsidP="00495DEF">
      <w:pPr>
        <w:pStyle w:val="ListParagraph"/>
        <w:widowControl w:val="0"/>
        <w:numPr>
          <w:ilvl w:val="1"/>
          <w:numId w:val="31"/>
        </w:numPr>
        <w:tabs>
          <w:tab w:val="left" w:pos="720"/>
        </w:tabs>
        <w:suppressAutoHyphens/>
        <w:snapToGrid w:val="0"/>
        <w:spacing w:before="120" w:after="120"/>
        <w:ind w:left="0" w:firstLine="0"/>
        <w:contextualSpacing w:val="0"/>
        <w:rPr>
          <w:rFonts w:eastAsiaTheme="minorEastAsia"/>
          <w:sz w:val="24"/>
          <w:lang w:eastAsia="de-DE"/>
        </w:rPr>
      </w:pPr>
      <w:r w:rsidRPr="0043772A">
        <w:rPr>
          <w:rFonts w:eastAsiaTheme="minorEastAsia"/>
          <w:sz w:val="24"/>
        </w:rPr>
        <w:t>完整报告</w:t>
      </w:r>
      <w:r w:rsidRPr="007E192A">
        <w:rPr>
          <w:rStyle w:val="FootnoteReference"/>
          <w:rFonts w:eastAsiaTheme="minorEastAsia"/>
          <w:sz w:val="24"/>
          <w:u w:val="none"/>
          <w:vertAlign w:val="superscript"/>
          <w:lang w:eastAsia="de-DE"/>
        </w:rPr>
        <w:footnoteReference w:id="10"/>
      </w:r>
      <w:r w:rsidRPr="007E192A">
        <w:rPr>
          <w:rStyle w:val="FootnoteReference"/>
          <w:sz w:val="24"/>
          <w:u w:val="none"/>
          <w:vertAlign w:val="superscript"/>
          <w:lang w:eastAsia="de-DE"/>
        </w:rPr>
        <w:t xml:space="preserve"> </w:t>
      </w:r>
      <w:r w:rsidRPr="0043772A">
        <w:rPr>
          <w:rFonts w:eastAsiaTheme="minorEastAsia"/>
          <w:sz w:val="24"/>
        </w:rPr>
        <w:t>和本概要系根据第</w:t>
      </w:r>
      <w:hyperlink r:id="rId12" w:history="1">
        <w:r w:rsidRPr="0043772A">
          <w:rPr>
            <w:rStyle w:val="Hyperlink"/>
            <w:rFonts w:eastAsiaTheme="minorEastAsia"/>
            <w:sz w:val="24"/>
            <w:lang w:eastAsia="de-DE"/>
          </w:rPr>
          <w:t>XIII/15</w:t>
        </w:r>
      </w:hyperlink>
      <w:r w:rsidRPr="0043772A">
        <w:rPr>
          <w:rFonts w:eastAsiaTheme="minorEastAsia"/>
          <w:sz w:val="24"/>
        </w:rPr>
        <w:t>号决定编制。报告借鉴了世界各地许多研究人员和合作伙伴提供的资料。</w:t>
      </w:r>
      <w:r w:rsidRPr="007E192A">
        <w:rPr>
          <w:rStyle w:val="FootnoteReference"/>
          <w:rFonts w:eastAsiaTheme="minorEastAsia"/>
          <w:sz w:val="24"/>
          <w:u w:val="none"/>
          <w:vertAlign w:val="superscript"/>
          <w:lang w:eastAsia="de-DE"/>
        </w:rPr>
        <w:footnoteReference w:id="11"/>
      </w:r>
      <w:r w:rsidRPr="007E192A">
        <w:rPr>
          <w:rStyle w:val="FootnoteReference"/>
          <w:sz w:val="24"/>
          <w:u w:val="none"/>
          <w:vertAlign w:val="superscript"/>
          <w:lang w:eastAsia="de-DE"/>
        </w:rPr>
        <w:t xml:space="preserve"> </w:t>
      </w:r>
    </w:p>
    <w:p w:rsidR="00495DEF" w:rsidRPr="00413272" w:rsidRDefault="00495DEF" w:rsidP="00495DEF">
      <w:pPr>
        <w:widowControl w:val="0"/>
        <w:tabs>
          <w:tab w:val="left" w:pos="720"/>
        </w:tabs>
        <w:suppressAutoHyphens/>
        <w:autoSpaceDE w:val="0"/>
        <w:autoSpaceDN w:val="0"/>
        <w:adjustRightInd w:val="0"/>
        <w:snapToGrid w:val="0"/>
        <w:spacing w:before="120" w:after="120"/>
        <w:jc w:val="center"/>
        <w:rPr>
          <w:rFonts w:ascii="SimSun" w:hAnsi="SimSun" w:cstheme="majorBidi"/>
          <w:b/>
          <w:bCs/>
          <w:sz w:val="24"/>
        </w:rPr>
      </w:pPr>
      <w:r w:rsidRPr="00413272">
        <w:rPr>
          <w:rFonts w:ascii="SimSun" w:hAnsi="SimSun" w:cstheme="majorBidi"/>
          <w:b/>
          <w:bCs/>
          <w:sz w:val="24"/>
        </w:rPr>
        <w:lastRenderedPageBreak/>
        <w:t>B.</w:t>
      </w:r>
      <w:r w:rsidRPr="00413272">
        <w:rPr>
          <w:rFonts w:ascii="SimSun" w:hAnsi="SimSun" w:cstheme="majorBidi"/>
          <w:b/>
          <w:bCs/>
          <w:sz w:val="24"/>
        </w:rPr>
        <w:tab/>
      </w:r>
      <w:r w:rsidRPr="00413272">
        <w:rPr>
          <w:rFonts w:ascii="SimSun" w:hAnsi="SimSun" w:cstheme="majorBidi" w:hint="eastAsia"/>
          <w:b/>
          <w:bCs/>
          <w:sz w:val="24"/>
        </w:rPr>
        <w:t>授粉媒介和授粉媒介依赖植物在农业领域之外的作用和价值</w:t>
      </w:r>
    </w:p>
    <w:p w:rsidR="00495DEF" w:rsidRPr="000E18E5" w:rsidRDefault="00495DEF" w:rsidP="00495DEF">
      <w:pPr>
        <w:pStyle w:val="ListParagraph"/>
        <w:widowControl w:val="0"/>
        <w:numPr>
          <w:ilvl w:val="1"/>
          <w:numId w:val="31"/>
        </w:numPr>
        <w:tabs>
          <w:tab w:val="left" w:pos="720"/>
        </w:tabs>
        <w:suppressAutoHyphens/>
        <w:snapToGrid w:val="0"/>
        <w:spacing w:before="120" w:after="120"/>
        <w:ind w:left="0" w:firstLine="0"/>
        <w:contextualSpacing w:val="0"/>
        <w:rPr>
          <w:rFonts w:ascii="SimSun" w:hAnsi="SimSun" w:cstheme="majorBidi"/>
          <w:bCs/>
          <w:sz w:val="24"/>
        </w:rPr>
      </w:pPr>
      <w:r w:rsidRPr="000E18E5">
        <w:rPr>
          <w:rFonts w:ascii="SimSun" w:hAnsi="SimSun" w:hint="eastAsia"/>
          <w:sz w:val="24"/>
          <w:lang w:eastAsia="de-DE"/>
        </w:rPr>
        <w:t>除农业和粮食生产之外，</w:t>
      </w:r>
      <w:r w:rsidRPr="000E18E5">
        <w:rPr>
          <w:rFonts w:ascii="SimSun" w:hAnsi="SimSun" w:hint="eastAsia"/>
          <w:sz w:val="24"/>
        </w:rPr>
        <w:t>与授粉</w:t>
      </w:r>
      <w:r w:rsidRPr="000E18E5">
        <w:rPr>
          <w:rFonts w:ascii="SimSun" w:hAnsi="SimSun" w:hint="eastAsia"/>
          <w:sz w:val="24"/>
          <w:lang w:eastAsia="de-DE"/>
        </w:rPr>
        <w:t>媒介和</w:t>
      </w:r>
      <w:r w:rsidRPr="000E18E5">
        <w:rPr>
          <w:rFonts w:ascii="SimSun" w:hAnsi="SimSun" w:hint="eastAsia"/>
          <w:sz w:val="24"/>
        </w:rPr>
        <w:t>授粉有关</w:t>
      </w:r>
      <w:r w:rsidRPr="000E18E5">
        <w:rPr>
          <w:rFonts w:ascii="SimSun" w:hAnsi="SimSun" w:hint="eastAsia"/>
          <w:sz w:val="24"/>
          <w:lang w:eastAsia="de-DE"/>
        </w:rPr>
        <w:t>的价值</w:t>
      </w:r>
      <w:r w:rsidRPr="000E18E5">
        <w:rPr>
          <w:rFonts w:ascii="SimSun" w:hAnsi="SimSun" w:hint="eastAsia"/>
          <w:sz w:val="24"/>
        </w:rPr>
        <w:t>很多、范围很广，</w:t>
      </w:r>
      <w:r w:rsidRPr="000E18E5">
        <w:rPr>
          <w:rFonts w:ascii="SimSun" w:hAnsi="SimSun" w:hint="eastAsia"/>
          <w:sz w:val="24"/>
          <w:lang w:eastAsia="de-DE"/>
        </w:rPr>
        <w:t>其中包括生态</w:t>
      </w:r>
      <w:r w:rsidRPr="000E18E5">
        <w:rPr>
          <w:rFonts w:ascii="SimSun" w:hAnsi="SimSun" w:hint="eastAsia"/>
          <w:sz w:val="24"/>
        </w:rPr>
        <w:t>、</w:t>
      </w:r>
      <w:r w:rsidRPr="000E18E5">
        <w:rPr>
          <w:rFonts w:ascii="SimSun" w:hAnsi="SimSun" w:hint="eastAsia"/>
          <w:sz w:val="24"/>
          <w:lang w:eastAsia="de-DE"/>
        </w:rPr>
        <w:t>文化</w:t>
      </w:r>
      <w:r w:rsidRPr="000E18E5">
        <w:rPr>
          <w:rFonts w:ascii="SimSun" w:hAnsi="SimSun" w:hint="eastAsia"/>
          <w:sz w:val="24"/>
        </w:rPr>
        <w:t>、</w:t>
      </w:r>
      <w:r w:rsidRPr="000E18E5">
        <w:rPr>
          <w:rFonts w:ascii="SimSun" w:hAnsi="SimSun" w:hint="eastAsia"/>
          <w:sz w:val="24"/>
          <w:lang w:eastAsia="de-DE"/>
        </w:rPr>
        <w:t>财政</w:t>
      </w:r>
      <w:r w:rsidRPr="000E18E5">
        <w:rPr>
          <w:rFonts w:ascii="SimSun" w:hAnsi="SimSun" w:hint="eastAsia"/>
          <w:sz w:val="24"/>
        </w:rPr>
        <w:t>、卫生、</w:t>
      </w:r>
      <w:r w:rsidRPr="000E18E5">
        <w:rPr>
          <w:rFonts w:ascii="SimSun" w:hAnsi="SimSun" w:hint="eastAsia"/>
          <w:sz w:val="24"/>
          <w:lang w:eastAsia="de-DE"/>
        </w:rPr>
        <w:t>人类和社会价值</w:t>
      </w:r>
      <w:r w:rsidRPr="000E18E5">
        <w:rPr>
          <w:rFonts w:ascii="SimSun" w:hAnsi="SimSun" w:hint="eastAsia"/>
          <w:sz w:val="24"/>
        </w:rPr>
        <w:t>。</w:t>
      </w:r>
    </w:p>
    <w:p w:rsidR="00495DEF" w:rsidRDefault="00495DEF" w:rsidP="00495DEF">
      <w:pPr>
        <w:pStyle w:val="ListParagraph"/>
        <w:widowControl w:val="0"/>
        <w:numPr>
          <w:ilvl w:val="1"/>
          <w:numId w:val="31"/>
        </w:numPr>
        <w:tabs>
          <w:tab w:val="left" w:pos="720"/>
        </w:tabs>
        <w:suppressAutoHyphens/>
        <w:autoSpaceDE w:val="0"/>
        <w:autoSpaceDN w:val="0"/>
        <w:adjustRightInd w:val="0"/>
        <w:snapToGrid w:val="0"/>
        <w:spacing w:before="120" w:after="120"/>
        <w:ind w:left="0" w:firstLine="0"/>
        <w:contextualSpacing w:val="0"/>
        <w:rPr>
          <w:rFonts w:ascii="SimSun" w:hAnsi="SimSun"/>
          <w:sz w:val="24"/>
          <w:lang w:eastAsia="de-DE"/>
        </w:rPr>
      </w:pPr>
      <w:r w:rsidRPr="000E18E5">
        <w:rPr>
          <w:rFonts w:ascii="SimSun" w:hAnsi="SimSun" w:hint="eastAsia"/>
          <w:sz w:val="24"/>
          <w:lang w:eastAsia="de-DE"/>
        </w:rPr>
        <w:t>授粉媒介增强了绝大多数植物物种（</w:t>
      </w:r>
      <w:r w:rsidRPr="0033385D">
        <w:rPr>
          <w:rFonts w:hint="eastAsia"/>
          <w:sz w:val="24"/>
          <w:lang w:eastAsia="de-DE"/>
        </w:rPr>
        <w:t>约</w:t>
      </w:r>
      <w:r w:rsidRPr="0033385D">
        <w:rPr>
          <w:rFonts w:hint="eastAsia"/>
          <w:sz w:val="24"/>
          <w:lang w:eastAsia="de-DE"/>
        </w:rPr>
        <w:t>87.5</w:t>
      </w:r>
      <w:r w:rsidRPr="0033385D">
        <w:rPr>
          <w:rFonts w:hint="eastAsia"/>
          <w:sz w:val="24"/>
          <w:lang w:eastAsia="de-DE"/>
        </w:rPr>
        <w:t>％）</w:t>
      </w:r>
      <w:r w:rsidRPr="000E18E5">
        <w:rPr>
          <w:rFonts w:ascii="SimSun" w:hAnsi="SimSun" w:hint="eastAsia"/>
          <w:sz w:val="24"/>
          <w:lang w:eastAsia="de-DE"/>
        </w:rPr>
        <w:t>的繁殖和遗传多样性。大约一半的植物物种完全依赖于动物介导的授粉。动物介导的授粉通常会导致一定程度的异花授粉，从而促进和维持种群的遗传变异，使</w:t>
      </w:r>
      <w:r>
        <w:rPr>
          <w:rFonts w:ascii="SimSun" w:hAnsi="SimSun" w:hint="eastAsia"/>
          <w:sz w:val="24"/>
        </w:rPr>
        <w:t>植物</w:t>
      </w:r>
      <w:r w:rsidRPr="000E18E5">
        <w:rPr>
          <w:rFonts w:ascii="SimSun" w:hAnsi="SimSun" w:hint="eastAsia"/>
          <w:sz w:val="24"/>
          <w:lang w:eastAsia="de-DE"/>
        </w:rPr>
        <w:t>物种</w:t>
      </w:r>
      <w:r w:rsidRPr="000E18E5">
        <w:rPr>
          <w:rFonts w:ascii="SimSun" w:hAnsi="SimSun" w:hint="eastAsia"/>
          <w:sz w:val="24"/>
        </w:rPr>
        <w:t>能够</w:t>
      </w:r>
      <w:r w:rsidRPr="000E18E5">
        <w:rPr>
          <w:rFonts w:ascii="SimSun" w:hAnsi="SimSun" w:hint="eastAsia"/>
          <w:sz w:val="24"/>
          <w:lang w:eastAsia="de-DE"/>
        </w:rPr>
        <w:t>适应新的变化的环境。异花授粉也会导致更高的种子产量。</w:t>
      </w:r>
      <w:r w:rsidRPr="000E18E5">
        <w:rPr>
          <w:rFonts w:ascii="SimSun" w:hAnsi="SimSun" w:hint="eastAsia"/>
          <w:sz w:val="24"/>
        </w:rPr>
        <w:t>授粉</w:t>
      </w:r>
      <w:r w:rsidRPr="000E18E5">
        <w:rPr>
          <w:rFonts w:ascii="SimSun" w:hAnsi="SimSun" w:hint="eastAsia"/>
          <w:sz w:val="24"/>
          <w:lang w:eastAsia="de-DE"/>
        </w:rPr>
        <w:t>媒介</w:t>
      </w:r>
      <w:r w:rsidRPr="000E18E5">
        <w:rPr>
          <w:rFonts w:ascii="SimSun" w:hAnsi="SimSun" w:hint="eastAsia"/>
          <w:sz w:val="24"/>
        </w:rPr>
        <w:t>能够</w:t>
      </w:r>
      <w:r w:rsidRPr="000E18E5">
        <w:rPr>
          <w:rFonts w:ascii="SimSun" w:hAnsi="SimSun" w:hint="eastAsia"/>
          <w:sz w:val="24"/>
          <w:lang w:eastAsia="de-DE"/>
        </w:rPr>
        <w:t>确保种子繁殖体</w:t>
      </w:r>
      <w:r w:rsidRPr="000E18E5">
        <w:rPr>
          <w:rFonts w:ascii="SimSun" w:hAnsi="SimSun" w:hint="eastAsia"/>
          <w:sz w:val="24"/>
        </w:rPr>
        <w:t>的供应</w:t>
      </w:r>
      <w:r w:rsidRPr="000E18E5">
        <w:rPr>
          <w:rFonts w:ascii="SimSun" w:hAnsi="SimSun" w:hint="eastAsia"/>
          <w:sz w:val="24"/>
          <w:lang w:eastAsia="de-DE"/>
        </w:rPr>
        <w:t>和促进遗传变异</w:t>
      </w:r>
      <w:r w:rsidRPr="000E18E5">
        <w:rPr>
          <w:rFonts w:ascii="SimSun" w:hAnsi="SimSun" w:hint="eastAsia"/>
          <w:sz w:val="24"/>
          <w:lang w:val="de-DE" w:eastAsia="de-DE"/>
        </w:rPr>
        <w:t>，</w:t>
      </w:r>
      <w:r w:rsidRPr="000E18E5">
        <w:rPr>
          <w:rFonts w:ascii="SimSun" w:hAnsi="SimSun" w:hint="eastAsia"/>
          <w:sz w:val="24"/>
          <w:lang w:eastAsia="de-DE"/>
        </w:rPr>
        <w:t>被认为对维持植物多样性和生态系统功能具有根本重要性</w:t>
      </w:r>
      <w:r w:rsidRPr="000E18E5">
        <w:rPr>
          <w:rFonts w:ascii="SimSun" w:hAnsi="SimSun" w:hint="eastAsia"/>
          <w:sz w:val="24"/>
        </w:rPr>
        <w:t>。</w:t>
      </w:r>
    </w:p>
    <w:p w:rsidR="00495DEF" w:rsidRPr="006511D2" w:rsidRDefault="00495DEF" w:rsidP="00495DEF">
      <w:pPr>
        <w:pStyle w:val="ListParagraph"/>
        <w:widowControl w:val="0"/>
        <w:numPr>
          <w:ilvl w:val="1"/>
          <w:numId w:val="31"/>
        </w:numPr>
        <w:tabs>
          <w:tab w:val="left" w:pos="720"/>
        </w:tabs>
        <w:suppressAutoHyphens/>
        <w:autoSpaceDE w:val="0"/>
        <w:autoSpaceDN w:val="0"/>
        <w:adjustRightInd w:val="0"/>
        <w:snapToGrid w:val="0"/>
        <w:spacing w:before="120" w:after="120"/>
        <w:ind w:left="0" w:firstLine="0"/>
        <w:contextualSpacing w:val="0"/>
        <w:rPr>
          <w:rFonts w:ascii="SimSun" w:hAnsi="SimSun" w:cstheme="majorBidi"/>
          <w:bCs/>
          <w:sz w:val="24"/>
        </w:rPr>
      </w:pPr>
      <w:r w:rsidRPr="006511D2">
        <w:rPr>
          <w:rFonts w:ascii="SimSun" w:hAnsi="SimSun" w:hint="eastAsia"/>
          <w:sz w:val="24"/>
          <w:lang w:eastAsia="de-DE"/>
        </w:rPr>
        <w:t>植物和</w:t>
      </w:r>
      <w:r w:rsidRPr="006511D2">
        <w:rPr>
          <w:rFonts w:ascii="SimSun" w:hAnsi="SimSun" w:hint="eastAsia"/>
          <w:sz w:val="24"/>
        </w:rPr>
        <w:t>授粉媒介</w:t>
      </w:r>
      <w:r w:rsidRPr="006511D2">
        <w:rPr>
          <w:rFonts w:ascii="SimSun" w:hAnsi="SimSun" w:hint="eastAsia"/>
          <w:sz w:val="24"/>
          <w:lang w:eastAsia="de-DE"/>
        </w:rPr>
        <w:t>对于生态系统的持续运作至关重要，</w:t>
      </w:r>
      <w:r w:rsidRPr="006511D2">
        <w:rPr>
          <w:rFonts w:ascii="SimSun" w:hAnsi="SimSun" w:hint="eastAsia"/>
          <w:sz w:val="24"/>
        </w:rPr>
        <w:t>除其他</w:t>
      </w:r>
      <w:r>
        <w:rPr>
          <w:rFonts w:ascii="SimSun" w:hAnsi="SimSun" w:hint="eastAsia"/>
          <w:sz w:val="24"/>
        </w:rPr>
        <w:t>功能和</w:t>
      </w:r>
      <w:r w:rsidRPr="006511D2">
        <w:rPr>
          <w:rFonts w:ascii="SimSun" w:hAnsi="SimSun" w:hint="eastAsia"/>
          <w:sz w:val="24"/>
        </w:rPr>
        <w:t>服务外，</w:t>
      </w:r>
      <w:r w:rsidRPr="006511D2">
        <w:rPr>
          <w:rFonts w:ascii="SimSun" w:hAnsi="SimSun" w:hint="eastAsia"/>
          <w:sz w:val="24"/>
          <w:lang w:eastAsia="de-DE"/>
        </w:rPr>
        <w:t>有助于调节气候</w:t>
      </w:r>
      <w:r w:rsidRPr="006511D2">
        <w:rPr>
          <w:rFonts w:ascii="SimSun" w:hAnsi="SimSun" w:hint="eastAsia"/>
          <w:sz w:val="24"/>
        </w:rPr>
        <w:t>、</w:t>
      </w:r>
      <w:r w:rsidRPr="006511D2">
        <w:rPr>
          <w:rFonts w:ascii="SimSun" w:hAnsi="SimSun" w:hint="eastAsia"/>
          <w:sz w:val="24"/>
          <w:lang w:eastAsia="de-DE"/>
        </w:rPr>
        <w:t>提供支持许多其他物种</w:t>
      </w:r>
      <w:r w:rsidRPr="006511D2">
        <w:rPr>
          <w:rFonts w:ascii="SimSun" w:hAnsi="SimSun" w:hint="eastAsia"/>
          <w:sz w:val="24"/>
        </w:rPr>
        <w:t>的</w:t>
      </w:r>
      <w:r w:rsidRPr="006511D2">
        <w:rPr>
          <w:rFonts w:ascii="SimSun" w:hAnsi="SimSun" w:hint="eastAsia"/>
          <w:sz w:val="24"/>
          <w:lang w:eastAsia="de-DE"/>
        </w:rPr>
        <w:t>野生肉类</w:t>
      </w:r>
      <w:r w:rsidRPr="006511D2">
        <w:rPr>
          <w:rFonts w:ascii="SimSun" w:hAnsi="SimSun" w:hint="eastAsia"/>
          <w:sz w:val="24"/>
        </w:rPr>
        <w:t>、</w:t>
      </w:r>
      <w:r w:rsidRPr="006511D2">
        <w:rPr>
          <w:rFonts w:ascii="SimSun" w:hAnsi="SimSun" w:hint="eastAsia"/>
          <w:sz w:val="24"/>
          <w:lang w:eastAsia="de-DE"/>
        </w:rPr>
        <w:t>水果和种子</w:t>
      </w:r>
      <w:r w:rsidRPr="006511D2">
        <w:rPr>
          <w:rFonts w:ascii="SimSun" w:hAnsi="SimSun" w:hint="eastAsia"/>
          <w:sz w:val="24"/>
        </w:rPr>
        <w:t>、防治</w:t>
      </w:r>
      <w:r w:rsidRPr="006511D2">
        <w:rPr>
          <w:rFonts w:ascii="SimSun" w:hAnsi="SimSun" w:hint="eastAsia"/>
          <w:sz w:val="24"/>
          <w:lang w:eastAsia="de-DE"/>
        </w:rPr>
        <w:t>疟疾和其他疾病。</w:t>
      </w:r>
      <w:r w:rsidRPr="006511D2">
        <w:rPr>
          <w:rFonts w:ascii="SimSun" w:hAnsi="SimSun" w:hint="eastAsia"/>
          <w:sz w:val="24"/>
        </w:rPr>
        <w:t>吸纳</w:t>
      </w:r>
      <w:r w:rsidRPr="006511D2">
        <w:rPr>
          <w:rFonts w:ascii="SimSun" w:hAnsi="SimSun" w:hint="eastAsia"/>
          <w:sz w:val="24"/>
          <w:lang w:eastAsia="de-DE"/>
        </w:rPr>
        <w:t>高比例雌雄异</w:t>
      </w:r>
      <w:r w:rsidRPr="006511D2">
        <w:rPr>
          <w:rFonts w:ascii="SimSun" w:hAnsi="SimSun" w:hint="eastAsia"/>
          <w:sz w:val="24"/>
        </w:rPr>
        <w:t>体</w:t>
      </w:r>
      <w:r w:rsidRPr="006511D2">
        <w:rPr>
          <w:rFonts w:ascii="SimSun" w:hAnsi="SimSun" w:hint="eastAsia"/>
          <w:sz w:val="24"/>
          <w:lang w:eastAsia="de-DE"/>
        </w:rPr>
        <w:t>的热带森林特别依赖授粉。另一个例子是</w:t>
      </w:r>
      <w:r w:rsidRPr="006511D2">
        <w:rPr>
          <w:rFonts w:ascii="SimSun" w:hAnsi="SimSun" w:hint="eastAsia"/>
          <w:sz w:val="24"/>
          <w:lang w:val="de-DE"/>
        </w:rPr>
        <w:t>遍地都是</w:t>
      </w:r>
      <w:r w:rsidRPr="006511D2">
        <w:rPr>
          <w:rFonts w:ascii="SimSun" w:hAnsi="SimSun" w:hint="eastAsia"/>
          <w:sz w:val="24"/>
        </w:rPr>
        <w:t>专性远系繁殖植物的</w:t>
      </w:r>
      <w:r w:rsidRPr="006511D2">
        <w:rPr>
          <w:rFonts w:ascii="SimSun" w:hAnsi="SimSun" w:hint="eastAsia"/>
          <w:sz w:val="24"/>
          <w:lang w:eastAsia="de-DE"/>
        </w:rPr>
        <w:t>红树林，</w:t>
      </w:r>
      <w:r w:rsidRPr="006511D2">
        <w:rPr>
          <w:rFonts w:ascii="SimSun" w:hAnsi="SimSun" w:hint="eastAsia"/>
          <w:sz w:val="24"/>
        </w:rPr>
        <w:t>它们</w:t>
      </w:r>
      <w:r w:rsidRPr="006511D2">
        <w:rPr>
          <w:rFonts w:ascii="SimSun" w:hAnsi="SimSun" w:hint="eastAsia"/>
          <w:sz w:val="24"/>
          <w:lang w:eastAsia="de-DE"/>
        </w:rPr>
        <w:t>提供重要的</w:t>
      </w:r>
      <w:r>
        <w:rPr>
          <w:rFonts w:ascii="SimSun" w:hAnsi="SimSun" w:hint="eastAsia"/>
          <w:sz w:val="24"/>
        </w:rPr>
        <w:t>功能和</w:t>
      </w:r>
      <w:r w:rsidRPr="006511D2">
        <w:rPr>
          <w:rFonts w:ascii="SimSun" w:hAnsi="SimSun" w:hint="eastAsia"/>
          <w:sz w:val="24"/>
          <w:lang w:eastAsia="de-DE"/>
        </w:rPr>
        <w:t>服务，如防止海岸侵蚀</w:t>
      </w:r>
      <w:r w:rsidRPr="006511D2">
        <w:rPr>
          <w:rFonts w:ascii="SimSun" w:hAnsi="SimSun" w:hint="eastAsia"/>
          <w:sz w:val="24"/>
        </w:rPr>
        <w:t>、</w:t>
      </w:r>
      <w:r w:rsidRPr="006511D2">
        <w:rPr>
          <w:rFonts w:ascii="SimSun" w:hAnsi="SimSun" w:hint="eastAsia"/>
          <w:sz w:val="24"/>
          <w:lang w:eastAsia="de-DE"/>
        </w:rPr>
        <w:t>防止洪水和盐</w:t>
      </w:r>
      <w:r w:rsidRPr="006511D2">
        <w:rPr>
          <w:rFonts w:ascii="SimSun" w:hAnsi="SimSun" w:hint="eastAsia"/>
          <w:sz w:val="24"/>
        </w:rPr>
        <w:t>水入侵、</w:t>
      </w:r>
      <w:r w:rsidRPr="006511D2">
        <w:rPr>
          <w:rFonts w:ascii="SimSun" w:hAnsi="SimSun" w:hint="eastAsia"/>
          <w:sz w:val="24"/>
          <w:lang w:eastAsia="de-DE"/>
        </w:rPr>
        <w:t>提供木材燃料和木材</w:t>
      </w:r>
      <w:r w:rsidRPr="006511D2">
        <w:rPr>
          <w:rFonts w:ascii="SimSun" w:hAnsi="SimSun" w:hint="eastAsia"/>
          <w:sz w:val="24"/>
        </w:rPr>
        <w:t>、</w:t>
      </w:r>
      <w:r w:rsidRPr="006511D2">
        <w:rPr>
          <w:rFonts w:ascii="SimSun" w:hAnsi="SimSun" w:hint="eastAsia"/>
          <w:sz w:val="24"/>
          <w:lang w:eastAsia="de-DE"/>
        </w:rPr>
        <w:t>支持渔业，</w:t>
      </w:r>
      <w:r w:rsidRPr="006511D2">
        <w:rPr>
          <w:rFonts w:ascii="SimSun" w:hAnsi="SimSun" w:hint="eastAsia"/>
          <w:sz w:val="24"/>
        </w:rPr>
        <w:t>并</w:t>
      </w:r>
      <w:r w:rsidRPr="006511D2">
        <w:rPr>
          <w:rFonts w:ascii="SimSun" w:hAnsi="SimSun" w:hint="eastAsia"/>
          <w:sz w:val="24"/>
          <w:lang w:eastAsia="de-DE"/>
        </w:rPr>
        <w:t>为蜜蜂</w:t>
      </w:r>
      <w:r w:rsidRPr="006511D2">
        <w:rPr>
          <w:rFonts w:ascii="SimSun" w:hAnsi="SimSun" w:hint="eastAsia"/>
          <w:sz w:val="24"/>
        </w:rPr>
        <w:t>和其他许多物种提供生境和食物供应。</w:t>
      </w:r>
    </w:p>
    <w:p w:rsidR="00495DEF" w:rsidRPr="006511D2" w:rsidRDefault="00495DEF" w:rsidP="00495DEF">
      <w:pPr>
        <w:pStyle w:val="ListParagraph"/>
        <w:widowControl w:val="0"/>
        <w:numPr>
          <w:ilvl w:val="1"/>
          <w:numId w:val="31"/>
        </w:numPr>
        <w:tabs>
          <w:tab w:val="left" w:pos="720"/>
        </w:tabs>
        <w:suppressAutoHyphens/>
        <w:autoSpaceDE w:val="0"/>
        <w:autoSpaceDN w:val="0"/>
        <w:adjustRightInd w:val="0"/>
        <w:snapToGrid w:val="0"/>
        <w:spacing w:before="120" w:after="120"/>
        <w:ind w:left="0" w:firstLine="0"/>
        <w:contextualSpacing w:val="0"/>
        <w:rPr>
          <w:rFonts w:ascii="SimSun" w:hAnsi="SimSun"/>
          <w:sz w:val="24"/>
          <w:lang w:eastAsia="de-DE"/>
        </w:rPr>
      </w:pPr>
      <w:r w:rsidRPr="006511D2">
        <w:rPr>
          <w:rFonts w:ascii="SimSun" w:hAnsi="SimSun" w:cstheme="majorBidi" w:hint="eastAsia"/>
          <w:bCs/>
          <w:sz w:val="24"/>
        </w:rPr>
        <w:t>植物与其花卉参观者之间的相互作用不仅能维持植物多样性，还能维持大约35万种动物的多样性。虽然有强有力的证据表明，由于缺乏花卉资源而导致授粉媒介种群局部灭绝，但是，没有提出过关于缺乏花卉资源导致动物物种灭绝的报告。然而，考虑到生境破碎化程度、在过去</w:t>
      </w:r>
      <w:r w:rsidRPr="0043772A">
        <w:rPr>
          <w:bCs/>
          <w:sz w:val="24"/>
        </w:rPr>
        <w:t>100</w:t>
      </w:r>
      <w:r w:rsidRPr="006511D2">
        <w:rPr>
          <w:rFonts w:ascii="SimSun" w:hAnsi="SimSun" w:cstheme="majorBidi" w:hint="eastAsia"/>
          <w:bCs/>
          <w:sz w:val="24"/>
        </w:rPr>
        <w:t>年里已经灭绝或近乎灭绝的大量植物物种，以及有关访花动物利用寄主植物方面知识的缺失，这种情况实际发生却没得到记录的可能性是真实存在的。关于野生访花动物群落变化的数据是非常难以获取的，而这些变化的根源更是难以查明。</w:t>
      </w:r>
    </w:p>
    <w:p w:rsidR="00495DEF" w:rsidRPr="006511D2" w:rsidRDefault="00495DEF" w:rsidP="00495DEF">
      <w:pPr>
        <w:pStyle w:val="ListParagraph"/>
        <w:widowControl w:val="0"/>
        <w:numPr>
          <w:ilvl w:val="1"/>
          <w:numId w:val="31"/>
        </w:numPr>
        <w:tabs>
          <w:tab w:val="left" w:pos="720"/>
        </w:tabs>
        <w:suppressAutoHyphens/>
        <w:autoSpaceDE w:val="0"/>
        <w:autoSpaceDN w:val="0"/>
        <w:adjustRightInd w:val="0"/>
        <w:snapToGrid w:val="0"/>
        <w:spacing w:before="120" w:after="120"/>
        <w:ind w:left="0" w:firstLine="0"/>
        <w:contextualSpacing w:val="0"/>
        <w:rPr>
          <w:rFonts w:ascii="SimSun" w:hAnsi="SimSun"/>
          <w:sz w:val="24"/>
          <w:lang w:eastAsia="de-DE"/>
        </w:rPr>
      </w:pPr>
      <w:r w:rsidRPr="006511D2">
        <w:rPr>
          <w:rFonts w:ascii="SimSun" w:hAnsi="SimSun" w:hint="eastAsia"/>
          <w:sz w:val="24"/>
          <w:lang w:eastAsia="de-DE"/>
        </w:rPr>
        <w:t>授粉媒介</w:t>
      </w:r>
      <w:r w:rsidRPr="006511D2">
        <w:rPr>
          <w:rFonts w:ascii="SimSun" w:hAnsi="SimSun" w:hint="eastAsia"/>
          <w:sz w:val="24"/>
        </w:rPr>
        <w:t>、</w:t>
      </w:r>
      <w:r w:rsidRPr="006511D2">
        <w:rPr>
          <w:rFonts w:ascii="SimSun" w:hAnsi="SimSun" w:hint="eastAsia"/>
          <w:sz w:val="24"/>
          <w:lang w:eastAsia="de-DE"/>
        </w:rPr>
        <w:t>授粉媒介</w:t>
      </w:r>
      <w:r w:rsidRPr="006511D2">
        <w:rPr>
          <w:rFonts w:ascii="SimSun" w:hAnsi="SimSun" w:hint="eastAsia"/>
          <w:sz w:val="24"/>
        </w:rPr>
        <w:t>生境</w:t>
      </w:r>
      <w:r w:rsidRPr="006511D2">
        <w:rPr>
          <w:rFonts w:ascii="SimSun" w:hAnsi="SimSun" w:hint="eastAsia"/>
          <w:sz w:val="24"/>
          <w:lang w:eastAsia="de-DE"/>
        </w:rPr>
        <w:t>和传粉媒介产品是艺术</w:t>
      </w:r>
      <w:r w:rsidRPr="006511D2">
        <w:rPr>
          <w:rFonts w:ascii="SimSun" w:hAnsi="SimSun" w:hint="eastAsia"/>
          <w:sz w:val="24"/>
        </w:rPr>
        <w:t>、</w:t>
      </w:r>
      <w:r w:rsidRPr="006511D2">
        <w:rPr>
          <w:rFonts w:ascii="SimSun" w:hAnsi="SimSun" w:hint="eastAsia"/>
          <w:sz w:val="24"/>
          <w:lang w:eastAsia="de-DE"/>
        </w:rPr>
        <w:t>教育</w:t>
      </w:r>
      <w:r w:rsidRPr="006511D2">
        <w:rPr>
          <w:rFonts w:ascii="SimSun" w:hAnsi="SimSun" w:hint="eastAsia"/>
          <w:sz w:val="24"/>
        </w:rPr>
        <w:t>、</w:t>
      </w:r>
      <w:r w:rsidRPr="006511D2">
        <w:rPr>
          <w:rFonts w:ascii="SimSun" w:hAnsi="SimSun" w:hint="eastAsia"/>
          <w:sz w:val="24"/>
          <w:lang w:eastAsia="de-DE"/>
        </w:rPr>
        <w:t>文学</w:t>
      </w:r>
      <w:r w:rsidRPr="006511D2">
        <w:rPr>
          <w:rFonts w:ascii="SimSun" w:hAnsi="SimSun" w:hint="eastAsia"/>
          <w:sz w:val="24"/>
        </w:rPr>
        <w:t>、</w:t>
      </w:r>
      <w:r w:rsidRPr="006511D2">
        <w:rPr>
          <w:rFonts w:ascii="SimSun" w:hAnsi="SimSun" w:hint="eastAsia"/>
          <w:sz w:val="24"/>
          <w:lang w:eastAsia="de-DE"/>
        </w:rPr>
        <w:t>音乐</w:t>
      </w:r>
      <w:r w:rsidRPr="006511D2">
        <w:rPr>
          <w:rFonts w:ascii="SimSun" w:hAnsi="SimSun" w:hint="eastAsia"/>
          <w:sz w:val="24"/>
        </w:rPr>
        <w:t>、</w:t>
      </w:r>
      <w:r w:rsidRPr="006511D2">
        <w:rPr>
          <w:rFonts w:ascii="SimSun" w:hAnsi="SimSun" w:hint="eastAsia"/>
          <w:sz w:val="24"/>
          <w:lang w:eastAsia="de-DE"/>
        </w:rPr>
        <w:t>宗教</w:t>
      </w:r>
      <w:r w:rsidRPr="006511D2">
        <w:rPr>
          <w:rFonts w:ascii="SimSun" w:hAnsi="SimSun" w:hint="eastAsia"/>
          <w:sz w:val="24"/>
        </w:rPr>
        <w:t>、</w:t>
      </w:r>
      <w:r w:rsidRPr="006511D2">
        <w:rPr>
          <w:rFonts w:ascii="SimSun" w:hAnsi="SimSun" w:hint="eastAsia"/>
          <w:sz w:val="24"/>
          <w:lang w:eastAsia="de-DE"/>
        </w:rPr>
        <w:t>传统和技术的灵感来源。</w:t>
      </w:r>
      <w:r w:rsidRPr="0043772A">
        <w:rPr>
          <w:rFonts w:hint="eastAsia"/>
          <w:bCs/>
          <w:sz w:val="24"/>
        </w:rPr>
        <w:t>50</w:t>
      </w:r>
      <w:r w:rsidRPr="006511D2">
        <w:rPr>
          <w:rFonts w:ascii="SimSun" w:hAnsi="SimSun" w:hint="eastAsia"/>
          <w:sz w:val="24"/>
          <w:lang w:eastAsia="de-DE"/>
        </w:rPr>
        <w:t>多个国家</w:t>
      </w:r>
      <w:r w:rsidRPr="006511D2">
        <w:rPr>
          <w:rFonts w:ascii="SimSun" w:hAnsi="SimSun" w:hint="eastAsia"/>
          <w:sz w:val="24"/>
        </w:rPr>
        <w:t>记录了建立在土著</w:t>
      </w:r>
      <w:r w:rsidRPr="006511D2">
        <w:rPr>
          <w:rFonts w:ascii="SimSun" w:hAnsi="SimSun" w:hint="eastAsia"/>
          <w:sz w:val="24"/>
          <w:lang w:eastAsia="de-DE"/>
        </w:rPr>
        <w:t>和传统知识</w:t>
      </w:r>
      <w:r w:rsidRPr="006511D2">
        <w:rPr>
          <w:rFonts w:ascii="SimSun" w:hAnsi="SimSun" w:hint="eastAsia"/>
          <w:sz w:val="24"/>
        </w:rPr>
        <w:t>基础上</w:t>
      </w:r>
      <w:r w:rsidRPr="006511D2">
        <w:rPr>
          <w:rFonts w:ascii="SimSun" w:hAnsi="SimSun" w:hint="eastAsia"/>
          <w:sz w:val="24"/>
          <w:lang w:eastAsia="de-DE"/>
        </w:rPr>
        <w:t>的</w:t>
      </w:r>
      <w:r w:rsidRPr="006511D2">
        <w:rPr>
          <w:rFonts w:ascii="SimSun" w:hAnsi="SimSun" w:hint="eastAsia"/>
          <w:sz w:val="24"/>
        </w:rPr>
        <w:t>采蜜</w:t>
      </w:r>
      <w:r w:rsidRPr="006511D2">
        <w:rPr>
          <w:rFonts w:ascii="SimSun" w:hAnsi="SimSun" w:hint="eastAsia"/>
          <w:sz w:val="24"/>
          <w:lang w:eastAsia="de-DE"/>
        </w:rPr>
        <w:t>和养蜂实践。蜜蜂</w:t>
      </w:r>
      <w:r w:rsidRPr="006511D2">
        <w:rPr>
          <w:rFonts w:ascii="SimSun" w:hAnsi="SimSun" w:hint="eastAsia"/>
          <w:sz w:val="24"/>
        </w:rPr>
        <w:t>为</w:t>
      </w:r>
      <w:r w:rsidRPr="006511D2">
        <w:rPr>
          <w:rFonts w:ascii="SimSun" w:hAnsi="SimSun" w:hint="eastAsia"/>
          <w:sz w:val="24"/>
          <w:lang w:eastAsia="de-DE"/>
        </w:rPr>
        <w:t>世界各地的宗教图像和文本</w:t>
      </w:r>
      <w:r w:rsidRPr="006511D2">
        <w:rPr>
          <w:rFonts w:ascii="SimSun" w:hAnsi="SimSun" w:hint="eastAsia"/>
          <w:sz w:val="24"/>
        </w:rPr>
        <w:t>提供了灵感</w:t>
      </w:r>
      <w:r w:rsidRPr="006511D2">
        <w:rPr>
          <w:rFonts w:ascii="SimSun" w:hAnsi="SimSun" w:hint="eastAsia"/>
          <w:sz w:val="24"/>
          <w:lang w:eastAsia="de-DE"/>
        </w:rPr>
        <w:t>，其他传粉</w:t>
      </w:r>
      <w:r w:rsidRPr="006511D2">
        <w:rPr>
          <w:rFonts w:ascii="SimSun" w:hAnsi="SimSun" w:hint="eastAsia"/>
          <w:sz w:val="24"/>
        </w:rPr>
        <w:t>媒介</w:t>
      </w:r>
      <w:r w:rsidRPr="006511D2">
        <w:rPr>
          <w:rFonts w:ascii="SimSun" w:hAnsi="SimSun" w:hint="eastAsia"/>
          <w:sz w:val="24"/>
          <w:lang w:eastAsia="de-DE"/>
        </w:rPr>
        <w:t>（如蜂鸟）</w:t>
      </w:r>
      <w:r w:rsidRPr="006511D2">
        <w:rPr>
          <w:rFonts w:ascii="SimSun" w:hAnsi="SimSun" w:hint="eastAsia"/>
          <w:sz w:val="24"/>
        </w:rPr>
        <w:t>为</w:t>
      </w:r>
      <w:r w:rsidRPr="006511D2">
        <w:rPr>
          <w:rFonts w:ascii="SimSun" w:hAnsi="SimSun" w:hint="eastAsia"/>
          <w:sz w:val="24"/>
          <w:lang w:eastAsia="de-DE"/>
        </w:rPr>
        <w:t>牙买加和新加坡等国</w:t>
      </w:r>
      <w:r w:rsidRPr="006511D2">
        <w:rPr>
          <w:rFonts w:ascii="SimSun" w:hAnsi="SimSun" w:hint="eastAsia"/>
          <w:sz w:val="24"/>
        </w:rPr>
        <w:t>确认民族特征作出了贡献</w:t>
      </w:r>
      <w:r w:rsidRPr="006511D2">
        <w:rPr>
          <w:rFonts w:ascii="SimSun" w:hAnsi="SimSun" w:hint="eastAsia"/>
          <w:sz w:val="24"/>
          <w:lang w:eastAsia="de-DE"/>
        </w:rPr>
        <w:t>。</w:t>
      </w:r>
      <w:r w:rsidRPr="006511D2">
        <w:rPr>
          <w:rFonts w:ascii="SimSun" w:hAnsi="SimSun" w:hint="eastAsia"/>
          <w:sz w:val="24"/>
        </w:rPr>
        <w:t>授粉</w:t>
      </w:r>
      <w:r w:rsidRPr="006511D2">
        <w:rPr>
          <w:rFonts w:ascii="SimSun" w:hAnsi="SimSun" w:hint="eastAsia"/>
          <w:sz w:val="24"/>
          <w:lang w:eastAsia="de-DE"/>
        </w:rPr>
        <w:t>媒介和</w:t>
      </w:r>
      <w:r w:rsidRPr="006511D2">
        <w:rPr>
          <w:rFonts w:ascii="SimSun" w:hAnsi="SimSun" w:hint="eastAsia"/>
          <w:sz w:val="24"/>
        </w:rPr>
        <w:t>授粉</w:t>
      </w:r>
      <w:r w:rsidRPr="006511D2">
        <w:rPr>
          <w:rFonts w:ascii="SimSun" w:hAnsi="SimSun" w:hint="eastAsia"/>
          <w:sz w:val="24"/>
          <w:lang w:eastAsia="de-DE"/>
        </w:rPr>
        <w:t>媒介依赖</w:t>
      </w:r>
      <w:r w:rsidRPr="006511D2">
        <w:rPr>
          <w:rFonts w:ascii="SimSun" w:hAnsi="SimSun" w:hint="eastAsia"/>
          <w:sz w:val="24"/>
        </w:rPr>
        <w:t>型</w:t>
      </w:r>
      <w:r w:rsidRPr="006511D2">
        <w:rPr>
          <w:rFonts w:ascii="SimSun" w:hAnsi="SimSun" w:hint="eastAsia"/>
          <w:sz w:val="24"/>
          <w:lang w:eastAsia="de-DE"/>
        </w:rPr>
        <w:t>植物通过将其生物学启发和应用到人类创新</w:t>
      </w:r>
      <w:r w:rsidRPr="006511D2">
        <w:rPr>
          <w:rFonts w:ascii="SimSun" w:hAnsi="SimSun" w:hint="eastAsia"/>
          <w:sz w:val="24"/>
        </w:rPr>
        <w:t>中，例如机器人视觉导航，</w:t>
      </w:r>
      <w:r w:rsidRPr="006511D2">
        <w:rPr>
          <w:rFonts w:ascii="SimSun" w:hAnsi="SimSun" w:hint="eastAsia"/>
          <w:sz w:val="24"/>
          <w:lang w:eastAsia="de-DE"/>
        </w:rPr>
        <w:t>来支持技术和知识的进步</w:t>
      </w:r>
      <w:r w:rsidRPr="006511D2">
        <w:rPr>
          <w:rFonts w:ascii="SimSun" w:hAnsi="SimSun" w:hint="eastAsia"/>
          <w:sz w:val="24"/>
        </w:rPr>
        <w:t>。</w:t>
      </w:r>
    </w:p>
    <w:p w:rsidR="00495DEF" w:rsidRPr="00413272" w:rsidRDefault="00495DEF" w:rsidP="00495DEF">
      <w:pPr>
        <w:pStyle w:val="ListParagraph"/>
        <w:numPr>
          <w:ilvl w:val="1"/>
          <w:numId w:val="31"/>
        </w:numPr>
        <w:tabs>
          <w:tab w:val="left" w:pos="720"/>
        </w:tabs>
        <w:suppressAutoHyphens/>
        <w:autoSpaceDE w:val="0"/>
        <w:autoSpaceDN w:val="0"/>
        <w:adjustRightInd w:val="0"/>
        <w:snapToGrid w:val="0"/>
        <w:spacing w:before="120" w:after="120"/>
        <w:ind w:left="0" w:firstLine="0"/>
        <w:contextualSpacing w:val="0"/>
        <w:rPr>
          <w:rFonts w:ascii="SimSun" w:hAnsi="SimSun"/>
          <w:sz w:val="24"/>
          <w:lang w:eastAsia="de-DE"/>
        </w:rPr>
      </w:pPr>
      <w:r w:rsidRPr="00413272">
        <w:rPr>
          <w:rFonts w:ascii="SimSun" w:hAnsi="SimSun" w:hint="eastAsia"/>
          <w:sz w:val="24"/>
          <w:lang w:eastAsia="de-DE"/>
        </w:rPr>
        <w:t>蜜蜂产品促进全球养蜂人的收入。通过</w:t>
      </w:r>
      <w:r w:rsidRPr="00413272">
        <w:rPr>
          <w:rFonts w:ascii="SimSun" w:hAnsi="SimSun" w:hint="eastAsia"/>
          <w:sz w:val="24"/>
        </w:rPr>
        <w:t>蜜蜂友好型</w:t>
      </w:r>
      <w:r w:rsidRPr="00413272">
        <w:rPr>
          <w:rFonts w:ascii="SimSun" w:hAnsi="SimSun" w:hint="eastAsia"/>
          <w:sz w:val="24"/>
          <w:lang w:eastAsia="de-DE"/>
        </w:rPr>
        <w:t>行动，养蜂业</w:t>
      </w:r>
      <w:r w:rsidRPr="00413272">
        <w:rPr>
          <w:rFonts w:ascii="SimSun" w:hAnsi="SimSun" w:hint="eastAsia"/>
          <w:sz w:val="24"/>
        </w:rPr>
        <w:t>有可能</w:t>
      </w:r>
      <w:r w:rsidRPr="00413272">
        <w:rPr>
          <w:rFonts w:ascii="SimSun" w:hAnsi="SimSun" w:hint="eastAsia"/>
          <w:sz w:val="24"/>
          <w:lang w:eastAsia="de-DE"/>
        </w:rPr>
        <w:t>成为减少贫</w:t>
      </w:r>
      <w:r w:rsidRPr="00413272">
        <w:rPr>
          <w:rFonts w:ascii="SimSun" w:hAnsi="SimSun" w:hint="eastAsia"/>
          <w:sz w:val="24"/>
        </w:rPr>
        <w:t>穷、</w:t>
      </w:r>
      <w:r w:rsidRPr="00413272">
        <w:rPr>
          <w:rFonts w:ascii="SimSun" w:hAnsi="SimSun" w:hint="eastAsia"/>
          <w:sz w:val="24"/>
          <w:lang w:eastAsia="de-DE"/>
        </w:rPr>
        <w:t>赋予青年权</w:t>
      </w:r>
      <w:r w:rsidRPr="00413272">
        <w:rPr>
          <w:rFonts w:ascii="SimSun" w:hAnsi="SimSun" w:hint="eastAsia"/>
          <w:sz w:val="24"/>
        </w:rPr>
        <w:t>能和</w:t>
      </w:r>
      <w:r w:rsidRPr="00413272">
        <w:rPr>
          <w:rFonts w:ascii="SimSun" w:hAnsi="SimSun" w:hint="eastAsia"/>
          <w:sz w:val="24"/>
          <w:lang w:eastAsia="de-DE"/>
        </w:rPr>
        <w:t>为保护生物多样性创造机会</w:t>
      </w:r>
      <w:r w:rsidRPr="00413272">
        <w:rPr>
          <w:rFonts w:ascii="SimSun" w:hAnsi="SimSun" w:hint="eastAsia"/>
          <w:sz w:val="24"/>
        </w:rPr>
        <w:t>的有效工具</w:t>
      </w:r>
      <w:r w:rsidRPr="00413272">
        <w:rPr>
          <w:rFonts w:ascii="SimSun" w:hAnsi="SimSun" w:hint="eastAsia"/>
          <w:sz w:val="24"/>
          <w:lang w:eastAsia="de-DE"/>
        </w:rPr>
        <w:t>。</w:t>
      </w:r>
    </w:p>
    <w:p w:rsidR="00495DEF" w:rsidRPr="00413272" w:rsidRDefault="00495DEF" w:rsidP="00495DEF">
      <w:pPr>
        <w:pStyle w:val="ListParagraph"/>
        <w:numPr>
          <w:ilvl w:val="1"/>
          <w:numId w:val="31"/>
        </w:numPr>
        <w:tabs>
          <w:tab w:val="left" w:pos="720"/>
        </w:tabs>
        <w:suppressAutoHyphens/>
        <w:autoSpaceDE w:val="0"/>
        <w:autoSpaceDN w:val="0"/>
        <w:adjustRightInd w:val="0"/>
        <w:snapToGrid w:val="0"/>
        <w:spacing w:before="120" w:after="120"/>
        <w:ind w:left="0" w:firstLine="0"/>
        <w:contextualSpacing w:val="0"/>
        <w:rPr>
          <w:rFonts w:ascii="SimSun" w:hAnsi="SimSun"/>
          <w:sz w:val="24"/>
          <w:lang w:eastAsia="de-DE"/>
        </w:rPr>
      </w:pPr>
      <w:r w:rsidRPr="00413272">
        <w:rPr>
          <w:rFonts w:ascii="SimSun" w:hAnsi="SimSun" w:hint="eastAsia"/>
          <w:sz w:val="24"/>
          <w:lang w:eastAsia="de-DE"/>
        </w:rPr>
        <w:t>除作物外还有一系列具有重要经济意义的植物依赖于动物授粉媒介，其中包括</w:t>
      </w:r>
      <w:r w:rsidRPr="00413272">
        <w:rPr>
          <w:rFonts w:ascii="SimSun" w:hAnsi="SimSun" w:hint="eastAsia"/>
          <w:sz w:val="24"/>
        </w:rPr>
        <w:t>多种药理</w:t>
      </w:r>
      <w:r w:rsidRPr="00413272">
        <w:rPr>
          <w:rFonts w:ascii="SimSun" w:hAnsi="SimSun" w:hint="eastAsia"/>
          <w:sz w:val="24"/>
          <w:lang w:eastAsia="de-DE"/>
        </w:rPr>
        <w:t>植物物种。其他</w:t>
      </w:r>
      <w:r w:rsidRPr="00413272">
        <w:rPr>
          <w:rFonts w:ascii="SimSun" w:hAnsi="SimSun" w:hint="eastAsia"/>
          <w:sz w:val="24"/>
        </w:rPr>
        <w:t>授粉</w:t>
      </w:r>
      <w:r w:rsidRPr="00413272">
        <w:rPr>
          <w:rFonts w:ascii="SimSun" w:hAnsi="SimSun" w:hint="eastAsia"/>
          <w:sz w:val="24"/>
          <w:lang w:eastAsia="de-DE"/>
        </w:rPr>
        <w:t>媒介</w:t>
      </w:r>
      <w:r w:rsidRPr="00413272">
        <w:rPr>
          <w:rFonts w:ascii="SimSun" w:hAnsi="SimSun" w:hint="eastAsia"/>
          <w:sz w:val="24"/>
        </w:rPr>
        <w:t>依赖型</w:t>
      </w:r>
      <w:r w:rsidRPr="00413272">
        <w:rPr>
          <w:rFonts w:ascii="SimSun" w:hAnsi="SimSun" w:hint="eastAsia"/>
          <w:sz w:val="24"/>
          <w:lang w:eastAsia="de-DE"/>
        </w:rPr>
        <w:t>植物可提供有价值的</w:t>
      </w:r>
      <w:r>
        <w:rPr>
          <w:rFonts w:ascii="SimSun" w:hAnsi="SimSun" w:hint="eastAsia"/>
          <w:sz w:val="24"/>
        </w:rPr>
        <w:t>功能和</w:t>
      </w:r>
      <w:r w:rsidRPr="00413272">
        <w:rPr>
          <w:rFonts w:ascii="SimSun" w:hAnsi="SimSun" w:hint="eastAsia"/>
          <w:sz w:val="24"/>
          <w:lang w:eastAsia="de-DE"/>
        </w:rPr>
        <w:t>服务，如观赏植物</w:t>
      </w:r>
      <w:r w:rsidRPr="00413272">
        <w:rPr>
          <w:rFonts w:ascii="SimSun" w:hAnsi="SimSun" w:hint="eastAsia"/>
          <w:sz w:val="24"/>
        </w:rPr>
        <w:t>、</w:t>
      </w:r>
      <w:r w:rsidRPr="00413272">
        <w:rPr>
          <w:rFonts w:ascii="SimSun" w:hAnsi="SimSun" w:hint="eastAsia"/>
          <w:sz w:val="24"/>
          <w:lang w:eastAsia="de-DE"/>
        </w:rPr>
        <w:t>生物燃料</w:t>
      </w:r>
      <w:r w:rsidRPr="00413272">
        <w:rPr>
          <w:rFonts w:ascii="SimSun" w:hAnsi="SimSun" w:hint="eastAsia"/>
          <w:sz w:val="24"/>
        </w:rPr>
        <w:t>、</w:t>
      </w:r>
      <w:r w:rsidRPr="00413272">
        <w:rPr>
          <w:rFonts w:ascii="SimSun" w:hAnsi="SimSun" w:hint="eastAsia"/>
          <w:sz w:val="24"/>
          <w:lang w:eastAsia="de-DE"/>
        </w:rPr>
        <w:t>纤维</w:t>
      </w:r>
      <w:r w:rsidRPr="00413272">
        <w:rPr>
          <w:rFonts w:ascii="SimSun" w:hAnsi="SimSun" w:hint="eastAsia"/>
          <w:sz w:val="24"/>
        </w:rPr>
        <w:t>、</w:t>
      </w:r>
      <w:r w:rsidRPr="00413272">
        <w:rPr>
          <w:rFonts w:ascii="SimSun" w:hAnsi="SimSun" w:hint="eastAsia"/>
          <w:sz w:val="24"/>
          <w:lang w:eastAsia="de-DE"/>
        </w:rPr>
        <w:t>建筑材料</w:t>
      </w:r>
      <w:r w:rsidRPr="00413272">
        <w:rPr>
          <w:rFonts w:ascii="SimSun" w:hAnsi="SimSun" w:hint="eastAsia"/>
          <w:sz w:val="24"/>
        </w:rPr>
        <w:t>、</w:t>
      </w:r>
      <w:r w:rsidRPr="00413272">
        <w:rPr>
          <w:rFonts w:ascii="SimSun" w:hAnsi="SimSun" w:hint="eastAsia"/>
          <w:sz w:val="24"/>
          <w:lang w:eastAsia="de-DE"/>
        </w:rPr>
        <w:t>乐器</w:t>
      </w:r>
      <w:r w:rsidRPr="00413272">
        <w:rPr>
          <w:rFonts w:ascii="SimSun" w:hAnsi="SimSun" w:hint="eastAsia"/>
          <w:sz w:val="24"/>
        </w:rPr>
        <w:t>、</w:t>
      </w:r>
      <w:r w:rsidRPr="00413272">
        <w:rPr>
          <w:rFonts w:ascii="SimSun" w:hAnsi="SimSun" w:hint="eastAsia"/>
          <w:sz w:val="24"/>
          <w:lang w:eastAsia="de-DE"/>
        </w:rPr>
        <w:t>艺术</w:t>
      </w:r>
      <w:r w:rsidRPr="00413272">
        <w:rPr>
          <w:rFonts w:ascii="SimSun" w:hAnsi="SimSun" w:hint="eastAsia"/>
          <w:sz w:val="24"/>
        </w:rPr>
        <w:t>、</w:t>
      </w:r>
      <w:r w:rsidRPr="00413272">
        <w:rPr>
          <w:rFonts w:ascii="SimSun" w:hAnsi="SimSun" w:hint="eastAsia"/>
          <w:sz w:val="24"/>
          <w:lang w:eastAsia="de-DE"/>
        </w:rPr>
        <w:t>手工艺和娱乐活动。</w:t>
      </w:r>
      <w:r w:rsidRPr="00413272">
        <w:rPr>
          <w:rFonts w:ascii="SimSun" w:hAnsi="SimSun" w:hint="eastAsia"/>
          <w:sz w:val="24"/>
        </w:rPr>
        <w:t>授粉</w:t>
      </w:r>
      <w:r w:rsidRPr="00413272">
        <w:rPr>
          <w:rFonts w:ascii="SimSun" w:hAnsi="SimSun" w:hint="eastAsia"/>
          <w:sz w:val="24"/>
          <w:lang w:eastAsia="de-DE"/>
        </w:rPr>
        <w:t>媒介依赖</w:t>
      </w:r>
      <w:r w:rsidRPr="00413272">
        <w:rPr>
          <w:rFonts w:ascii="SimSun" w:hAnsi="SimSun" w:hint="eastAsia"/>
          <w:sz w:val="24"/>
        </w:rPr>
        <w:t>型</w:t>
      </w:r>
      <w:r w:rsidRPr="00413272">
        <w:rPr>
          <w:rFonts w:ascii="SimSun" w:hAnsi="SimSun" w:hint="eastAsia"/>
          <w:sz w:val="24"/>
          <w:lang w:eastAsia="de-DE"/>
        </w:rPr>
        <w:t>植物也回收二氧化碳</w:t>
      </w:r>
      <w:r w:rsidRPr="00413272">
        <w:rPr>
          <w:rFonts w:ascii="SimSun" w:hAnsi="SimSun" w:hint="eastAsia"/>
          <w:sz w:val="24"/>
        </w:rPr>
        <w:t>、</w:t>
      </w:r>
      <w:r w:rsidRPr="00413272">
        <w:rPr>
          <w:rFonts w:ascii="SimSun" w:hAnsi="SimSun" w:hint="eastAsia"/>
          <w:sz w:val="24"/>
          <w:lang w:eastAsia="de-DE"/>
        </w:rPr>
        <w:t>调节气候</w:t>
      </w:r>
      <w:r w:rsidRPr="00413272">
        <w:rPr>
          <w:rFonts w:ascii="SimSun" w:hAnsi="SimSun" w:hint="eastAsia"/>
          <w:sz w:val="24"/>
        </w:rPr>
        <w:t>、</w:t>
      </w:r>
      <w:r w:rsidRPr="00413272">
        <w:rPr>
          <w:rFonts w:ascii="SimSun" w:hAnsi="SimSun" w:hint="eastAsia"/>
          <w:sz w:val="24"/>
          <w:lang w:eastAsia="de-DE"/>
        </w:rPr>
        <w:t>改善空气和水质</w:t>
      </w:r>
      <w:r w:rsidRPr="00413272">
        <w:rPr>
          <w:rFonts w:ascii="SimSun" w:hAnsi="SimSun" w:hint="eastAsia"/>
          <w:sz w:val="24"/>
        </w:rPr>
        <w:t>。</w:t>
      </w:r>
      <w:r w:rsidRPr="00413272">
        <w:rPr>
          <w:rFonts w:ascii="SimSun" w:hAnsi="SimSun" w:hint="eastAsia"/>
          <w:sz w:val="24"/>
          <w:lang w:eastAsia="de-DE"/>
        </w:rPr>
        <w:t>包括维生素A和C</w:t>
      </w:r>
      <w:r w:rsidRPr="00413272">
        <w:rPr>
          <w:rFonts w:ascii="SimSun" w:hAnsi="SimSun" w:hint="eastAsia"/>
          <w:sz w:val="24"/>
        </w:rPr>
        <w:t>、</w:t>
      </w:r>
      <w:r w:rsidRPr="00413272">
        <w:rPr>
          <w:rFonts w:ascii="SimSun" w:hAnsi="SimSun" w:hint="eastAsia"/>
          <w:sz w:val="24"/>
          <w:lang w:eastAsia="de-DE"/>
        </w:rPr>
        <w:t>钙</w:t>
      </w:r>
      <w:r w:rsidRPr="00413272">
        <w:rPr>
          <w:rFonts w:ascii="SimSun" w:hAnsi="SimSun" w:hint="eastAsia"/>
          <w:sz w:val="24"/>
        </w:rPr>
        <w:t>、</w:t>
      </w:r>
      <w:r w:rsidRPr="00413272">
        <w:rPr>
          <w:rFonts w:ascii="SimSun" w:hAnsi="SimSun" w:hint="eastAsia"/>
          <w:sz w:val="24"/>
          <w:lang w:eastAsia="de-DE"/>
        </w:rPr>
        <w:t>氟和叶酸</w:t>
      </w:r>
      <w:r w:rsidRPr="00413272">
        <w:rPr>
          <w:rFonts w:ascii="SimSun" w:hAnsi="SimSun" w:hint="eastAsia"/>
          <w:sz w:val="24"/>
        </w:rPr>
        <w:t>等在内的</w:t>
      </w:r>
      <w:r w:rsidRPr="00413272">
        <w:rPr>
          <w:rFonts w:ascii="SimSun" w:hAnsi="SimSun" w:hint="eastAsia"/>
          <w:sz w:val="24"/>
          <w:lang w:eastAsia="de-DE"/>
        </w:rPr>
        <w:t>几种微量营养素</w:t>
      </w:r>
      <w:r w:rsidRPr="00413272">
        <w:rPr>
          <w:rFonts w:ascii="SimSun" w:hAnsi="SimSun" w:hint="eastAsia"/>
          <w:sz w:val="24"/>
        </w:rPr>
        <w:t>也</w:t>
      </w:r>
      <w:r w:rsidRPr="00413272">
        <w:rPr>
          <w:rFonts w:ascii="SimSun" w:hAnsi="SimSun" w:hint="eastAsia"/>
          <w:sz w:val="24"/>
          <w:lang w:eastAsia="de-DE"/>
        </w:rPr>
        <w:t>主要</w:t>
      </w:r>
      <w:r w:rsidRPr="00413272">
        <w:rPr>
          <w:rFonts w:ascii="SimSun" w:hAnsi="SimSun" w:hint="eastAsia"/>
          <w:sz w:val="24"/>
        </w:rPr>
        <w:t>取</w:t>
      </w:r>
      <w:r w:rsidRPr="00413272">
        <w:rPr>
          <w:rFonts w:ascii="SimSun" w:hAnsi="SimSun" w:hint="eastAsia"/>
          <w:sz w:val="24"/>
          <w:lang w:eastAsia="de-DE"/>
        </w:rPr>
        <w:t>自</w:t>
      </w:r>
      <w:r w:rsidRPr="00413272">
        <w:rPr>
          <w:rFonts w:ascii="SimSun" w:hAnsi="SimSun" w:hint="eastAsia"/>
          <w:sz w:val="24"/>
        </w:rPr>
        <w:t>授粉</w:t>
      </w:r>
      <w:r w:rsidRPr="00413272">
        <w:rPr>
          <w:rFonts w:ascii="SimSun" w:hAnsi="SimSun" w:hint="eastAsia"/>
          <w:sz w:val="24"/>
          <w:lang w:eastAsia="de-DE"/>
        </w:rPr>
        <w:t>媒介依赖</w:t>
      </w:r>
      <w:r w:rsidRPr="00413272">
        <w:rPr>
          <w:rFonts w:ascii="SimSun" w:hAnsi="SimSun" w:hint="eastAsia"/>
          <w:sz w:val="24"/>
        </w:rPr>
        <w:t>型</w:t>
      </w:r>
      <w:r w:rsidRPr="00413272">
        <w:rPr>
          <w:rFonts w:ascii="SimSun" w:hAnsi="SimSun" w:hint="eastAsia"/>
          <w:sz w:val="24"/>
          <w:lang w:eastAsia="de-DE"/>
        </w:rPr>
        <w:t>植物。此外，</w:t>
      </w:r>
      <w:r w:rsidRPr="00413272">
        <w:rPr>
          <w:rFonts w:ascii="SimSun" w:hAnsi="SimSun" w:hint="eastAsia"/>
          <w:sz w:val="24"/>
        </w:rPr>
        <w:t>授粉媒介</w:t>
      </w:r>
      <w:r w:rsidRPr="00413272">
        <w:rPr>
          <w:rFonts w:ascii="SimSun" w:hAnsi="SimSun" w:hint="eastAsia"/>
          <w:sz w:val="24"/>
          <w:lang w:eastAsia="de-DE"/>
        </w:rPr>
        <w:t>产品也用于改善健康，如</w:t>
      </w:r>
      <w:r w:rsidRPr="00413272">
        <w:rPr>
          <w:rFonts w:ascii="SimSun" w:hAnsi="SimSun" w:hint="eastAsia"/>
          <w:sz w:val="24"/>
        </w:rPr>
        <w:t>用于</w:t>
      </w:r>
      <w:r w:rsidRPr="00413272">
        <w:rPr>
          <w:rFonts w:ascii="SimSun" w:hAnsi="SimSun" w:hint="eastAsia"/>
          <w:sz w:val="24"/>
          <w:lang w:eastAsia="de-DE"/>
        </w:rPr>
        <w:t>抗菌</w:t>
      </w:r>
      <w:r w:rsidRPr="00413272">
        <w:rPr>
          <w:rFonts w:ascii="SimSun" w:hAnsi="SimSun" w:hint="eastAsia"/>
          <w:sz w:val="24"/>
        </w:rPr>
        <w:t>剂、</w:t>
      </w:r>
      <w:r w:rsidRPr="00413272">
        <w:rPr>
          <w:rFonts w:ascii="SimSun" w:hAnsi="SimSun" w:hint="eastAsia"/>
          <w:sz w:val="24"/>
          <w:lang w:eastAsia="de-DE"/>
        </w:rPr>
        <w:t>抗真菌</w:t>
      </w:r>
      <w:r w:rsidRPr="00413272">
        <w:rPr>
          <w:rFonts w:ascii="SimSun" w:hAnsi="SimSun" w:hint="eastAsia"/>
          <w:sz w:val="24"/>
        </w:rPr>
        <w:t>剂</w:t>
      </w:r>
      <w:r w:rsidRPr="00413272">
        <w:rPr>
          <w:rFonts w:ascii="SimSun" w:hAnsi="SimSun" w:hint="eastAsia"/>
          <w:sz w:val="24"/>
          <w:lang w:eastAsia="de-DE"/>
        </w:rPr>
        <w:t>和</w:t>
      </w:r>
      <w:r>
        <w:rPr>
          <w:rFonts w:ascii="SimSun" w:hAnsi="SimSun" w:hint="eastAsia"/>
          <w:sz w:val="24"/>
        </w:rPr>
        <w:t>防治</w:t>
      </w:r>
      <w:r w:rsidRPr="00413272">
        <w:rPr>
          <w:rFonts w:ascii="SimSun" w:hAnsi="SimSun" w:hint="eastAsia"/>
          <w:sz w:val="24"/>
          <w:lang w:eastAsia="de-DE"/>
        </w:rPr>
        <w:t>糖尿病药物。</w:t>
      </w:r>
      <w:r w:rsidRPr="00413272">
        <w:rPr>
          <w:rFonts w:ascii="SimSun" w:hAnsi="SimSun" w:hint="eastAsia"/>
          <w:sz w:val="24"/>
        </w:rPr>
        <w:t>包括</w:t>
      </w:r>
      <w:r w:rsidRPr="00413272">
        <w:rPr>
          <w:rFonts w:ascii="SimSun" w:hAnsi="SimSun" w:hint="eastAsia"/>
          <w:sz w:val="24"/>
          <w:lang w:eastAsia="de-DE"/>
        </w:rPr>
        <w:t>蜜蜂</w:t>
      </w:r>
      <w:r w:rsidRPr="00413272">
        <w:rPr>
          <w:rFonts w:ascii="SimSun" w:hAnsi="SimSun" w:hint="eastAsia"/>
          <w:sz w:val="24"/>
        </w:rPr>
        <w:t>幼虫、</w:t>
      </w:r>
      <w:r w:rsidRPr="00413272">
        <w:rPr>
          <w:rFonts w:ascii="SimSun" w:hAnsi="SimSun" w:hint="eastAsia"/>
          <w:sz w:val="24"/>
          <w:lang w:eastAsia="de-DE"/>
        </w:rPr>
        <w:t>甲虫和棕榈象鼻虫在内的</w:t>
      </w:r>
      <w:r w:rsidRPr="00413272">
        <w:rPr>
          <w:rFonts w:ascii="SimSun" w:hAnsi="SimSun" w:hint="eastAsia"/>
          <w:sz w:val="24"/>
        </w:rPr>
        <w:t>授粉</w:t>
      </w:r>
      <w:r w:rsidRPr="00413272">
        <w:rPr>
          <w:rFonts w:ascii="SimSun" w:hAnsi="SimSun" w:hint="eastAsia"/>
          <w:sz w:val="24"/>
          <w:lang w:eastAsia="de-DE"/>
        </w:rPr>
        <w:t>昆虫</w:t>
      </w:r>
      <w:r w:rsidRPr="00413272">
        <w:rPr>
          <w:rFonts w:ascii="SimSun" w:hAnsi="SimSun" w:hint="eastAsia"/>
          <w:sz w:val="24"/>
        </w:rPr>
        <w:t>在</w:t>
      </w:r>
      <w:r w:rsidRPr="00413272">
        <w:rPr>
          <w:rFonts w:ascii="SimSun" w:hAnsi="SimSun" w:hint="eastAsia"/>
          <w:sz w:val="24"/>
          <w:lang w:eastAsia="de-DE"/>
        </w:rPr>
        <w:t>全球</w:t>
      </w:r>
      <w:r w:rsidRPr="00413272">
        <w:rPr>
          <w:rFonts w:ascii="SimSun" w:hAnsi="SimSun" w:hint="eastAsia"/>
          <w:sz w:val="24"/>
        </w:rPr>
        <w:t>消费的</w:t>
      </w:r>
      <w:r w:rsidRPr="00413272">
        <w:rPr>
          <w:rFonts w:ascii="SimSun" w:hAnsi="SimSun" w:hint="eastAsia"/>
          <w:sz w:val="24"/>
          <w:lang w:eastAsia="de-DE"/>
        </w:rPr>
        <w:t>约</w:t>
      </w:r>
      <w:r w:rsidRPr="0033385D">
        <w:rPr>
          <w:rFonts w:hint="eastAsia"/>
          <w:sz w:val="24"/>
          <w:lang w:eastAsia="de-DE"/>
        </w:rPr>
        <w:t>2</w:t>
      </w:r>
      <w:r>
        <w:rPr>
          <w:rFonts w:hint="eastAsia"/>
          <w:sz w:val="24"/>
        </w:rPr>
        <w:t xml:space="preserve"> </w:t>
      </w:r>
      <w:r w:rsidRPr="0033385D">
        <w:rPr>
          <w:rFonts w:hint="eastAsia"/>
          <w:sz w:val="24"/>
          <w:lang w:eastAsia="de-DE"/>
        </w:rPr>
        <w:t>000</w:t>
      </w:r>
      <w:r w:rsidRPr="00413272">
        <w:rPr>
          <w:rFonts w:ascii="SimSun" w:hAnsi="SimSun" w:hint="eastAsia"/>
          <w:sz w:val="24"/>
          <w:lang w:eastAsia="de-DE"/>
        </w:rPr>
        <w:t>种昆虫</w:t>
      </w:r>
      <w:r w:rsidRPr="00413272">
        <w:rPr>
          <w:rFonts w:ascii="SimSun" w:hAnsi="SimSun" w:hint="eastAsia"/>
          <w:sz w:val="24"/>
        </w:rPr>
        <w:t>中占有</w:t>
      </w:r>
      <w:r w:rsidRPr="00413272">
        <w:rPr>
          <w:rFonts w:ascii="SimSun" w:hAnsi="SimSun" w:hint="eastAsia"/>
          <w:sz w:val="24"/>
          <w:lang w:eastAsia="de-DE"/>
        </w:rPr>
        <w:t>重</w:t>
      </w:r>
      <w:r w:rsidRPr="00413272">
        <w:rPr>
          <w:rFonts w:ascii="SimSun" w:hAnsi="SimSun" w:hint="eastAsia"/>
          <w:sz w:val="24"/>
        </w:rPr>
        <w:t>大</w:t>
      </w:r>
      <w:r w:rsidRPr="00413272">
        <w:rPr>
          <w:rFonts w:ascii="SimSun" w:hAnsi="SimSun" w:hint="eastAsia"/>
          <w:sz w:val="24"/>
          <w:lang w:eastAsia="de-DE"/>
        </w:rPr>
        <w:t>比例</w:t>
      </w:r>
      <w:r>
        <w:rPr>
          <w:rFonts w:ascii="SimSun" w:hAnsi="SimSun" w:hint="eastAsia"/>
          <w:sz w:val="24"/>
        </w:rPr>
        <w:t>，它们含有丰富的</w:t>
      </w:r>
      <w:r w:rsidRPr="00413272">
        <w:rPr>
          <w:rFonts w:ascii="SimSun" w:hAnsi="SimSun" w:hint="eastAsia"/>
          <w:sz w:val="24"/>
          <w:lang w:eastAsia="de-DE"/>
        </w:rPr>
        <w:t>蛋白质</w:t>
      </w:r>
      <w:r w:rsidRPr="00413272">
        <w:rPr>
          <w:rFonts w:ascii="SimSun" w:hAnsi="SimSun" w:hint="eastAsia"/>
          <w:sz w:val="24"/>
        </w:rPr>
        <w:t>、</w:t>
      </w:r>
      <w:r w:rsidRPr="00413272">
        <w:rPr>
          <w:rFonts w:ascii="SimSun" w:hAnsi="SimSun" w:hint="eastAsia"/>
          <w:sz w:val="24"/>
          <w:lang w:eastAsia="de-DE"/>
        </w:rPr>
        <w:t>维生素和矿物质。</w:t>
      </w:r>
    </w:p>
    <w:p w:rsidR="00495DEF" w:rsidRPr="00413272" w:rsidRDefault="00495DEF" w:rsidP="00495DEF">
      <w:pPr>
        <w:suppressAutoHyphens/>
        <w:autoSpaceDE w:val="0"/>
        <w:autoSpaceDN w:val="0"/>
        <w:adjustRightInd w:val="0"/>
        <w:snapToGrid w:val="0"/>
        <w:spacing w:before="120" w:after="120"/>
        <w:jc w:val="center"/>
        <w:rPr>
          <w:rFonts w:ascii="SimSun" w:hAnsi="SimSun" w:cstheme="majorBidi"/>
          <w:b/>
          <w:bCs/>
          <w:sz w:val="24"/>
        </w:rPr>
      </w:pPr>
      <w:r w:rsidRPr="0033385D">
        <w:rPr>
          <w:b/>
          <w:bCs/>
          <w:sz w:val="24"/>
        </w:rPr>
        <w:t>C.</w:t>
      </w:r>
      <w:r w:rsidRPr="00413272">
        <w:rPr>
          <w:rFonts w:ascii="SimSun" w:hAnsi="SimSun" w:cstheme="majorBidi"/>
          <w:b/>
          <w:bCs/>
          <w:sz w:val="24"/>
        </w:rPr>
        <w:tab/>
      </w:r>
      <w:r w:rsidRPr="00413272">
        <w:rPr>
          <w:rFonts w:ascii="SimSun" w:hAnsi="SimSun" w:cstheme="majorBidi" w:hint="eastAsia"/>
          <w:b/>
          <w:bCs/>
          <w:sz w:val="24"/>
        </w:rPr>
        <w:t>在所有生态系统中授粉媒介和授粉媒介依赖型植物的现状和趋势</w:t>
      </w:r>
    </w:p>
    <w:p w:rsidR="00495DEF" w:rsidRPr="0043772A" w:rsidRDefault="00495DEF" w:rsidP="00495DEF">
      <w:pPr>
        <w:pStyle w:val="ListParagraph"/>
        <w:numPr>
          <w:ilvl w:val="1"/>
          <w:numId w:val="31"/>
        </w:numPr>
        <w:tabs>
          <w:tab w:val="left" w:pos="720"/>
        </w:tabs>
        <w:suppressAutoHyphens/>
        <w:autoSpaceDE w:val="0"/>
        <w:autoSpaceDN w:val="0"/>
        <w:adjustRightInd w:val="0"/>
        <w:snapToGrid w:val="0"/>
        <w:spacing w:before="120" w:after="120"/>
        <w:ind w:left="0" w:firstLine="0"/>
        <w:contextualSpacing w:val="0"/>
        <w:rPr>
          <w:rFonts w:eastAsiaTheme="minorEastAsia"/>
          <w:color w:val="000000" w:themeColor="text1"/>
          <w:kern w:val="24"/>
          <w:sz w:val="24"/>
          <w:lang w:val="en-US" w:eastAsia="ja-JP"/>
        </w:rPr>
      </w:pPr>
      <w:r w:rsidRPr="0043772A">
        <w:rPr>
          <w:rFonts w:eastAsiaTheme="minorEastAsia"/>
          <w:bCs/>
          <w:sz w:val="24"/>
        </w:rPr>
        <w:t>在地方和区域层面，许多昆虫授粉媒介（例如野生蜜蜂、蝴蝶、黄蜂和甲虫）和脊椎动物授粉媒介（例如，鸟类、有袋动物、啮齿类动物和蝙蝠）的丰富性、蕴蓄率和多样性都在下降。与自花授粉植物或风媒授粉植物相比，依赖授粉媒介的植物种类数量在减少</w:t>
      </w:r>
      <w:r w:rsidRPr="0043772A">
        <w:rPr>
          <w:rFonts w:eastAsiaTheme="minorEastAsia"/>
          <w:color w:val="000000" w:themeColor="text1"/>
          <w:kern w:val="24"/>
          <w:sz w:val="24"/>
          <w:lang w:val="en-US"/>
        </w:rPr>
        <w:t>。</w:t>
      </w:r>
    </w:p>
    <w:p w:rsidR="00495DEF" w:rsidRPr="0043772A" w:rsidRDefault="00495DEF" w:rsidP="00495DEF">
      <w:pPr>
        <w:pStyle w:val="ListParagraph"/>
        <w:numPr>
          <w:ilvl w:val="1"/>
          <w:numId w:val="31"/>
        </w:numPr>
        <w:tabs>
          <w:tab w:val="left" w:pos="720"/>
        </w:tabs>
        <w:suppressAutoHyphens/>
        <w:autoSpaceDE w:val="0"/>
        <w:autoSpaceDN w:val="0"/>
        <w:adjustRightInd w:val="0"/>
        <w:snapToGrid w:val="0"/>
        <w:spacing w:before="120" w:after="120"/>
        <w:ind w:left="0" w:firstLine="0"/>
        <w:contextualSpacing w:val="0"/>
        <w:rPr>
          <w:rFonts w:eastAsiaTheme="minorEastAsia"/>
          <w:color w:val="231F20"/>
          <w:sz w:val="24"/>
          <w:lang w:eastAsia="pt-BR"/>
        </w:rPr>
      </w:pPr>
      <w:r w:rsidRPr="0043772A">
        <w:rPr>
          <w:rFonts w:eastAsiaTheme="minorEastAsia"/>
          <w:color w:val="000000" w:themeColor="text1"/>
          <w:kern w:val="24"/>
          <w:sz w:val="24"/>
          <w:lang w:val="en-US" w:eastAsia="ja-JP"/>
        </w:rPr>
        <w:lastRenderedPageBreak/>
        <w:t>据报道</w:t>
      </w:r>
      <w:r w:rsidRPr="0043772A">
        <w:rPr>
          <w:rFonts w:eastAsiaTheme="minorEastAsia"/>
          <w:color w:val="000000" w:themeColor="text1"/>
          <w:kern w:val="24"/>
          <w:sz w:val="24"/>
          <w:lang w:val="en-US"/>
        </w:rPr>
        <w:t>，在</w:t>
      </w:r>
      <w:r w:rsidRPr="0043772A">
        <w:rPr>
          <w:rFonts w:eastAsiaTheme="minorEastAsia"/>
          <w:color w:val="000000" w:themeColor="text1"/>
          <w:kern w:val="24"/>
          <w:sz w:val="24"/>
          <w:lang w:val="en-US" w:eastAsia="ja-JP"/>
        </w:rPr>
        <w:t>所有地区</w:t>
      </w:r>
      <w:r w:rsidRPr="0043772A">
        <w:rPr>
          <w:rFonts w:eastAsiaTheme="minorEastAsia"/>
          <w:color w:val="000000" w:themeColor="text1"/>
          <w:kern w:val="24"/>
          <w:sz w:val="24"/>
          <w:lang w:val="en-US"/>
        </w:rPr>
        <w:t>，</w:t>
      </w:r>
      <w:r w:rsidRPr="0043772A">
        <w:rPr>
          <w:rFonts w:eastAsiaTheme="minorEastAsia"/>
          <w:color w:val="000000" w:themeColor="text1"/>
          <w:kern w:val="24"/>
          <w:sz w:val="24"/>
          <w:lang w:val="en-US" w:eastAsia="ja-JP"/>
        </w:rPr>
        <w:t>土地</w:t>
      </w:r>
      <w:r w:rsidRPr="0043772A">
        <w:rPr>
          <w:rFonts w:eastAsiaTheme="minorEastAsia"/>
          <w:color w:val="000000" w:themeColor="text1"/>
          <w:kern w:val="24"/>
          <w:sz w:val="24"/>
          <w:lang w:val="en-US"/>
        </w:rPr>
        <w:t>用途改变</w:t>
      </w:r>
      <w:r w:rsidRPr="0043772A">
        <w:rPr>
          <w:rFonts w:eastAsiaTheme="minorEastAsia"/>
          <w:color w:val="000000" w:themeColor="text1"/>
          <w:kern w:val="24"/>
          <w:sz w:val="24"/>
          <w:lang w:val="en-US" w:eastAsia="ja-JP"/>
        </w:rPr>
        <w:t>是</w:t>
      </w:r>
      <w:r w:rsidRPr="0043772A">
        <w:rPr>
          <w:rFonts w:eastAsiaTheme="minorEastAsia"/>
          <w:color w:val="000000" w:themeColor="text1"/>
          <w:kern w:val="24"/>
          <w:sz w:val="24"/>
          <w:lang w:val="en-US"/>
        </w:rPr>
        <w:t>授粉</w:t>
      </w:r>
      <w:r w:rsidRPr="0043772A">
        <w:rPr>
          <w:rFonts w:eastAsiaTheme="minorEastAsia"/>
          <w:color w:val="000000" w:themeColor="text1"/>
          <w:kern w:val="24"/>
          <w:sz w:val="24"/>
          <w:lang w:val="en-US" w:eastAsia="ja-JP"/>
        </w:rPr>
        <w:t>媒介</w:t>
      </w:r>
      <w:r w:rsidRPr="0043772A">
        <w:rPr>
          <w:rFonts w:eastAsiaTheme="minorEastAsia"/>
          <w:color w:val="000000" w:themeColor="text1"/>
          <w:kern w:val="24"/>
          <w:sz w:val="24"/>
          <w:lang w:val="en-US"/>
        </w:rPr>
        <w:t>减少</w:t>
      </w:r>
      <w:r w:rsidRPr="0043772A">
        <w:rPr>
          <w:rFonts w:eastAsiaTheme="minorEastAsia"/>
          <w:color w:val="000000" w:themeColor="text1"/>
          <w:kern w:val="24"/>
          <w:sz w:val="24"/>
          <w:lang w:val="en-US" w:eastAsia="ja-JP"/>
        </w:rPr>
        <w:t>的主要驱动</w:t>
      </w:r>
      <w:r w:rsidRPr="0043772A">
        <w:rPr>
          <w:rFonts w:eastAsiaTheme="minorEastAsia"/>
          <w:color w:val="000000" w:themeColor="text1"/>
          <w:kern w:val="24"/>
          <w:sz w:val="24"/>
          <w:lang w:val="en-US"/>
        </w:rPr>
        <w:t>因素</w:t>
      </w:r>
      <w:r w:rsidRPr="0043772A">
        <w:rPr>
          <w:rFonts w:eastAsiaTheme="minorEastAsia"/>
          <w:color w:val="000000" w:themeColor="text1"/>
          <w:kern w:val="24"/>
          <w:sz w:val="24"/>
          <w:lang w:val="en-US" w:eastAsia="ja-JP"/>
        </w:rPr>
        <w:t>。在非洲，</w:t>
      </w:r>
      <w:r w:rsidRPr="0043772A">
        <w:rPr>
          <w:rFonts w:eastAsiaTheme="minorEastAsia"/>
          <w:bCs/>
          <w:sz w:val="24"/>
        </w:rPr>
        <w:t>由于农业土地转用和把木材用于建筑和燃料</w:t>
      </w:r>
      <w:r w:rsidRPr="0043772A">
        <w:rPr>
          <w:rFonts w:eastAsiaTheme="minorEastAsia"/>
          <w:color w:val="000000" w:themeColor="text1"/>
          <w:kern w:val="24"/>
          <w:sz w:val="24"/>
          <w:lang w:val="en-US" w:eastAsia="ja-JP"/>
        </w:rPr>
        <w:t>，毁林</w:t>
      </w:r>
      <w:r w:rsidRPr="0043772A">
        <w:rPr>
          <w:rFonts w:eastAsiaTheme="minorEastAsia"/>
          <w:color w:val="000000" w:themeColor="text1"/>
          <w:kern w:val="24"/>
          <w:sz w:val="24"/>
          <w:lang w:val="en-US"/>
        </w:rPr>
        <w:t>现象仍在</w:t>
      </w:r>
      <w:r w:rsidRPr="0043772A">
        <w:rPr>
          <w:rFonts w:eastAsiaTheme="minorEastAsia"/>
          <w:color w:val="000000" w:themeColor="text1"/>
          <w:kern w:val="24"/>
          <w:sz w:val="24"/>
          <w:lang w:val="en-US" w:eastAsia="ja-JP"/>
        </w:rPr>
        <w:t>发生。拉丁美洲、亚洲和太平洋地区大豆种植和油棕榈种植面积不断扩大，也对各自</w:t>
      </w:r>
      <w:r w:rsidRPr="0043772A">
        <w:rPr>
          <w:rFonts w:eastAsiaTheme="minorEastAsia"/>
          <w:color w:val="000000" w:themeColor="text1"/>
          <w:kern w:val="24"/>
          <w:sz w:val="24"/>
          <w:lang w:val="en-US"/>
        </w:rPr>
        <w:t>许多</w:t>
      </w:r>
      <w:r w:rsidRPr="0043772A">
        <w:rPr>
          <w:rFonts w:eastAsiaTheme="minorEastAsia"/>
          <w:color w:val="000000" w:themeColor="text1"/>
          <w:kern w:val="24"/>
          <w:sz w:val="24"/>
          <w:lang w:val="en-US" w:eastAsia="ja-JP"/>
        </w:rPr>
        <w:t>重要的生物群落</w:t>
      </w:r>
      <w:r w:rsidRPr="0043772A">
        <w:rPr>
          <w:rFonts w:eastAsiaTheme="minorEastAsia"/>
          <w:color w:val="000000" w:themeColor="text1"/>
          <w:kern w:val="24"/>
          <w:sz w:val="24"/>
          <w:lang w:val="en-US"/>
        </w:rPr>
        <w:t>产生</w:t>
      </w:r>
      <w:r w:rsidRPr="0043772A">
        <w:rPr>
          <w:rFonts w:eastAsiaTheme="minorEastAsia"/>
          <w:color w:val="000000" w:themeColor="text1"/>
          <w:kern w:val="24"/>
          <w:sz w:val="24"/>
          <w:lang w:val="en-US" w:eastAsia="ja-JP"/>
        </w:rPr>
        <w:t>影响</w:t>
      </w:r>
      <w:r w:rsidRPr="0043772A">
        <w:rPr>
          <w:rFonts w:eastAsiaTheme="minorEastAsia"/>
          <w:color w:val="000000" w:themeColor="text1"/>
          <w:kern w:val="24"/>
          <w:sz w:val="24"/>
          <w:lang w:val="en-US"/>
        </w:rPr>
        <w:t>。</w:t>
      </w:r>
    </w:p>
    <w:p w:rsidR="00495DEF" w:rsidRPr="0043772A" w:rsidRDefault="00495DEF" w:rsidP="00495DEF">
      <w:pPr>
        <w:pStyle w:val="ListParagraph"/>
        <w:numPr>
          <w:ilvl w:val="1"/>
          <w:numId w:val="31"/>
        </w:numPr>
        <w:tabs>
          <w:tab w:val="left" w:pos="720"/>
        </w:tabs>
        <w:suppressAutoHyphens/>
        <w:autoSpaceDE w:val="0"/>
        <w:autoSpaceDN w:val="0"/>
        <w:adjustRightInd w:val="0"/>
        <w:snapToGrid w:val="0"/>
        <w:spacing w:before="120" w:after="120"/>
        <w:ind w:left="0" w:firstLine="0"/>
        <w:contextualSpacing w:val="0"/>
        <w:rPr>
          <w:rFonts w:eastAsiaTheme="minorEastAsia"/>
          <w:spacing w:val="2"/>
          <w:sz w:val="24"/>
          <w:shd w:val="clear" w:color="auto" w:fill="FCFCFC"/>
        </w:rPr>
      </w:pPr>
      <w:r w:rsidRPr="0043772A">
        <w:rPr>
          <w:rFonts w:eastAsiaTheme="minorEastAsia"/>
          <w:sz w:val="24"/>
        </w:rPr>
        <w:t>伐木行为导致大自然中的野生蜂巢有可能绝迹。在马来西亚和巴西，现已表明伐木行为减少了野生蜂巢的数量，也导致授粉媒介的减少，对森林恢复或归产生影响。伐木还会减少拥有合适的未占用巢穴的森林栖息地。即使考虑到现行的认证木材管理规则，授粉媒介也会丧失。</w:t>
      </w:r>
    </w:p>
    <w:p w:rsidR="00495DEF" w:rsidRPr="0043772A" w:rsidRDefault="00495DEF" w:rsidP="00495DEF">
      <w:pPr>
        <w:pStyle w:val="ListParagraph"/>
        <w:numPr>
          <w:ilvl w:val="1"/>
          <w:numId w:val="31"/>
        </w:numPr>
        <w:tabs>
          <w:tab w:val="left" w:pos="720"/>
        </w:tabs>
        <w:suppressAutoHyphens/>
        <w:autoSpaceDE w:val="0"/>
        <w:autoSpaceDN w:val="0"/>
        <w:adjustRightInd w:val="0"/>
        <w:snapToGrid w:val="0"/>
        <w:spacing w:before="120" w:after="120"/>
        <w:ind w:left="0" w:firstLine="0"/>
        <w:contextualSpacing w:val="0"/>
        <w:rPr>
          <w:rFonts w:eastAsiaTheme="minorEastAsia"/>
          <w:sz w:val="24"/>
        </w:rPr>
      </w:pPr>
      <w:r w:rsidRPr="0043772A">
        <w:rPr>
          <w:rFonts w:eastAsiaTheme="minorEastAsia"/>
          <w:sz w:val="24"/>
        </w:rPr>
        <w:t>此外，在非洲，火灾频发火势凶猛，从而影响了植物的重播和再发芽，由于授粉媒介</w:t>
      </w:r>
      <w:r w:rsidRPr="0043772A">
        <w:rPr>
          <w:rFonts w:eastAsiaTheme="minorEastAsia"/>
          <w:sz w:val="24"/>
        </w:rPr>
        <w:t>-</w:t>
      </w:r>
      <w:r w:rsidRPr="0043772A">
        <w:rPr>
          <w:rFonts w:eastAsiaTheme="minorEastAsia"/>
          <w:sz w:val="24"/>
        </w:rPr>
        <w:t>植物特性化程度高，频发凶猛的火灾对不同的生态系统造成影响。这种特性化表明，授粉媒介明显易受减损，面对全球变化，对单一授粉媒介种类的依赖具有潜在风险。气候变化模型表明，由于火灾季节期将延长，火灾发生的频率可能也会增加。</w:t>
      </w:r>
    </w:p>
    <w:p w:rsidR="00495DEF" w:rsidRPr="0043772A" w:rsidRDefault="00495DEF" w:rsidP="00495DEF">
      <w:pPr>
        <w:pStyle w:val="ListParagraph"/>
        <w:numPr>
          <w:ilvl w:val="1"/>
          <w:numId w:val="31"/>
        </w:numPr>
        <w:tabs>
          <w:tab w:val="left" w:pos="720"/>
        </w:tabs>
        <w:suppressAutoHyphens/>
        <w:autoSpaceDE w:val="0"/>
        <w:autoSpaceDN w:val="0"/>
        <w:adjustRightInd w:val="0"/>
        <w:snapToGrid w:val="0"/>
        <w:spacing w:before="120" w:after="120"/>
        <w:ind w:left="0" w:firstLine="0"/>
        <w:contextualSpacing w:val="0"/>
        <w:rPr>
          <w:rFonts w:eastAsiaTheme="minorEastAsia"/>
          <w:sz w:val="24"/>
        </w:rPr>
      </w:pPr>
      <w:r w:rsidRPr="0043772A">
        <w:rPr>
          <w:rFonts w:eastAsiaTheme="minorEastAsia"/>
          <w:sz w:val="24"/>
        </w:rPr>
        <w:t>据报道，在拉丁美洲，外来蜜蜂入侵是本地蜜蜂减少的第二大驱动因素。引进蜜蜂品种也令人担忧，例如，在日本，这有可能破坏原生授粉网络。在亚洲，传统知识包括本土蜜蜂管理削弱，可能导致当地授粉媒介减少。对欧洲、加拿大、美国、澳大利亚和新西兰来说，农药以及病原体和寄生虫传播为授粉媒介带来的风险是一个重大关切问题</w:t>
      </w:r>
      <w:r w:rsidRPr="0043772A">
        <w:rPr>
          <w:rFonts w:eastAsiaTheme="minorEastAsia"/>
          <w:bCs/>
          <w:iCs/>
          <w:sz w:val="24"/>
        </w:rPr>
        <w:t>。</w:t>
      </w:r>
    </w:p>
    <w:p w:rsidR="00495DEF" w:rsidRPr="0043772A" w:rsidRDefault="00495DEF" w:rsidP="00495DEF">
      <w:pPr>
        <w:pStyle w:val="ListParagraph"/>
        <w:numPr>
          <w:ilvl w:val="1"/>
          <w:numId w:val="31"/>
        </w:numPr>
        <w:tabs>
          <w:tab w:val="left" w:pos="720"/>
        </w:tabs>
        <w:suppressAutoHyphens/>
        <w:autoSpaceDE w:val="0"/>
        <w:autoSpaceDN w:val="0"/>
        <w:adjustRightInd w:val="0"/>
        <w:snapToGrid w:val="0"/>
        <w:spacing w:before="120" w:after="120"/>
        <w:ind w:left="0" w:firstLine="0"/>
        <w:contextualSpacing w:val="0"/>
        <w:rPr>
          <w:rFonts w:eastAsiaTheme="minorEastAsia"/>
          <w:sz w:val="24"/>
        </w:rPr>
      </w:pPr>
      <w:r w:rsidRPr="0043772A">
        <w:rPr>
          <w:rFonts w:eastAsiaTheme="minorEastAsia"/>
          <w:sz w:val="24"/>
        </w:rPr>
        <w:t>许多地区的野生授粉媒介缺乏时空变化，加之已知的生物分类很少，妨碍了对授粉媒介现状和趋势的评估。此外，由于缺乏专门针对昆虫授粉媒介的全球红色名录评估，以及世界大部分地区缺乏种群的长期数据或基准数据，而无法对野生授粉媒介种群的现状进行比较，因此很难确认任何时间趋势。</w:t>
      </w:r>
    </w:p>
    <w:p w:rsidR="00495DEF" w:rsidRPr="0043772A" w:rsidRDefault="00495DEF" w:rsidP="00495DEF">
      <w:pPr>
        <w:pStyle w:val="ListParagraph"/>
        <w:numPr>
          <w:ilvl w:val="1"/>
          <w:numId w:val="31"/>
        </w:numPr>
        <w:tabs>
          <w:tab w:val="left" w:pos="720"/>
        </w:tabs>
        <w:suppressAutoHyphens/>
        <w:autoSpaceDE w:val="0"/>
        <w:autoSpaceDN w:val="0"/>
        <w:adjustRightInd w:val="0"/>
        <w:snapToGrid w:val="0"/>
        <w:spacing w:before="120" w:after="120"/>
        <w:ind w:left="0" w:firstLine="0"/>
        <w:contextualSpacing w:val="0"/>
        <w:rPr>
          <w:rFonts w:eastAsiaTheme="minorEastAsia"/>
          <w:sz w:val="24"/>
          <w:lang w:eastAsia="de-DE"/>
        </w:rPr>
      </w:pPr>
      <w:r w:rsidRPr="0043772A">
        <w:rPr>
          <w:rFonts w:eastAsiaTheme="minorEastAsia"/>
          <w:sz w:val="24"/>
        </w:rPr>
        <w:t>按地区划分，</w:t>
      </w:r>
      <w:r w:rsidRPr="0043772A">
        <w:rPr>
          <w:rFonts w:eastAsiaTheme="minorEastAsia"/>
          <w:sz w:val="24"/>
          <w:lang w:eastAsia="de-DE"/>
        </w:rPr>
        <w:t>被确定为</w:t>
      </w:r>
      <w:r w:rsidRPr="0043772A">
        <w:rPr>
          <w:rFonts w:eastAsiaTheme="minorEastAsia"/>
          <w:sz w:val="24"/>
        </w:rPr>
        <w:t>授粉媒介</w:t>
      </w:r>
      <w:r w:rsidRPr="0043772A">
        <w:rPr>
          <w:rFonts w:eastAsiaTheme="minorEastAsia"/>
          <w:sz w:val="24"/>
          <w:lang w:eastAsia="de-DE"/>
        </w:rPr>
        <w:t>最</w:t>
      </w:r>
      <w:r w:rsidRPr="0043772A">
        <w:rPr>
          <w:rFonts w:eastAsiaTheme="minorEastAsia"/>
          <w:sz w:val="24"/>
        </w:rPr>
        <w:t>容易减少</w:t>
      </w:r>
      <w:r w:rsidRPr="0043772A">
        <w:rPr>
          <w:rFonts w:eastAsiaTheme="minorEastAsia"/>
          <w:sz w:val="24"/>
          <w:lang w:eastAsia="de-DE"/>
        </w:rPr>
        <w:t>的</w:t>
      </w:r>
      <w:r w:rsidRPr="0043772A">
        <w:rPr>
          <w:rFonts w:eastAsiaTheme="minorEastAsia"/>
          <w:sz w:val="24"/>
        </w:rPr>
        <w:t>生境</w:t>
      </w:r>
      <w:r w:rsidRPr="0043772A">
        <w:rPr>
          <w:rFonts w:eastAsiaTheme="minorEastAsia"/>
          <w:sz w:val="24"/>
          <w:lang w:eastAsia="de-DE"/>
        </w:rPr>
        <w:t>和生物群落是：</w:t>
      </w:r>
    </w:p>
    <w:p w:rsidR="00495DEF" w:rsidRPr="0043772A" w:rsidRDefault="00495DEF" w:rsidP="00495DEF">
      <w:pPr>
        <w:pStyle w:val="Default"/>
        <w:numPr>
          <w:ilvl w:val="0"/>
          <w:numId w:val="32"/>
        </w:numPr>
        <w:tabs>
          <w:tab w:val="left" w:pos="1440"/>
        </w:tabs>
        <w:suppressAutoHyphens/>
        <w:snapToGrid w:val="0"/>
        <w:spacing w:before="120" w:after="120"/>
        <w:ind w:left="0" w:firstLine="720"/>
        <w:jc w:val="both"/>
        <w:rPr>
          <w:rFonts w:eastAsiaTheme="minorEastAsia"/>
          <w:lang w:val="en-US"/>
        </w:rPr>
      </w:pPr>
      <w:r w:rsidRPr="0043772A">
        <w:rPr>
          <w:rFonts w:eastAsiaTheme="minorEastAsia"/>
          <w:color w:val="auto"/>
          <w:lang w:val="en-GB" w:eastAsia="zh-CN"/>
        </w:rPr>
        <w:t>非洲</w:t>
      </w:r>
      <w:r w:rsidRPr="0043772A">
        <w:rPr>
          <w:rFonts w:eastAsiaTheme="minorEastAsia"/>
          <w:b/>
          <w:lang w:eastAsia="zh-CN"/>
        </w:rPr>
        <w:t>：</w:t>
      </w:r>
      <w:r w:rsidRPr="0043772A">
        <w:rPr>
          <w:rFonts w:eastAsiaTheme="minorEastAsia"/>
          <w:lang w:eastAsia="zh-CN"/>
        </w:rPr>
        <w:t>热带森林、干旱落叶林、亚热带森林、地中海、山地草原、热带和亚热带草原和草场、旱地和沙漠、湿地和</w:t>
      </w:r>
      <w:r w:rsidRPr="0043772A">
        <w:rPr>
          <w:rFonts w:eastAsiaTheme="minorEastAsia"/>
        </w:rPr>
        <w:t>坦泊</w:t>
      </w:r>
      <w:r w:rsidRPr="0043772A">
        <w:rPr>
          <w:rFonts w:eastAsiaTheme="minorEastAsia"/>
          <w:lang w:eastAsia="zh-CN"/>
        </w:rPr>
        <w:t>、城市和近郊区、沿海地区；</w:t>
      </w:r>
    </w:p>
    <w:p w:rsidR="00495DEF" w:rsidRPr="0043772A" w:rsidRDefault="00495DEF" w:rsidP="00495DEF">
      <w:pPr>
        <w:pStyle w:val="ListParagraph"/>
        <w:numPr>
          <w:ilvl w:val="0"/>
          <w:numId w:val="32"/>
        </w:numPr>
        <w:tabs>
          <w:tab w:val="left" w:pos="1440"/>
        </w:tabs>
        <w:suppressAutoHyphens/>
        <w:adjustRightInd w:val="0"/>
        <w:snapToGrid w:val="0"/>
        <w:spacing w:before="120" w:after="120"/>
        <w:ind w:left="0" w:firstLine="720"/>
        <w:contextualSpacing w:val="0"/>
        <w:rPr>
          <w:rFonts w:eastAsiaTheme="minorEastAsia"/>
          <w:sz w:val="24"/>
        </w:rPr>
      </w:pPr>
      <w:r w:rsidRPr="0043772A">
        <w:rPr>
          <w:rFonts w:eastAsiaTheme="minorEastAsia"/>
          <w:sz w:val="24"/>
        </w:rPr>
        <w:t>亚洲和太平洋：热带干旱常绿森林；</w:t>
      </w:r>
    </w:p>
    <w:p w:rsidR="00495DEF" w:rsidRPr="0043772A" w:rsidRDefault="00495DEF" w:rsidP="00495DEF">
      <w:pPr>
        <w:pStyle w:val="ListParagraph"/>
        <w:numPr>
          <w:ilvl w:val="0"/>
          <w:numId w:val="32"/>
        </w:numPr>
        <w:tabs>
          <w:tab w:val="left" w:pos="1440"/>
        </w:tabs>
        <w:suppressAutoHyphens/>
        <w:autoSpaceDE w:val="0"/>
        <w:autoSpaceDN w:val="0"/>
        <w:adjustRightInd w:val="0"/>
        <w:snapToGrid w:val="0"/>
        <w:spacing w:before="120" w:after="120"/>
        <w:ind w:left="0" w:firstLine="720"/>
        <w:contextualSpacing w:val="0"/>
        <w:rPr>
          <w:rFonts w:eastAsiaTheme="minorEastAsia"/>
          <w:sz w:val="24"/>
        </w:rPr>
      </w:pPr>
      <w:r w:rsidRPr="0043772A">
        <w:rPr>
          <w:rFonts w:eastAsiaTheme="minorEastAsia"/>
          <w:sz w:val="24"/>
        </w:rPr>
        <w:t>拉丁美洲</w:t>
      </w:r>
      <w:r w:rsidRPr="0043772A">
        <w:rPr>
          <w:rFonts w:eastAsiaTheme="minorEastAsia"/>
          <w:b/>
          <w:sz w:val="24"/>
        </w:rPr>
        <w:t>：</w:t>
      </w:r>
      <w:r w:rsidRPr="0043772A">
        <w:rPr>
          <w:rFonts w:eastAsiaTheme="minorEastAsia"/>
          <w:sz w:val="24"/>
        </w:rPr>
        <w:t>安第斯山脉</w:t>
      </w:r>
      <w:r w:rsidRPr="0043772A">
        <w:rPr>
          <w:rFonts w:eastAsiaTheme="minorEastAsia"/>
          <w:color w:val="222222"/>
          <w:sz w:val="24"/>
          <w:shd w:val="clear" w:color="auto" w:fill="FFFFFF"/>
        </w:rPr>
        <w:t>、中美洲山脉、高海拔地区、亚热带查科森林、塞拉多草原、</w:t>
      </w:r>
      <w:r w:rsidRPr="0043772A">
        <w:rPr>
          <w:rStyle w:val="st"/>
          <w:rFonts w:eastAsiaTheme="minorEastAsia"/>
          <w:sz w:val="24"/>
        </w:rPr>
        <w:t>潘塔纳尔湿地</w:t>
      </w:r>
      <w:r w:rsidRPr="0043772A">
        <w:rPr>
          <w:rFonts w:eastAsiaTheme="minorEastAsia"/>
          <w:color w:val="222222"/>
          <w:sz w:val="24"/>
          <w:shd w:val="clear" w:color="auto" w:fill="FFFFFF"/>
        </w:rPr>
        <w:t>、亚马逊森林</w:t>
      </w:r>
      <w:r w:rsidR="00FA727E">
        <w:rPr>
          <w:rFonts w:eastAsiaTheme="minorEastAsia" w:hint="eastAsia"/>
          <w:color w:val="222222"/>
          <w:sz w:val="24"/>
          <w:shd w:val="clear" w:color="auto" w:fill="FFFFFF"/>
        </w:rPr>
        <w:t>、</w:t>
      </w:r>
      <w:r w:rsidRPr="0043772A">
        <w:rPr>
          <w:rFonts w:eastAsiaTheme="minorEastAsia"/>
          <w:color w:val="222222"/>
          <w:sz w:val="24"/>
          <w:shd w:val="clear" w:color="auto" w:fill="FFFFFF"/>
        </w:rPr>
        <w:t>大西洋森林</w:t>
      </w:r>
      <w:r w:rsidR="00FA727E">
        <w:rPr>
          <w:rFonts w:eastAsiaTheme="minorEastAsia" w:hint="eastAsia"/>
          <w:color w:val="222222"/>
          <w:sz w:val="24"/>
          <w:shd w:val="clear" w:color="auto" w:fill="FFFFFF"/>
        </w:rPr>
        <w:t>等</w:t>
      </w:r>
      <w:r w:rsidRPr="0043772A">
        <w:rPr>
          <w:rFonts w:eastAsiaTheme="minorEastAsia"/>
          <w:color w:val="222222"/>
          <w:sz w:val="24"/>
          <w:shd w:val="clear" w:color="auto" w:fill="FFFFFF"/>
        </w:rPr>
        <w:t>；</w:t>
      </w:r>
    </w:p>
    <w:p w:rsidR="00495DEF" w:rsidRPr="0043772A" w:rsidRDefault="00495DEF" w:rsidP="00495DEF">
      <w:pPr>
        <w:pStyle w:val="ListParagraph"/>
        <w:numPr>
          <w:ilvl w:val="0"/>
          <w:numId w:val="32"/>
        </w:numPr>
        <w:tabs>
          <w:tab w:val="left" w:pos="1440"/>
        </w:tabs>
        <w:suppressAutoHyphens/>
        <w:autoSpaceDE w:val="0"/>
        <w:autoSpaceDN w:val="0"/>
        <w:adjustRightInd w:val="0"/>
        <w:snapToGrid w:val="0"/>
        <w:spacing w:before="120" w:after="120"/>
        <w:ind w:left="0" w:firstLine="720"/>
        <w:contextualSpacing w:val="0"/>
        <w:rPr>
          <w:rFonts w:eastAsiaTheme="minorEastAsia"/>
          <w:sz w:val="24"/>
        </w:rPr>
      </w:pPr>
      <w:r w:rsidRPr="0043772A">
        <w:rPr>
          <w:rFonts w:eastAsiaTheme="minorEastAsia"/>
          <w:bCs/>
          <w:sz w:val="24"/>
        </w:rPr>
        <w:t>欧洲、加拿大、美国、澳大利亚和新西兰</w:t>
      </w:r>
      <w:r w:rsidRPr="0043772A">
        <w:rPr>
          <w:rFonts w:eastAsiaTheme="minorEastAsia"/>
          <w:b/>
          <w:bCs/>
          <w:sz w:val="24"/>
        </w:rPr>
        <w:t>：</w:t>
      </w:r>
      <w:r w:rsidRPr="0043772A">
        <w:rPr>
          <w:rFonts w:eastAsiaTheme="minorEastAsia"/>
          <w:sz w:val="24"/>
        </w:rPr>
        <w:t>泥泞沼泽地、草原、荒野和</w:t>
      </w:r>
      <w:r w:rsidRPr="0043772A">
        <w:rPr>
          <w:rStyle w:val="ng-binding"/>
          <w:rFonts w:eastAsiaTheme="minorEastAsia"/>
          <w:sz w:val="24"/>
        </w:rPr>
        <w:t>灌木丛</w:t>
      </w:r>
      <w:r w:rsidRPr="0043772A">
        <w:rPr>
          <w:rFonts w:eastAsiaTheme="minorEastAsia"/>
          <w:sz w:val="24"/>
        </w:rPr>
        <w:t>。</w:t>
      </w:r>
    </w:p>
    <w:p w:rsidR="00495DEF" w:rsidRPr="0043772A" w:rsidRDefault="00495DEF" w:rsidP="00495DEF">
      <w:pPr>
        <w:pStyle w:val="ListParagraph"/>
        <w:numPr>
          <w:ilvl w:val="1"/>
          <w:numId w:val="31"/>
        </w:numPr>
        <w:tabs>
          <w:tab w:val="left" w:pos="720"/>
        </w:tabs>
        <w:suppressAutoHyphens/>
        <w:autoSpaceDE w:val="0"/>
        <w:autoSpaceDN w:val="0"/>
        <w:adjustRightInd w:val="0"/>
        <w:snapToGrid w:val="0"/>
        <w:spacing w:before="120" w:after="120"/>
        <w:ind w:left="0" w:firstLine="0"/>
        <w:contextualSpacing w:val="0"/>
        <w:rPr>
          <w:rFonts w:eastAsiaTheme="minorEastAsia"/>
          <w:color w:val="000000" w:themeColor="text1"/>
          <w:sz w:val="24"/>
          <w:lang w:val="en-US"/>
        </w:rPr>
      </w:pPr>
      <w:r w:rsidRPr="0043772A">
        <w:rPr>
          <w:rFonts w:eastAsiaTheme="minorEastAsia"/>
          <w:sz w:val="24"/>
        </w:rPr>
        <w:t>大西洋</w:t>
      </w:r>
      <w:r w:rsidRPr="0043772A">
        <w:rPr>
          <w:rFonts w:eastAsiaTheme="minorEastAsia"/>
          <w:color w:val="000000" w:themeColor="text1"/>
          <w:sz w:val="24"/>
          <w:lang w:val="en-US"/>
        </w:rPr>
        <w:t>森林是一个植物</w:t>
      </w:r>
      <w:r w:rsidRPr="0043772A">
        <w:rPr>
          <w:rFonts w:eastAsiaTheme="minorEastAsia"/>
          <w:color w:val="000000" w:themeColor="text1"/>
          <w:sz w:val="24"/>
          <w:lang w:val="en-US"/>
        </w:rPr>
        <w:t>-</w:t>
      </w:r>
      <w:r w:rsidRPr="0043772A">
        <w:rPr>
          <w:rFonts w:eastAsiaTheme="minorEastAsia"/>
          <w:color w:val="000000" w:themeColor="text1"/>
          <w:sz w:val="24"/>
          <w:lang w:val="en-US"/>
        </w:rPr>
        <w:t>授粉媒介相互作用密切的生物群落，它仅占其原始森林覆盖率的</w:t>
      </w:r>
      <w:r w:rsidRPr="0043772A">
        <w:rPr>
          <w:rFonts w:eastAsiaTheme="minorEastAsia"/>
          <w:color w:val="000000" w:themeColor="text1"/>
          <w:sz w:val="24"/>
          <w:lang w:val="en-US"/>
        </w:rPr>
        <w:t>29</w:t>
      </w:r>
      <w:r>
        <w:rPr>
          <w:rFonts w:eastAsiaTheme="minorEastAsia" w:hint="eastAsia"/>
          <w:color w:val="000000" w:themeColor="text1"/>
          <w:sz w:val="24"/>
          <w:lang w:val="en-US"/>
        </w:rPr>
        <w:t>%</w:t>
      </w:r>
      <w:r w:rsidRPr="0043772A">
        <w:rPr>
          <w:rFonts w:eastAsiaTheme="minorEastAsia"/>
          <w:color w:val="000000" w:themeColor="text1"/>
          <w:sz w:val="24"/>
          <w:lang w:val="en-US"/>
        </w:rPr>
        <w:t>，</w:t>
      </w:r>
      <w:r w:rsidRPr="007E192A">
        <w:rPr>
          <w:rStyle w:val="FootnoteReference"/>
          <w:rFonts w:eastAsiaTheme="minorEastAsia"/>
          <w:color w:val="000000" w:themeColor="text1"/>
          <w:sz w:val="24"/>
          <w:u w:val="none"/>
          <w:vertAlign w:val="superscript"/>
        </w:rPr>
        <w:footnoteReference w:id="12"/>
      </w:r>
      <w:r w:rsidRPr="007E192A">
        <w:rPr>
          <w:rFonts w:eastAsiaTheme="minorEastAsia"/>
          <w:color w:val="000000" w:themeColor="text1"/>
          <w:sz w:val="24"/>
          <w:vertAlign w:val="superscript"/>
          <w:lang w:val="en-US"/>
        </w:rPr>
        <w:t xml:space="preserve"> </w:t>
      </w:r>
      <w:r w:rsidRPr="0043772A">
        <w:rPr>
          <w:rFonts w:eastAsiaTheme="minorEastAsia"/>
          <w:color w:val="000000" w:themeColor="text1"/>
          <w:sz w:val="24"/>
          <w:lang w:val="en-US"/>
        </w:rPr>
        <w:t xml:space="preserve"> </w:t>
      </w:r>
      <w:r w:rsidRPr="0043772A">
        <w:rPr>
          <w:rFonts w:eastAsiaTheme="minorEastAsia"/>
          <w:color w:val="000000" w:themeColor="text1"/>
          <w:sz w:val="24"/>
          <w:lang w:val="en-US"/>
        </w:rPr>
        <w:t>因生境丧失和破碎化而受到高度威胁。该生物群落的极端破碎化意味着，只能在大型残留物内生存且有着相对特化的授粉和性别决定系统的植物物种存在差异减损。有人认为，查科干旱森林中自交（自花授粉）增加可能与非洲蜂入侵有关。</w:t>
      </w:r>
    </w:p>
    <w:p w:rsidR="00495DEF" w:rsidRPr="0043772A" w:rsidRDefault="00495DEF" w:rsidP="00495DEF">
      <w:pPr>
        <w:pStyle w:val="ListParagraph"/>
        <w:numPr>
          <w:ilvl w:val="1"/>
          <w:numId w:val="31"/>
        </w:numPr>
        <w:tabs>
          <w:tab w:val="left" w:pos="720"/>
        </w:tabs>
        <w:suppressAutoHyphens/>
        <w:autoSpaceDE w:val="0"/>
        <w:autoSpaceDN w:val="0"/>
        <w:adjustRightInd w:val="0"/>
        <w:snapToGrid w:val="0"/>
        <w:spacing w:before="120" w:after="120"/>
        <w:ind w:left="0" w:firstLine="0"/>
        <w:contextualSpacing w:val="0"/>
        <w:rPr>
          <w:rFonts w:eastAsiaTheme="minorEastAsia"/>
          <w:sz w:val="24"/>
        </w:rPr>
      </w:pPr>
      <w:r w:rsidRPr="0043772A">
        <w:rPr>
          <w:rFonts w:eastAsiaTheme="minorEastAsia"/>
          <w:sz w:val="24"/>
        </w:rPr>
        <w:t>在欧洲和北美，气候变化被认为是一个重大的潜在威胁。熊蜂由于在其历来势力范围以北拓殖新的栖息地，而无法追踪气候变暖现象。同时，它们正在从其势力范围的南部消失。有些物种已严重减少。</w:t>
      </w:r>
    </w:p>
    <w:p w:rsidR="00495DEF" w:rsidRPr="0043772A" w:rsidRDefault="00495DEF" w:rsidP="00495DEF">
      <w:pPr>
        <w:pStyle w:val="ListParagraph"/>
        <w:numPr>
          <w:ilvl w:val="1"/>
          <w:numId w:val="31"/>
        </w:numPr>
        <w:tabs>
          <w:tab w:val="left" w:pos="720"/>
        </w:tabs>
        <w:suppressAutoHyphens/>
        <w:autoSpaceDE w:val="0"/>
        <w:autoSpaceDN w:val="0"/>
        <w:adjustRightInd w:val="0"/>
        <w:snapToGrid w:val="0"/>
        <w:spacing w:before="120" w:after="120"/>
        <w:ind w:left="0" w:firstLine="0"/>
        <w:contextualSpacing w:val="0"/>
        <w:rPr>
          <w:rFonts w:eastAsiaTheme="minorEastAsia"/>
          <w:color w:val="000000" w:themeColor="text1"/>
          <w:kern w:val="24"/>
          <w:sz w:val="24"/>
          <w:lang w:val="en-US" w:eastAsia="ja-JP"/>
        </w:rPr>
      </w:pPr>
      <w:r w:rsidRPr="0043772A">
        <w:rPr>
          <w:rFonts w:eastAsiaTheme="minorEastAsia"/>
          <w:sz w:val="24"/>
        </w:rPr>
        <w:t>银蜂养殖</w:t>
      </w:r>
      <w:r w:rsidRPr="0043772A">
        <w:rPr>
          <w:rFonts w:eastAsiaTheme="minorEastAsia"/>
          <w:color w:val="000000" w:themeColor="text1"/>
          <w:kern w:val="24"/>
          <w:sz w:val="24"/>
          <w:lang w:eastAsia="ja-JP"/>
        </w:rPr>
        <w:t>–</w:t>
      </w:r>
      <w:r w:rsidRPr="0043772A">
        <w:rPr>
          <w:rFonts w:eastAsiaTheme="minorEastAsia"/>
          <w:color w:val="000000" w:themeColor="text1"/>
          <w:kern w:val="24"/>
          <w:sz w:val="24"/>
          <w:lang w:eastAsia="ja-JP"/>
        </w:rPr>
        <w:t>无刺蜜蜂（</w:t>
      </w:r>
      <w:r w:rsidRPr="0043772A">
        <w:rPr>
          <w:rFonts w:eastAsiaTheme="minorEastAsia"/>
          <w:color w:val="000000" w:themeColor="text1"/>
          <w:kern w:val="24"/>
          <w:sz w:val="24"/>
        </w:rPr>
        <w:t>银蜂</w:t>
      </w:r>
      <w:r w:rsidRPr="0043772A">
        <w:rPr>
          <w:rFonts w:eastAsiaTheme="minorEastAsia"/>
          <w:color w:val="000000" w:themeColor="text1"/>
          <w:kern w:val="24"/>
          <w:sz w:val="24"/>
          <w:lang w:eastAsia="ja-JP"/>
        </w:rPr>
        <w:t>）养</w:t>
      </w:r>
      <w:r w:rsidRPr="0043772A">
        <w:rPr>
          <w:rFonts w:eastAsiaTheme="minorEastAsia"/>
          <w:color w:val="000000" w:themeColor="text1"/>
          <w:kern w:val="24"/>
          <w:sz w:val="24"/>
        </w:rPr>
        <w:t>殖</w:t>
      </w:r>
      <w:r w:rsidRPr="0043772A">
        <w:rPr>
          <w:rFonts w:eastAsiaTheme="minorEastAsia"/>
          <w:color w:val="000000" w:themeColor="text1"/>
          <w:kern w:val="24"/>
          <w:sz w:val="24"/>
          <w:lang w:eastAsia="ja-JP"/>
        </w:rPr>
        <w:t>–</w:t>
      </w:r>
      <w:r w:rsidRPr="0043772A">
        <w:rPr>
          <w:rFonts w:eastAsiaTheme="minorEastAsia"/>
          <w:color w:val="000000" w:themeColor="text1"/>
          <w:kern w:val="24"/>
          <w:sz w:val="24"/>
        </w:rPr>
        <w:t>普遍由土著人民和当地社区承担，养蜂</w:t>
      </w:r>
      <w:r w:rsidRPr="0043772A">
        <w:rPr>
          <w:rFonts w:eastAsiaTheme="minorEastAsia"/>
          <w:color w:val="000000" w:themeColor="text1"/>
          <w:kern w:val="24"/>
          <w:sz w:val="24"/>
          <w:lang w:eastAsia="ja-JP"/>
        </w:rPr>
        <w:t>知识</w:t>
      </w:r>
      <w:r w:rsidRPr="0043772A">
        <w:rPr>
          <w:rFonts w:eastAsiaTheme="minorEastAsia"/>
          <w:color w:val="000000" w:themeColor="text1"/>
          <w:kern w:val="24"/>
          <w:sz w:val="24"/>
        </w:rPr>
        <w:t>则通过口头</w:t>
      </w:r>
      <w:r w:rsidRPr="0043772A">
        <w:rPr>
          <w:rFonts w:eastAsiaTheme="minorEastAsia"/>
          <w:color w:val="000000" w:themeColor="text1"/>
          <w:kern w:val="24"/>
          <w:sz w:val="24"/>
          <w:lang w:eastAsia="ja-JP"/>
        </w:rPr>
        <w:t>世代传承</w:t>
      </w:r>
      <w:r w:rsidRPr="0043772A">
        <w:rPr>
          <w:rFonts w:eastAsiaTheme="minorEastAsia"/>
          <w:color w:val="000000" w:themeColor="text1"/>
          <w:kern w:val="24"/>
          <w:sz w:val="24"/>
        </w:rPr>
        <w:t>。</w:t>
      </w:r>
      <w:r w:rsidRPr="0043772A">
        <w:rPr>
          <w:rFonts w:eastAsiaTheme="minorEastAsia"/>
          <w:color w:val="000000" w:themeColor="text1"/>
          <w:kern w:val="24"/>
          <w:sz w:val="24"/>
          <w:lang w:eastAsia="ja-JP"/>
        </w:rPr>
        <w:t>无刺蜜蜂是</w:t>
      </w:r>
      <w:r w:rsidRPr="0043772A">
        <w:rPr>
          <w:rFonts w:eastAsiaTheme="minorEastAsia"/>
          <w:color w:val="000000" w:themeColor="text1"/>
          <w:kern w:val="24"/>
          <w:sz w:val="24"/>
        </w:rPr>
        <w:t>作物</w:t>
      </w:r>
      <w:r w:rsidRPr="0043772A">
        <w:rPr>
          <w:rFonts w:eastAsiaTheme="minorEastAsia"/>
          <w:color w:val="000000" w:themeColor="text1"/>
          <w:kern w:val="24"/>
          <w:sz w:val="24"/>
          <w:lang w:eastAsia="ja-JP"/>
        </w:rPr>
        <w:t>和野果的有用授粉</w:t>
      </w:r>
      <w:r w:rsidRPr="0043772A">
        <w:rPr>
          <w:rFonts w:eastAsiaTheme="minorEastAsia"/>
          <w:color w:val="000000" w:themeColor="text1"/>
          <w:kern w:val="24"/>
          <w:sz w:val="24"/>
        </w:rPr>
        <w:t>媒介</w:t>
      </w:r>
      <w:r w:rsidRPr="0043772A">
        <w:rPr>
          <w:rFonts w:eastAsiaTheme="minorEastAsia"/>
          <w:color w:val="000000" w:themeColor="text1"/>
          <w:kern w:val="24"/>
          <w:sz w:val="24"/>
          <w:lang w:eastAsia="ja-JP"/>
        </w:rPr>
        <w:t>，其中大多数产蜜，用于医药目</w:t>
      </w:r>
      <w:r w:rsidRPr="0043772A">
        <w:rPr>
          <w:rFonts w:eastAsiaTheme="minorEastAsia"/>
          <w:color w:val="000000" w:themeColor="text1"/>
          <w:kern w:val="24"/>
          <w:sz w:val="24"/>
          <w:lang w:eastAsia="ja-JP"/>
        </w:rPr>
        <w:lastRenderedPageBreak/>
        <w:t>的。虽然银蜂养殖为热带国家</w:t>
      </w:r>
      <w:r w:rsidRPr="0043772A">
        <w:rPr>
          <w:rFonts w:eastAsiaTheme="minorEastAsia"/>
          <w:color w:val="000000" w:themeColor="text1"/>
          <w:kern w:val="24"/>
          <w:sz w:val="24"/>
        </w:rPr>
        <w:t>带来</w:t>
      </w:r>
      <w:r w:rsidRPr="0043772A">
        <w:rPr>
          <w:rFonts w:eastAsiaTheme="minorEastAsia"/>
          <w:color w:val="000000" w:themeColor="text1"/>
          <w:kern w:val="24"/>
          <w:sz w:val="24"/>
          <w:lang w:eastAsia="ja-JP"/>
        </w:rPr>
        <w:t>了经济机会，但是</w:t>
      </w:r>
      <w:r w:rsidRPr="0043772A">
        <w:rPr>
          <w:rFonts w:eastAsiaTheme="minorEastAsia"/>
          <w:color w:val="000000" w:themeColor="text1"/>
          <w:kern w:val="24"/>
          <w:sz w:val="24"/>
        </w:rPr>
        <w:t>，</w:t>
      </w:r>
      <w:r w:rsidRPr="0043772A">
        <w:rPr>
          <w:rFonts w:eastAsiaTheme="minorEastAsia"/>
          <w:color w:val="000000" w:themeColor="text1"/>
          <w:kern w:val="24"/>
          <w:sz w:val="24"/>
          <w:lang w:eastAsia="ja-JP"/>
        </w:rPr>
        <w:t>无刺蜂的大规模饲养可能会产生负面影响，</w:t>
      </w:r>
      <w:r w:rsidRPr="0043772A">
        <w:rPr>
          <w:rFonts w:eastAsiaTheme="minorEastAsia"/>
          <w:color w:val="000000" w:themeColor="text1"/>
          <w:kern w:val="24"/>
          <w:sz w:val="24"/>
        </w:rPr>
        <w:t>在当前</w:t>
      </w:r>
      <w:r w:rsidRPr="0043772A">
        <w:rPr>
          <w:rFonts w:eastAsiaTheme="minorEastAsia"/>
          <w:color w:val="000000" w:themeColor="text1"/>
          <w:kern w:val="24"/>
          <w:sz w:val="24"/>
          <w:lang w:eastAsia="ja-JP"/>
        </w:rPr>
        <w:t>被认为是</w:t>
      </w:r>
      <w:r w:rsidRPr="0043772A">
        <w:rPr>
          <w:rFonts w:eastAsiaTheme="minorEastAsia"/>
          <w:color w:val="000000" w:themeColor="text1"/>
          <w:kern w:val="24"/>
          <w:sz w:val="24"/>
        </w:rPr>
        <w:t>一项</w:t>
      </w:r>
      <w:r w:rsidRPr="0043772A">
        <w:rPr>
          <w:rFonts w:eastAsiaTheme="minorEastAsia"/>
          <w:color w:val="000000" w:themeColor="text1"/>
          <w:kern w:val="24"/>
          <w:sz w:val="24"/>
          <w:lang w:eastAsia="ja-JP"/>
        </w:rPr>
        <w:t>挑战</w:t>
      </w:r>
      <w:r w:rsidRPr="0043772A">
        <w:rPr>
          <w:rFonts w:eastAsiaTheme="minorEastAsia"/>
          <w:sz w:val="24"/>
        </w:rPr>
        <w:t>。</w:t>
      </w:r>
    </w:p>
    <w:p w:rsidR="00495DEF" w:rsidRPr="0043772A" w:rsidRDefault="00495DEF" w:rsidP="00495DEF">
      <w:pPr>
        <w:pStyle w:val="ListParagraph"/>
        <w:numPr>
          <w:ilvl w:val="1"/>
          <w:numId w:val="31"/>
        </w:numPr>
        <w:tabs>
          <w:tab w:val="left" w:pos="720"/>
        </w:tabs>
        <w:suppressAutoHyphens/>
        <w:autoSpaceDE w:val="0"/>
        <w:autoSpaceDN w:val="0"/>
        <w:adjustRightInd w:val="0"/>
        <w:snapToGrid w:val="0"/>
        <w:spacing w:before="120" w:after="120"/>
        <w:ind w:left="0" w:firstLine="0"/>
        <w:contextualSpacing w:val="0"/>
        <w:rPr>
          <w:rFonts w:eastAsiaTheme="minorEastAsia"/>
          <w:color w:val="000000" w:themeColor="text1"/>
          <w:sz w:val="24"/>
          <w:lang w:val="en-US"/>
        </w:rPr>
      </w:pPr>
      <w:r w:rsidRPr="0043772A">
        <w:rPr>
          <w:rFonts w:eastAsiaTheme="minorEastAsia"/>
          <w:color w:val="000000" w:themeColor="text1"/>
          <w:kern w:val="24"/>
          <w:sz w:val="24"/>
          <w:lang w:val="en-US" w:eastAsia="ja-JP"/>
        </w:rPr>
        <w:t>中国</w:t>
      </w:r>
      <w:r w:rsidRPr="0043772A">
        <w:rPr>
          <w:rFonts w:eastAsiaTheme="minorEastAsia"/>
          <w:color w:val="000000" w:themeColor="text1"/>
          <w:kern w:val="24"/>
          <w:sz w:val="24"/>
          <w:lang w:val="en-US"/>
        </w:rPr>
        <w:t>、</w:t>
      </w:r>
      <w:r w:rsidRPr="0043772A">
        <w:rPr>
          <w:rFonts w:eastAsiaTheme="minorEastAsia"/>
          <w:color w:val="000000" w:themeColor="text1"/>
          <w:kern w:val="24"/>
          <w:sz w:val="24"/>
          <w:lang w:val="en-US" w:eastAsia="ja-JP"/>
        </w:rPr>
        <w:t>古巴</w:t>
      </w:r>
      <w:r w:rsidRPr="0043772A">
        <w:rPr>
          <w:rFonts w:eastAsiaTheme="minorEastAsia"/>
          <w:color w:val="000000" w:themeColor="text1"/>
          <w:kern w:val="24"/>
          <w:sz w:val="24"/>
          <w:lang w:val="en-US"/>
        </w:rPr>
        <w:t>、</w:t>
      </w:r>
      <w:r w:rsidRPr="0043772A">
        <w:rPr>
          <w:rFonts w:eastAsiaTheme="minorEastAsia"/>
          <w:color w:val="000000" w:themeColor="text1"/>
          <w:kern w:val="24"/>
          <w:sz w:val="24"/>
          <w:lang w:val="en-US" w:eastAsia="ja-JP"/>
        </w:rPr>
        <w:t>印度和美国等许多国家</w:t>
      </w:r>
      <w:r w:rsidRPr="0043772A">
        <w:rPr>
          <w:rFonts w:eastAsiaTheme="minorEastAsia"/>
          <w:color w:val="000000" w:themeColor="text1"/>
          <w:kern w:val="24"/>
          <w:sz w:val="24"/>
          <w:lang w:val="en-US"/>
        </w:rPr>
        <w:t>一直在探讨把</w:t>
      </w:r>
      <w:r w:rsidRPr="0043772A">
        <w:rPr>
          <w:rFonts w:eastAsiaTheme="minorEastAsia"/>
          <w:color w:val="000000" w:themeColor="text1"/>
          <w:kern w:val="24"/>
          <w:sz w:val="24"/>
          <w:lang w:val="en-US" w:eastAsia="ja-JP"/>
        </w:rPr>
        <w:t>蜜蜂（</w:t>
      </w:r>
      <w:r w:rsidRPr="0043772A">
        <w:rPr>
          <w:rFonts w:eastAsiaTheme="minorEastAsia"/>
          <w:color w:val="000000" w:themeColor="text1"/>
          <w:kern w:val="24"/>
          <w:sz w:val="24"/>
          <w:lang w:val="en-US"/>
        </w:rPr>
        <w:t>西方蜂蜜</w:t>
      </w:r>
      <w:r w:rsidRPr="0043772A">
        <w:rPr>
          <w:rFonts w:eastAsiaTheme="minorEastAsia"/>
          <w:color w:val="000000" w:themeColor="text1"/>
          <w:kern w:val="24"/>
          <w:sz w:val="24"/>
          <w:lang w:val="en-US" w:eastAsia="ja-JP"/>
        </w:rPr>
        <w:t>）物种</w:t>
      </w:r>
      <w:r w:rsidRPr="0043772A">
        <w:rPr>
          <w:rFonts w:eastAsiaTheme="minorEastAsia"/>
          <w:color w:val="000000" w:themeColor="text1"/>
          <w:kern w:val="24"/>
          <w:sz w:val="24"/>
          <w:lang w:val="en-US"/>
        </w:rPr>
        <w:t>引入</w:t>
      </w:r>
      <w:r w:rsidRPr="0043772A">
        <w:rPr>
          <w:rFonts w:eastAsiaTheme="minorEastAsia"/>
          <w:color w:val="000000" w:themeColor="text1"/>
          <w:kern w:val="24"/>
          <w:sz w:val="24"/>
          <w:lang w:val="en-US" w:eastAsia="ja-JP"/>
        </w:rPr>
        <w:t>红树林</w:t>
      </w:r>
      <w:r w:rsidRPr="0043772A">
        <w:rPr>
          <w:rFonts w:eastAsiaTheme="minorEastAsia"/>
          <w:color w:val="000000" w:themeColor="text1"/>
          <w:kern w:val="24"/>
          <w:sz w:val="24"/>
          <w:lang w:val="en-US"/>
        </w:rPr>
        <w:t>的问题</w:t>
      </w:r>
      <w:r w:rsidRPr="0043772A">
        <w:rPr>
          <w:rFonts w:eastAsiaTheme="minorEastAsia"/>
          <w:color w:val="000000" w:themeColor="text1"/>
          <w:kern w:val="24"/>
          <w:sz w:val="24"/>
          <w:lang w:val="en-US" w:eastAsia="ja-JP"/>
        </w:rPr>
        <w:t>，泰国和巴西</w:t>
      </w:r>
      <w:r w:rsidRPr="0043772A">
        <w:rPr>
          <w:rFonts w:eastAsiaTheme="minorEastAsia"/>
          <w:color w:val="000000" w:themeColor="text1"/>
          <w:kern w:val="24"/>
          <w:sz w:val="24"/>
          <w:lang w:val="en-US"/>
        </w:rPr>
        <w:t>也不断增加对此问题的探讨</w:t>
      </w:r>
      <w:r w:rsidRPr="0043772A">
        <w:rPr>
          <w:rFonts w:eastAsiaTheme="minorEastAsia"/>
          <w:color w:val="000000" w:themeColor="text1"/>
          <w:kern w:val="24"/>
          <w:sz w:val="24"/>
          <w:lang w:val="en-US" w:eastAsia="ja-JP"/>
        </w:rPr>
        <w:t>。这项活动可能有助于红树林系统</w:t>
      </w:r>
      <w:r w:rsidRPr="0043772A">
        <w:rPr>
          <w:rFonts w:eastAsiaTheme="minorEastAsia"/>
          <w:color w:val="000000" w:themeColor="text1"/>
          <w:kern w:val="24"/>
          <w:sz w:val="24"/>
          <w:lang w:val="en-US"/>
        </w:rPr>
        <w:t>的</w:t>
      </w:r>
      <w:r w:rsidRPr="0043772A">
        <w:rPr>
          <w:rFonts w:eastAsiaTheme="minorEastAsia"/>
          <w:color w:val="000000" w:themeColor="text1"/>
          <w:kern w:val="24"/>
          <w:sz w:val="24"/>
          <w:lang w:val="en-US" w:eastAsia="ja-JP"/>
        </w:rPr>
        <w:t>养护，但</w:t>
      </w:r>
      <w:r w:rsidRPr="0043772A">
        <w:rPr>
          <w:rFonts w:eastAsiaTheme="minorEastAsia"/>
          <w:color w:val="000000" w:themeColor="text1"/>
          <w:kern w:val="24"/>
          <w:sz w:val="24"/>
          <w:lang w:val="en-US"/>
        </w:rPr>
        <w:t>需要对</w:t>
      </w:r>
      <w:r w:rsidRPr="0043772A">
        <w:rPr>
          <w:rFonts w:eastAsiaTheme="minorEastAsia"/>
          <w:color w:val="000000" w:themeColor="text1"/>
          <w:kern w:val="24"/>
          <w:sz w:val="24"/>
          <w:lang w:val="en-US" w:eastAsia="ja-JP"/>
        </w:rPr>
        <w:t>影响</w:t>
      </w:r>
      <w:r w:rsidRPr="0043772A">
        <w:rPr>
          <w:rFonts w:eastAsiaTheme="minorEastAsia"/>
          <w:color w:val="000000" w:themeColor="text1"/>
          <w:kern w:val="24"/>
          <w:sz w:val="24"/>
          <w:lang w:val="en-US"/>
        </w:rPr>
        <w:t>作出</w:t>
      </w:r>
      <w:r w:rsidRPr="0043772A">
        <w:rPr>
          <w:rFonts w:eastAsiaTheme="minorEastAsia"/>
          <w:color w:val="000000" w:themeColor="text1"/>
          <w:kern w:val="24"/>
          <w:sz w:val="24"/>
          <w:lang w:val="en-US" w:eastAsia="ja-JP"/>
        </w:rPr>
        <w:t>进一步评估。为了以可持续</w:t>
      </w:r>
      <w:r w:rsidRPr="0043772A">
        <w:rPr>
          <w:rFonts w:eastAsiaTheme="minorEastAsia"/>
          <w:color w:val="000000" w:themeColor="text1"/>
          <w:kern w:val="24"/>
          <w:sz w:val="24"/>
          <w:lang w:val="en-US"/>
        </w:rPr>
        <w:t>地</w:t>
      </w:r>
      <w:r w:rsidRPr="0043772A">
        <w:rPr>
          <w:rFonts w:eastAsiaTheme="minorEastAsia"/>
          <w:color w:val="000000" w:themeColor="text1"/>
          <w:kern w:val="24"/>
          <w:sz w:val="24"/>
          <w:lang w:val="en-US" w:eastAsia="ja-JP"/>
        </w:rPr>
        <w:t>利用自然资源，需要</w:t>
      </w:r>
      <w:r w:rsidRPr="0043772A">
        <w:rPr>
          <w:rFonts w:eastAsiaTheme="minorEastAsia"/>
          <w:color w:val="000000" w:themeColor="text1"/>
          <w:kern w:val="24"/>
          <w:sz w:val="24"/>
          <w:lang w:val="en-US"/>
        </w:rPr>
        <w:t>加强对拓殖地</w:t>
      </w:r>
      <w:r w:rsidRPr="0043772A">
        <w:rPr>
          <w:rFonts w:eastAsiaTheme="minorEastAsia"/>
          <w:color w:val="000000" w:themeColor="text1"/>
          <w:kern w:val="24"/>
          <w:sz w:val="24"/>
          <w:lang w:val="en-US" w:eastAsia="ja-JP"/>
        </w:rPr>
        <w:t>的管理，包括人工繁殖和</w:t>
      </w:r>
      <w:r w:rsidRPr="0043772A">
        <w:rPr>
          <w:rFonts w:eastAsiaTheme="minorEastAsia"/>
          <w:color w:val="000000" w:themeColor="text1"/>
          <w:kern w:val="24"/>
          <w:sz w:val="24"/>
          <w:lang w:val="en-US"/>
        </w:rPr>
        <w:t>人工</w:t>
      </w:r>
      <w:r w:rsidRPr="0043772A">
        <w:rPr>
          <w:rFonts w:eastAsiaTheme="minorEastAsia"/>
          <w:color w:val="000000" w:themeColor="text1"/>
          <w:kern w:val="24"/>
          <w:sz w:val="24"/>
          <w:lang w:val="en-US" w:eastAsia="ja-JP"/>
        </w:rPr>
        <w:t>育王</w:t>
      </w:r>
      <w:r w:rsidRPr="0043772A">
        <w:rPr>
          <w:rFonts w:eastAsiaTheme="minorEastAsia"/>
          <w:color w:val="000000" w:themeColor="text1"/>
          <w:kern w:val="24"/>
          <w:sz w:val="24"/>
          <w:lang w:val="en-US"/>
        </w:rPr>
        <w:t>。</w:t>
      </w:r>
    </w:p>
    <w:p w:rsidR="00495DEF" w:rsidRPr="0043772A" w:rsidRDefault="00495DEF" w:rsidP="00495DEF">
      <w:pPr>
        <w:pStyle w:val="ListParagraph"/>
        <w:numPr>
          <w:ilvl w:val="1"/>
          <w:numId w:val="31"/>
        </w:numPr>
        <w:tabs>
          <w:tab w:val="left" w:pos="720"/>
        </w:tabs>
        <w:suppressAutoHyphens/>
        <w:autoSpaceDE w:val="0"/>
        <w:autoSpaceDN w:val="0"/>
        <w:adjustRightInd w:val="0"/>
        <w:snapToGrid w:val="0"/>
        <w:spacing w:before="120" w:after="120"/>
        <w:ind w:left="0" w:firstLine="0"/>
        <w:contextualSpacing w:val="0"/>
        <w:rPr>
          <w:rFonts w:eastAsiaTheme="minorEastAsia"/>
          <w:color w:val="000000" w:themeColor="text1"/>
          <w:kern w:val="24"/>
          <w:sz w:val="24"/>
          <w:lang w:val="en-US" w:eastAsia="ja-JP"/>
        </w:rPr>
      </w:pPr>
      <w:r w:rsidRPr="0043772A">
        <w:rPr>
          <w:rFonts w:eastAsiaTheme="minorEastAsia"/>
          <w:color w:val="000000" w:themeColor="text1"/>
          <w:kern w:val="24"/>
          <w:sz w:val="24"/>
          <w:lang w:val="en-US" w:eastAsia="ja-JP"/>
        </w:rPr>
        <w:t>关于</w:t>
      </w:r>
      <w:r w:rsidRPr="0043772A">
        <w:rPr>
          <w:rFonts w:eastAsiaTheme="minorEastAsia"/>
          <w:color w:val="000000" w:themeColor="text1"/>
          <w:kern w:val="24"/>
          <w:sz w:val="24"/>
          <w:lang w:val="en-US"/>
        </w:rPr>
        <w:t>农药</w:t>
      </w:r>
      <w:r w:rsidRPr="0043772A">
        <w:rPr>
          <w:rFonts w:eastAsiaTheme="minorEastAsia"/>
          <w:color w:val="000000" w:themeColor="text1"/>
          <w:kern w:val="24"/>
          <w:sz w:val="24"/>
          <w:lang w:val="en-US" w:eastAsia="ja-JP"/>
        </w:rPr>
        <w:t>对非目标物种的影响，最近的一项</w:t>
      </w:r>
      <w:r w:rsidRPr="0043772A">
        <w:rPr>
          <w:rStyle w:val="ng-binding"/>
          <w:rFonts w:eastAsiaTheme="minorEastAsia"/>
          <w:sz w:val="24"/>
        </w:rPr>
        <w:t>整合</w:t>
      </w:r>
      <w:r w:rsidRPr="0043772A">
        <w:rPr>
          <w:rFonts w:eastAsia="MS Mincho"/>
          <w:color w:val="000000" w:themeColor="text1"/>
          <w:kern w:val="24"/>
          <w:sz w:val="24"/>
          <w:lang w:val="en-US" w:eastAsia="ja-JP"/>
        </w:rPr>
        <w:t>​​</w:t>
      </w:r>
      <w:r w:rsidRPr="0043772A">
        <w:rPr>
          <w:rFonts w:eastAsiaTheme="minorEastAsia"/>
          <w:color w:val="000000" w:themeColor="text1"/>
          <w:kern w:val="24"/>
          <w:sz w:val="24"/>
          <w:lang w:val="en-US" w:eastAsia="ja-JP"/>
        </w:rPr>
        <w:t>分析表明，与蜜蜂相比，无刺蜜蜂对各种</w:t>
      </w:r>
      <w:r w:rsidRPr="0043772A">
        <w:rPr>
          <w:rFonts w:eastAsiaTheme="minorEastAsia"/>
          <w:color w:val="000000" w:themeColor="text1"/>
          <w:kern w:val="24"/>
          <w:sz w:val="24"/>
          <w:lang w:val="en-US"/>
        </w:rPr>
        <w:t>农药</w:t>
      </w:r>
      <w:r w:rsidRPr="0043772A">
        <w:rPr>
          <w:rFonts w:eastAsiaTheme="minorEastAsia"/>
          <w:color w:val="000000" w:themeColor="text1"/>
          <w:kern w:val="24"/>
          <w:sz w:val="24"/>
          <w:lang w:val="en-US" w:eastAsia="ja-JP"/>
        </w:rPr>
        <w:t>更为敏感。</w:t>
      </w:r>
      <w:r w:rsidRPr="0043772A">
        <w:rPr>
          <w:rFonts w:eastAsiaTheme="minorEastAsia"/>
          <w:color w:val="000000" w:themeColor="text1"/>
          <w:kern w:val="24"/>
          <w:sz w:val="24"/>
          <w:lang w:val="en-US"/>
        </w:rPr>
        <w:t>对巴西</w:t>
      </w:r>
      <w:r w:rsidRPr="0043772A">
        <w:rPr>
          <w:rFonts w:eastAsiaTheme="minorEastAsia"/>
          <w:color w:val="000000" w:themeColor="text1"/>
          <w:kern w:val="24"/>
          <w:sz w:val="24"/>
          <w:lang w:val="en-US" w:eastAsia="ja-JP"/>
        </w:rPr>
        <w:t>大果蝠</w:t>
      </w:r>
      <w:r w:rsidRPr="0043772A">
        <w:rPr>
          <w:rFonts w:eastAsiaTheme="minorEastAsia"/>
          <w:color w:val="000000" w:themeColor="text1"/>
          <w:kern w:val="24"/>
          <w:sz w:val="24"/>
          <w:lang w:val="en-US"/>
        </w:rPr>
        <w:t>（</w:t>
      </w:r>
      <w:r w:rsidRPr="0043772A">
        <w:rPr>
          <w:rStyle w:val="st"/>
          <w:rFonts w:eastAsiaTheme="minorEastAsia"/>
          <w:sz w:val="24"/>
        </w:rPr>
        <w:t>叶口蝠科</w:t>
      </w:r>
      <w:r w:rsidRPr="0043772A">
        <w:rPr>
          <w:rFonts w:eastAsiaTheme="minorEastAsia"/>
          <w:color w:val="000000" w:themeColor="text1"/>
          <w:kern w:val="24"/>
          <w:sz w:val="24"/>
          <w:lang w:val="en-US"/>
        </w:rPr>
        <w:t>）等</w:t>
      </w:r>
      <w:r w:rsidRPr="0043772A">
        <w:rPr>
          <w:rFonts w:eastAsiaTheme="minorEastAsia"/>
          <w:color w:val="000000" w:themeColor="text1"/>
          <w:kern w:val="24"/>
          <w:sz w:val="24"/>
          <w:lang w:val="en-US" w:eastAsia="ja-JP"/>
        </w:rPr>
        <w:t>其他</w:t>
      </w:r>
      <w:r w:rsidRPr="0043772A">
        <w:rPr>
          <w:rFonts w:eastAsiaTheme="minorEastAsia"/>
          <w:color w:val="000000" w:themeColor="text1"/>
          <w:kern w:val="24"/>
          <w:sz w:val="24"/>
          <w:lang w:val="en-US"/>
        </w:rPr>
        <w:t>授粉媒介</w:t>
      </w:r>
      <w:r w:rsidRPr="0043772A">
        <w:rPr>
          <w:rFonts w:eastAsiaTheme="minorEastAsia"/>
          <w:color w:val="000000" w:themeColor="text1"/>
          <w:kern w:val="24"/>
          <w:sz w:val="24"/>
          <w:lang w:val="en-US" w:eastAsia="ja-JP"/>
        </w:rPr>
        <w:t>进行的实验研究表明，果蝠长期接触浓度</w:t>
      </w:r>
      <w:r w:rsidRPr="0043772A">
        <w:rPr>
          <w:rFonts w:eastAsiaTheme="minorEastAsia"/>
          <w:color w:val="000000" w:themeColor="text1"/>
          <w:kern w:val="24"/>
          <w:sz w:val="24"/>
          <w:lang w:val="en-US"/>
        </w:rPr>
        <w:t>相对高</w:t>
      </w:r>
      <w:r w:rsidRPr="0043772A">
        <w:rPr>
          <w:rFonts w:eastAsiaTheme="minorEastAsia"/>
          <w:color w:val="000000" w:themeColor="text1"/>
          <w:kern w:val="24"/>
          <w:sz w:val="24"/>
          <w:lang w:val="en-US" w:eastAsia="ja-JP"/>
        </w:rPr>
        <w:t>的硫丹会导致</w:t>
      </w:r>
      <w:r w:rsidRPr="0043772A">
        <w:rPr>
          <w:rFonts w:eastAsiaTheme="minorEastAsia"/>
          <w:color w:val="000000" w:themeColor="text1"/>
          <w:kern w:val="24"/>
          <w:sz w:val="24"/>
          <w:lang w:val="en-US"/>
        </w:rPr>
        <w:t>显著</w:t>
      </w:r>
      <w:r w:rsidRPr="0043772A">
        <w:rPr>
          <w:rFonts w:eastAsiaTheme="minorEastAsia"/>
          <w:color w:val="000000" w:themeColor="text1"/>
          <w:kern w:val="24"/>
          <w:sz w:val="24"/>
          <w:lang w:val="en-US" w:eastAsia="ja-JP"/>
        </w:rPr>
        <w:t>的生物</w:t>
      </w:r>
      <w:r w:rsidRPr="0043772A">
        <w:rPr>
          <w:rFonts w:eastAsiaTheme="minorEastAsia"/>
          <w:color w:val="000000" w:themeColor="text1"/>
          <w:kern w:val="24"/>
          <w:sz w:val="24"/>
          <w:lang w:val="en-US"/>
        </w:rPr>
        <w:t>累积</w:t>
      </w:r>
      <w:r w:rsidRPr="0043772A">
        <w:rPr>
          <w:rFonts w:eastAsiaTheme="minorEastAsia"/>
          <w:color w:val="000000" w:themeColor="text1"/>
          <w:kern w:val="24"/>
          <w:sz w:val="24"/>
          <w:lang w:val="en-US" w:eastAsia="ja-JP"/>
        </w:rPr>
        <w:t>，这可能会影响新热带</w:t>
      </w:r>
      <w:r w:rsidRPr="0043772A">
        <w:rPr>
          <w:rFonts w:eastAsiaTheme="minorEastAsia"/>
          <w:color w:val="000000" w:themeColor="text1"/>
          <w:kern w:val="24"/>
          <w:sz w:val="24"/>
          <w:lang w:val="en-US"/>
        </w:rPr>
        <w:t>林区</w:t>
      </w:r>
      <w:r w:rsidRPr="0043772A">
        <w:rPr>
          <w:rFonts w:eastAsiaTheme="minorEastAsia"/>
          <w:color w:val="000000" w:themeColor="text1"/>
          <w:kern w:val="24"/>
          <w:sz w:val="24"/>
          <w:lang w:val="en-US" w:eastAsia="ja-JP"/>
        </w:rPr>
        <w:t>这</w:t>
      </w:r>
      <w:r w:rsidRPr="0043772A">
        <w:rPr>
          <w:rFonts w:eastAsiaTheme="minorEastAsia"/>
          <w:color w:val="000000" w:themeColor="text1"/>
          <w:kern w:val="24"/>
          <w:sz w:val="24"/>
          <w:lang w:val="en-US"/>
        </w:rPr>
        <w:t>一</w:t>
      </w:r>
      <w:r w:rsidRPr="0043772A">
        <w:rPr>
          <w:rFonts w:eastAsiaTheme="minorEastAsia"/>
          <w:color w:val="000000" w:themeColor="text1"/>
          <w:kern w:val="24"/>
          <w:sz w:val="24"/>
          <w:lang w:val="en-US" w:eastAsia="ja-JP"/>
        </w:rPr>
        <w:t>重要的种子传播者的健康。同样，</w:t>
      </w:r>
      <w:r w:rsidRPr="0043772A">
        <w:rPr>
          <w:rFonts w:eastAsiaTheme="minorEastAsia"/>
          <w:color w:val="000000" w:themeColor="text1"/>
          <w:kern w:val="24"/>
          <w:sz w:val="24"/>
          <w:lang w:val="en-US"/>
        </w:rPr>
        <w:t>对</w:t>
      </w:r>
      <w:r w:rsidRPr="0043772A">
        <w:rPr>
          <w:rFonts w:eastAsiaTheme="minorEastAsia"/>
          <w:color w:val="000000" w:themeColor="text1"/>
          <w:kern w:val="24"/>
          <w:sz w:val="24"/>
          <w:lang w:val="en-US" w:eastAsia="ja-JP"/>
        </w:rPr>
        <w:t>北加利福尼亚州蝴蝶种群的长期数据分析显示</w:t>
      </w:r>
      <w:r w:rsidRPr="0043772A">
        <w:rPr>
          <w:rFonts w:eastAsiaTheme="minorEastAsia"/>
          <w:color w:val="000000" w:themeColor="text1"/>
          <w:kern w:val="24"/>
          <w:sz w:val="24"/>
          <w:lang w:val="en-US"/>
        </w:rPr>
        <w:t>，</w:t>
      </w:r>
      <w:r w:rsidRPr="0043772A">
        <w:rPr>
          <w:rFonts w:eastAsiaTheme="minorEastAsia"/>
          <w:color w:val="000000" w:themeColor="text1"/>
          <w:kern w:val="24"/>
          <w:sz w:val="24"/>
          <w:lang w:val="en-US" w:eastAsia="ja-JP"/>
        </w:rPr>
        <w:t>蝴蝶种群与日益增加的新烟碱类</w:t>
      </w:r>
      <w:r w:rsidRPr="0043772A">
        <w:rPr>
          <w:rFonts w:eastAsiaTheme="minorEastAsia"/>
          <w:color w:val="000000" w:themeColor="text1"/>
          <w:kern w:val="24"/>
          <w:sz w:val="24"/>
          <w:lang w:val="en-US"/>
        </w:rPr>
        <w:t>的</w:t>
      </w:r>
      <w:r w:rsidRPr="0043772A">
        <w:rPr>
          <w:rFonts w:eastAsiaTheme="minorEastAsia"/>
          <w:color w:val="000000" w:themeColor="text1"/>
          <w:kern w:val="24"/>
          <w:sz w:val="24"/>
          <w:lang w:val="en-US" w:eastAsia="ja-JP"/>
        </w:rPr>
        <w:t>应用之间存在</w:t>
      </w:r>
      <w:r w:rsidRPr="0043772A">
        <w:rPr>
          <w:rFonts w:eastAsiaTheme="minorEastAsia"/>
          <w:color w:val="000000" w:themeColor="text1"/>
          <w:kern w:val="24"/>
          <w:sz w:val="24"/>
          <w:lang w:val="en-US"/>
        </w:rPr>
        <w:t>着</w:t>
      </w:r>
      <w:r w:rsidRPr="0043772A">
        <w:rPr>
          <w:rFonts w:eastAsiaTheme="minorEastAsia"/>
          <w:color w:val="000000" w:themeColor="text1"/>
          <w:kern w:val="24"/>
          <w:sz w:val="24"/>
          <w:lang w:val="en-US" w:eastAsia="ja-JP"/>
        </w:rPr>
        <w:t>负相关</w:t>
      </w:r>
      <w:r w:rsidRPr="0043772A">
        <w:rPr>
          <w:rFonts w:eastAsiaTheme="minorEastAsia"/>
          <w:color w:val="000000" w:themeColor="text1"/>
          <w:kern w:val="24"/>
          <w:sz w:val="24"/>
          <w:lang w:val="en-US"/>
        </w:rPr>
        <w:t>性</w:t>
      </w:r>
      <w:r w:rsidRPr="0043772A">
        <w:rPr>
          <w:rFonts w:eastAsiaTheme="minorEastAsia"/>
          <w:color w:val="000000" w:themeColor="text1"/>
          <w:kern w:val="24"/>
          <w:sz w:val="24"/>
          <w:lang w:val="en-US" w:eastAsia="ja-JP"/>
        </w:rPr>
        <w:t>。在三个国家（匈牙利、德国和</w:t>
      </w:r>
      <w:r w:rsidRPr="0043772A">
        <w:rPr>
          <w:rFonts w:eastAsiaTheme="minorEastAsia"/>
          <w:color w:val="000000" w:themeColor="text1"/>
          <w:kern w:val="24"/>
          <w:sz w:val="24"/>
          <w:lang w:val="en-US"/>
        </w:rPr>
        <w:t>联合王国</w:t>
      </w:r>
      <w:r w:rsidRPr="0043772A">
        <w:rPr>
          <w:rFonts w:eastAsiaTheme="minorEastAsia"/>
          <w:color w:val="000000" w:themeColor="text1"/>
          <w:kern w:val="24"/>
          <w:sz w:val="24"/>
          <w:lang w:val="en-US" w:eastAsia="ja-JP"/>
        </w:rPr>
        <w:t>）对利用新烟碱类（噻虫胺或噻虫嗪）处理油菜籽（</w:t>
      </w:r>
      <w:r w:rsidRPr="0043772A">
        <w:rPr>
          <w:rStyle w:val="st"/>
          <w:rFonts w:eastAsiaTheme="minorEastAsia"/>
          <w:sz w:val="24"/>
        </w:rPr>
        <w:t>芥花油</w:t>
      </w:r>
      <w:r w:rsidRPr="0043772A">
        <w:rPr>
          <w:rFonts w:eastAsiaTheme="minorEastAsia"/>
          <w:color w:val="000000" w:themeColor="text1"/>
          <w:kern w:val="24"/>
          <w:sz w:val="24"/>
          <w:lang w:val="en-US" w:eastAsia="ja-JP"/>
        </w:rPr>
        <w:t>）进行的对照景观试验显示，野生蜂（</w:t>
      </w:r>
      <w:r w:rsidRPr="0043772A">
        <w:rPr>
          <w:rFonts w:eastAsiaTheme="minorEastAsia"/>
          <w:color w:val="000000" w:themeColor="text1"/>
          <w:kern w:val="24"/>
          <w:sz w:val="24"/>
          <w:lang w:val="en-US" w:eastAsia="ja-JP"/>
        </w:rPr>
        <w:t>B.terrestris</w:t>
      </w:r>
      <w:r w:rsidRPr="0043772A">
        <w:rPr>
          <w:rFonts w:eastAsiaTheme="minorEastAsia"/>
          <w:color w:val="000000" w:themeColor="text1"/>
          <w:kern w:val="24"/>
          <w:sz w:val="24"/>
          <w:lang w:val="en-US" w:eastAsia="ja-JP"/>
        </w:rPr>
        <w:t>和</w:t>
      </w:r>
      <w:proofErr w:type="spellStart"/>
      <w:r w:rsidRPr="0043772A">
        <w:rPr>
          <w:rFonts w:eastAsiaTheme="minorEastAsia"/>
          <w:color w:val="000000" w:themeColor="text1"/>
          <w:kern w:val="24"/>
          <w:sz w:val="24"/>
          <w:lang w:val="en-US" w:eastAsia="ja-JP"/>
        </w:rPr>
        <w:t>Osmiabicornis</w:t>
      </w:r>
      <w:proofErr w:type="spellEnd"/>
      <w:r w:rsidRPr="0043772A">
        <w:rPr>
          <w:rFonts w:eastAsiaTheme="minorEastAsia"/>
          <w:color w:val="000000" w:themeColor="text1"/>
          <w:kern w:val="24"/>
          <w:sz w:val="24"/>
          <w:lang w:val="en-US" w:eastAsia="ja-JP"/>
        </w:rPr>
        <w:t>）</w:t>
      </w:r>
      <w:r w:rsidRPr="0043772A">
        <w:rPr>
          <w:rFonts w:eastAsiaTheme="minorEastAsia"/>
          <w:color w:val="000000" w:themeColor="text1"/>
          <w:kern w:val="24"/>
          <w:sz w:val="24"/>
          <w:lang w:val="en-US"/>
        </w:rPr>
        <w:t>的</w:t>
      </w:r>
      <w:r w:rsidRPr="0043772A">
        <w:rPr>
          <w:rFonts w:eastAsiaTheme="minorEastAsia"/>
          <w:color w:val="000000" w:themeColor="text1"/>
          <w:kern w:val="24"/>
          <w:sz w:val="24"/>
          <w:lang w:val="en-US" w:eastAsia="ja-JP"/>
        </w:rPr>
        <w:t>繁殖与蜂巢中的新烟碱类残留物呈负相关性</w:t>
      </w:r>
      <w:r w:rsidRPr="0043772A">
        <w:rPr>
          <w:rFonts w:eastAsiaTheme="minorEastAsia"/>
          <w:color w:val="000000" w:themeColor="text1"/>
          <w:kern w:val="24"/>
          <w:sz w:val="24"/>
          <w:lang w:val="en-US"/>
        </w:rPr>
        <w:t>。</w:t>
      </w:r>
    </w:p>
    <w:p w:rsidR="00FA727E" w:rsidRPr="00DE4FF8" w:rsidRDefault="00DE4FF8" w:rsidP="00D45A80">
      <w:pPr>
        <w:pStyle w:val="ListParagraph"/>
        <w:numPr>
          <w:ilvl w:val="1"/>
          <w:numId w:val="31"/>
        </w:numPr>
        <w:tabs>
          <w:tab w:val="left" w:pos="720"/>
        </w:tabs>
        <w:suppressAutoHyphens/>
        <w:autoSpaceDE w:val="0"/>
        <w:autoSpaceDN w:val="0"/>
        <w:adjustRightInd w:val="0"/>
        <w:snapToGrid w:val="0"/>
        <w:spacing w:before="120" w:after="120"/>
        <w:ind w:left="0" w:firstLine="0"/>
        <w:contextualSpacing w:val="0"/>
        <w:rPr>
          <w:rFonts w:eastAsiaTheme="minorEastAsia"/>
          <w:sz w:val="24"/>
        </w:rPr>
      </w:pPr>
      <w:r w:rsidRPr="00DE4FF8">
        <w:rPr>
          <w:rFonts w:eastAsiaTheme="minorEastAsia" w:hint="eastAsia"/>
          <w:sz w:val="24"/>
        </w:rPr>
        <w:t>对于</w:t>
      </w:r>
      <w:r w:rsidR="00FA727E" w:rsidRPr="00DE4FF8">
        <w:rPr>
          <w:rFonts w:eastAsiaTheme="minorEastAsia" w:hint="eastAsia"/>
          <w:sz w:val="24"/>
        </w:rPr>
        <w:t>有可能</w:t>
      </w:r>
      <w:r w:rsidR="00FA727E" w:rsidRPr="00DE4FF8">
        <w:rPr>
          <w:rFonts w:eastAsiaTheme="minorEastAsia"/>
          <w:sz w:val="24"/>
        </w:rPr>
        <w:t>影响非目标</w:t>
      </w:r>
      <w:r w:rsidR="00FA727E" w:rsidRPr="00DE4FF8">
        <w:rPr>
          <w:rFonts w:eastAsiaTheme="minorEastAsia" w:hint="eastAsia"/>
          <w:sz w:val="24"/>
        </w:rPr>
        <w:t>有机物</w:t>
      </w:r>
      <w:r w:rsidR="00FA727E" w:rsidRPr="00DE4FF8">
        <w:rPr>
          <w:rFonts w:eastAsiaTheme="minorEastAsia"/>
          <w:sz w:val="24"/>
        </w:rPr>
        <w:t>的改性活生物体</w:t>
      </w:r>
      <w:r w:rsidRPr="00DE4FF8">
        <w:rPr>
          <w:rFonts w:eastAsiaTheme="minorEastAsia" w:hint="eastAsia"/>
          <w:sz w:val="24"/>
        </w:rPr>
        <w:t>，</w:t>
      </w:r>
      <w:r w:rsidR="00FA727E" w:rsidRPr="00DE4FF8">
        <w:rPr>
          <w:rFonts w:eastAsiaTheme="minorEastAsia"/>
          <w:sz w:val="24"/>
        </w:rPr>
        <w:t>应当</w:t>
      </w:r>
      <w:r w:rsidRPr="00DE4FF8">
        <w:rPr>
          <w:rFonts w:eastAsiaTheme="minorEastAsia" w:hint="eastAsia"/>
          <w:sz w:val="24"/>
        </w:rPr>
        <w:t>进行</w:t>
      </w:r>
      <w:r w:rsidRPr="00DE4FF8">
        <w:rPr>
          <w:rFonts w:eastAsiaTheme="minorEastAsia"/>
          <w:sz w:val="24"/>
        </w:rPr>
        <w:t>有关蜜蜂和驯化和野生授粉媒介的逐案的风险评估，</w:t>
      </w:r>
      <w:r w:rsidRPr="00DE4FF8">
        <w:rPr>
          <w:rFonts w:eastAsiaTheme="minorEastAsia" w:hint="eastAsia"/>
          <w:sz w:val="24"/>
        </w:rPr>
        <w:t>同时</w:t>
      </w:r>
      <w:r w:rsidRPr="00DE4FF8">
        <w:rPr>
          <w:rFonts w:eastAsiaTheme="minorEastAsia"/>
          <w:sz w:val="24"/>
        </w:rPr>
        <w:t>考虑到改性活生物体的物种以及接受环境。</w:t>
      </w:r>
      <w:r w:rsidR="00450836" w:rsidRPr="00DE4FF8">
        <w:rPr>
          <w:rFonts w:eastAsiaTheme="minorEastAsia" w:hint="eastAsia"/>
          <w:sz w:val="24"/>
        </w:rPr>
        <w:t>风险评估应</w:t>
      </w:r>
      <w:r w:rsidR="00450836" w:rsidRPr="00DE4FF8">
        <w:rPr>
          <w:rFonts w:eastAsiaTheme="minorEastAsia"/>
          <w:sz w:val="24"/>
        </w:rPr>
        <w:t>考虑到</w:t>
      </w:r>
      <w:r w:rsidR="00450836" w:rsidRPr="00DE4FF8">
        <w:rPr>
          <w:rFonts w:eastAsiaTheme="minorEastAsia" w:hint="eastAsia"/>
          <w:sz w:val="24"/>
        </w:rPr>
        <w:t>不同</w:t>
      </w:r>
      <w:r w:rsidR="00450836" w:rsidRPr="00DE4FF8">
        <w:rPr>
          <w:rFonts w:eastAsiaTheme="minorEastAsia"/>
          <w:sz w:val="24"/>
        </w:rPr>
        <w:t>的发展阶段以及</w:t>
      </w:r>
      <w:r w:rsidR="00450836" w:rsidRPr="00DE4FF8">
        <w:rPr>
          <w:rFonts w:eastAsiaTheme="minorEastAsia" w:hint="eastAsia"/>
          <w:sz w:val="24"/>
        </w:rPr>
        <w:t>致死和</w:t>
      </w:r>
      <w:r w:rsidR="00450836" w:rsidRPr="00DE4FF8">
        <w:rPr>
          <w:rFonts w:eastAsiaTheme="minorEastAsia"/>
          <w:sz w:val="24"/>
        </w:rPr>
        <w:t>亚致死效应二者</w:t>
      </w:r>
      <w:r w:rsidRPr="00DE4FF8">
        <w:rPr>
          <w:rFonts w:eastAsiaTheme="minorEastAsia" w:hint="eastAsia"/>
          <w:sz w:val="24"/>
        </w:rPr>
        <w:t>和</w:t>
      </w:r>
      <w:r w:rsidRPr="00DE4FF8">
        <w:rPr>
          <w:rFonts w:eastAsiaTheme="minorEastAsia"/>
          <w:sz w:val="24"/>
        </w:rPr>
        <w:t>其他相关方面</w:t>
      </w:r>
      <w:r w:rsidR="00450836" w:rsidRPr="00DE4FF8">
        <w:rPr>
          <w:rFonts w:eastAsiaTheme="minorEastAsia" w:hint="eastAsia"/>
          <w:sz w:val="24"/>
        </w:rPr>
        <w:t>的</w:t>
      </w:r>
      <w:r w:rsidR="00450836" w:rsidRPr="00DE4FF8">
        <w:rPr>
          <w:rFonts w:eastAsiaTheme="minorEastAsia"/>
          <w:sz w:val="24"/>
        </w:rPr>
        <w:t>可能性</w:t>
      </w:r>
      <w:r w:rsidRPr="00DE4FF8">
        <w:rPr>
          <w:rFonts w:eastAsiaTheme="minorEastAsia" w:hint="eastAsia"/>
          <w:sz w:val="24"/>
        </w:rPr>
        <w:t>。近期的</w:t>
      </w:r>
      <w:r w:rsidRPr="00DE4FF8">
        <w:rPr>
          <w:rFonts w:eastAsiaTheme="minorEastAsia"/>
          <w:sz w:val="24"/>
        </w:rPr>
        <w:t>审查没有显示改性活生物体对蜜蜂</w:t>
      </w:r>
      <w:r w:rsidRPr="00DE4FF8">
        <w:rPr>
          <w:rFonts w:eastAsiaTheme="minorEastAsia" w:hint="eastAsia"/>
          <w:sz w:val="24"/>
        </w:rPr>
        <w:t>以及驯化</w:t>
      </w:r>
      <w:r w:rsidRPr="00DE4FF8">
        <w:rPr>
          <w:rFonts w:eastAsiaTheme="minorEastAsia"/>
          <w:sz w:val="24"/>
        </w:rPr>
        <w:t>和野生</w:t>
      </w:r>
      <w:r w:rsidRPr="00DE4FF8">
        <w:rPr>
          <w:rFonts w:eastAsiaTheme="minorEastAsia" w:hint="eastAsia"/>
          <w:sz w:val="24"/>
        </w:rPr>
        <w:t>授粉媒介</w:t>
      </w:r>
      <w:r w:rsidRPr="00DE4FF8">
        <w:rPr>
          <w:rFonts w:eastAsiaTheme="minorEastAsia"/>
          <w:sz w:val="24"/>
        </w:rPr>
        <w:t>的直接消极影响；</w:t>
      </w:r>
      <w:r w:rsidRPr="00DE4FF8">
        <w:rPr>
          <w:rFonts w:eastAsiaTheme="minorEastAsia" w:hint="eastAsia"/>
          <w:sz w:val="24"/>
        </w:rPr>
        <w:t>不过，需要</w:t>
      </w:r>
      <w:r w:rsidRPr="00DE4FF8">
        <w:rPr>
          <w:rFonts w:eastAsiaTheme="minorEastAsia"/>
          <w:sz w:val="24"/>
        </w:rPr>
        <w:t>关注</w:t>
      </w:r>
      <w:r w:rsidRPr="00DE4FF8">
        <w:rPr>
          <w:rFonts w:eastAsiaTheme="minorEastAsia" w:hint="eastAsia"/>
          <w:sz w:val="24"/>
        </w:rPr>
        <w:t>上述</w:t>
      </w:r>
      <w:r w:rsidRPr="00DE4FF8">
        <w:rPr>
          <w:rFonts w:eastAsiaTheme="minorEastAsia"/>
          <w:sz w:val="24"/>
        </w:rPr>
        <w:t>有关改性活生物体的潜在影响</w:t>
      </w:r>
      <w:r w:rsidRPr="00DE4FF8">
        <w:rPr>
          <w:rFonts w:eastAsiaTheme="minorEastAsia" w:hint="eastAsia"/>
          <w:sz w:val="24"/>
        </w:rPr>
        <w:t>的</w:t>
      </w:r>
      <w:r w:rsidRPr="00DE4FF8">
        <w:rPr>
          <w:rFonts w:eastAsiaTheme="minorEastAsia"/>
          <w:sz w:val="24"/>
        </w:rPr>
        <w:t>各个方面的科学研究。</w:t>
      </w:r>
      <w:r w:rsidR="00FA727E" w:rsidRPr="00DE4FF8">
        <w:rPr>
          <w:rFonts w:eastAsiaTheme="minorEastAsia"/>
          <w:sz w:val="24"/>
        </w:rPr>
        <w:t xml:space="preserve"> </w:t>
      </w:r>
    </w:p>
    <w:p w:rsidR="00495DEF" w:rsidRPr="00226587" w:rsidRDefault="00495DEF" w:rsidP="00495DEF">
      <w:pPr>
        <w:pStyle w:val="ListParagraph"/>
        <w:widowControl w:val="0"/>
        <w:numPr>
          <w:ilvl w:val="1"/>
          <w:numId w:val="31"/>
        </w:numPr>
        <w:tabs>
          <w:tab w:val="left" w:pos="720"/>
        </w:tabs>
        <w:suppressAutoHyphens/>
        <w:autoSpaceDE w:val="0"/>
        <w:autoSpaceDN w:val="0"/>
        <w:adjustRightInd w:val="0"/>
        <w:snapToGrid w:val="0"/>
        <w:spacing w:before="120" w:after="120"/>
        <w:ind w:left="0" w:firstLine="0"/>
        <w:contextualSpacing w:val="0"/>
        <w:rPr>
          <w:rFonts w:eastAsiaTheme="minorEastAsia"/>
          <w:color w:val="000000" w:themeColor="text1"/>
          <w:kern w:val="24"/>
          <w:sz w:val="24"/>
          <w:lang w:val="en-US" w:eastAsia="ja-JP"/>
        </w:rPr>
      </w:pPr>
      <w:r w:rsidRPr="00226587">
        <w:rPr>
          <w:rFonts w:eastAsiaTheme="minorEastAsia"/>
          <w:color w:val="000000" w:themeColor="text1"/>
          <w:kern w:val="24"/>
          <w:sz w:val="24"/>
          <w:lang w:val="en-US" w:eastAsia="ja-JP"/>
        </w:rPr>
        <w:t>拉丁美洲</w:t>
      </w:r>
      <w:r w:rsidRPr="00226587">
        <w:rPr>
          <w:rFonts w:eastAsiaTheme="minorEastAsia"/>
          <w:color w:val="000000" w:themeColor="text1"/>
          <w:kern w:val="24"/>
          <w:sz w:val="24"/>
          <w:lang w:val="en-US"/>
        </w:rPr>
        <w:t>拥有</w:t>
      </w:r>
      <w:r w:rsidRPr="00226587">
        <w:rPr>
          <w:rFonts w:eastAsiaTheme="minorEastAsia"/>
          <w:color w:val="000000" w:themeColor="text1"/>
          <w:kern w:val="24"/>
          <w:sz w:val="24"/>
          <w:lang w:val="en-US" w:eastAsia="ja-JP"/>
        </w:rPr>
        <w:t>许多直接或间接依赖</w:t>
      </w:r>
      <w:r w:rsidRPr="00226587">
        <w:rPr>
          <w:rFonts w:eastAsiaTheme="minorEastAsia"/>
          <w:color w:val="000000" w:themeColor="text1"/>
          <w:kern w:val="24"/>
          <w:sz w:val="24"/>
          <w:lang w:val="en-US"/>
        </w:rPr>
        <w:t>授粉</w:t>
      </w:r>
      <w:r w:rsidRPr="00226587">
        <w:rPr>
          <w:rFonts w:eastAsiaTheme="minorEastAsia"/>
          <w:color w:val="000000" w:themeColor="text1"/>
          <w:kern w:val="24"/>
          <w:sz w:val="24"/>
          <w:lang w:val="en-US" w:eastAsia="ja-JP"/>
        </w:rPr>
        <w:t>媒介获得高产</w:t>
      </w:r>
      <w:r w:rsidRPr="00226587">
        <w:rPr>
          <w:rFonts w:eastAsiaTheme="minorEastAsia"/>
          <w:color w:val="000000" w:themeColor="text1"/>
          <w:kern w:val="24"/>
          <w:sz w:val="24"/>
          <w:lang w:val="en-US"/>
        </w:rPr>
        <w:t>的</w:t>
      </w:r>
      <w:r w:rsidRPr="00226587">
        <w:rPr>
          <w:rFonts w:eastAsiaTheme="minorEastAsia"/>
          <w:color w:val="000000" w:themeColor="text1"/>
          <w:kern w:val="24"/>
          <w:sz w:val="24"/>
          <w:lang w:val="en-US" w:eastAsia="ja-JP"/>
        </w:rPr>
        <w:t>粮食作物</w:t>
      </w:r>
      <w:r w:rsidRPr="007E192A">
        <w:rPr>
          <w:rStyle w:val="FootnoteReference"/>
          <w:rFonts w:eastAsiaTheme="minorEastAsia"/>
          <w:color w:val="000000" w:themeColor="text1"/>
          <w:sz w:val="24"/>
          <w:u w:val="none"/>
          <w:vertAlign w:val="superscript"/>
        </w:rPr>
        <w:footnoteReference w:id="13"/>
      </w:r>
      <w:r w:rsidRPr="007E192A">
        <w:rPr>
          <w:rStyle w:val="FootnoteReference"/>
          <w:sz w:val="24"/>
          <w:u w:val="none"/>
          <w:vertAlign w:val="superscript"/>
        </w:rPr>
        <w:t xml:space="preserve"> </w:t>
      </w:r>
      <w:r w:rsidRPr="00226587">
        <w:rPr>
          <w:rFonts w:eastAsiaTheme="minorEastAsia"/>
          <w:color w:val="000000" w:themeColor="text1"/>
          <w:kern w:val="24"/>
          <w:sz w:val="24"/>
          <w:lang w:val="en-US" w:eastAsia="ja-JP"/>
        </w:rPr>
        <w:t>的野生</w:t>
      </w:r>
      <w:r w:rsidRPr="00226587">
        <w:rPr>
          <w:rFonts w:eastAsiaTheme="minorEastAsia"/>
          <w:color w:val="000000" w:themeColor="text1"/>
          <w:kern w:val="24"/>
          <w:sz w:val="24"/>
          <w:lang w:val="en-US"/>
        </w:rPr>
        <w:t>生物</w:t>
      </w:r>
      <w:r w:rsidRPr="00226587">
        <w:rPr>
          <w:rFonts w:eastAsiaTheme="minorEastAsia"/>
          <w:color w:val="000000" w:themeColor="text1"/>
          <w:kern w:val="24"/>
          <w:sz w:val="24"/>
          <w:lang w:val="en-US" w:eastAsia="ja-JP"/>
        </w:rPr>
        <w:t>种质。这些</w:t>
      </w:r>
      <w:r w:rsidRPr="00226587">
        <w:rPr>
          <w:rFonts w:eastAsiaTheme="minorEastAsia"/>
          <w:color w:val="000000" w:themeColor="text1"/>
          <w:kern w:val="24"/>
          <w:sz w:val="24"/>
          <w:lang w:val="en-US"/>
        </w:rPr>
        <w:t>作物种质以及可能还有其他</w:t>
      </w:r>
      <w:r w:rsidRPr="00226587">
        <w:rPr>
          <w:rFonts w:eastAsiaTheme="minorEastAsia"/>
          <w:color w:val="000000" w:themeColor="text1"/>
          <w:kern w:val="24"/>
          <w:sz w:val="24"/>
          <w:lang w:val="en-US" w:eastAsia="ja-JP"/>
        </w:rPr>
        <w:t>数百种具有农业潜力的野生物种</w:t>
      </w:r>
      <w:r w:rsidRPr="00226587">
        <w:rPr>
          <w:rFonts w:eastAsiaTheme="minorEastAsia"/>
          <w:color w:val="000000" w:themeColor="text1"/>
          <w:kern w:val="24"/>
          <w:sz w:val="24"/>
          <w:lang w:val="en-US"/>
        </w:rPr>
        <w:t>种质</w:t>
      </w:r>
      <w:r w:rsidRPr="00226587">
        <w:rPr>
          <w:rFonts w:eastAsiaTheme="minorEastAsia"/>
          <w:color w:val="000000" w:themeColor="text1"/>
          <w:kern w:val="24"/>
          <w:sz w:val="24"/>
          <w:lang w:val="en-US" w:eastAsia="ja-JP"/>
        </w:rPr>
        <w:t>，存在于自然和半自然</w:t>
      </w:r>
      <w:r w:rsidRPr="00226587">
        <w:rPr>
          <w:rFonts w:eastAsiaTheme="minorEastAsia"/>
          <w:color w:val="000000" w:themeColor="text1"/>
          <w:kern w:val="24"/>
          <w:sz w:val="24"/>
          <w:lang w:val="en-US"/>
        </w:rPr>
        <w:t>生境</w:t>
      </w:r>
      <w:r w:rsidRPr="00226587">
        <w:rPr>
          <w:rFonts w:eastAsiaTheme="minorEastAsia"/>
          <w:color w:val="000000" w:themeColor="text1"/>
          <w:kern w:val="24"/>
          <w:sz w:val="24"/>
          <w:lang w:val="en-US" w:eastAsia="ja-JP"/>
        </w:rPr>
        <w:t>的残</w:t>
      </w:r>
      <w:r w:rsidRPr="00226587">
        <w:rPr>
          <w:rFonts w:eastAsiaTheme="minorEastAsia"/>
          <w:color w:val="000000" w:themeColor="text1"/>
          <w:kern w:val="24"/>
          <w:sz w:val="24"/>
          <w:lang w:val="en-US"/>
        </w:rPr>
        <w:t>留</w:t>
      </w:r>
      <w:r w:rsidRPr="00226587">
        <w:rPr>
          <w:rFonts w:eastAsiaTheme="minorEastAsia"/>
          <w:color w:val="000000" w:themeColor="text1"/>
          <w:kern w:val="24"/>
          <w:sz w:val="24"/>
          <w:lang w:val="en-US" w:eastAsia="ja-JP"/>
        </w:rPr>
        <w:t>物中，并</w:t>
      </w:r>
      <w:r w:rsidRPr="00226587">
        <w:rPr>
          <w:rFonts w:eastAsiaTheme="minorEastAsia"/>
          <w:color w:val="000000" w:themeColor="text1"/>
          <w:kern w:val="24"/>
          <w:sz w:val="24"/>
          <w:lang w:val="en-US"/>
        </w:rPr>
        <w:t>在</w:t>
      </w:r>
      <w:r w:rsidRPr="00226587">
        <w:rPr>
          <w:rFonts w:eastAsiaTheme="minorEastAsia"/>
          <w:color w:val="000000" w:themeColor="text1"/>
          <w:kern w:val="24"/>
          <w:sz w:val="24"/>
          <w:lang w:val="en-US" w:eastAsia="ja-JP"/>
        </w:rPr>
        <w:t>该</w:t>
      </w:r>
      <w:r w:rsidRPr="00226587">
        <w:rPr>
          <w:rFonts w:eastAsiaTheme="minorEastAsia"/>
          <w:color w:val="000000" w:themeColor="text1"/>
          <w:kern w:val="24"/>
          <w:sz w:val="24"/>
          <w:lang w:val="en-US"/>
        </w:rPr>
        <w:t>区域</w:t>
      </w:r>
      <w:r w:rsidRPr="00226587">
        <w:rPr>
          <w:rFonts w:eastAsiaTheme="minorEastAsia"/>
          <w:color w:val="000000" w:themeColor="text1"/>
          <w:kern w:val="24"/>
          <w:sz w:val="24"/>
          <w:lang w:val="en-US" w:eastAsia="ja-JP"/>
        </w:rPr>
        <w:t>当地</w:t>
      </w:r>
      <w:r w:rsidRPr="00226587">
        <w:rPr>
          <w:rFonts w:eastAsiaTheme="minorEastAsia"/>
          <w:color w:val="000000" w:themeColor="text1"/>
          <w:kern w:val="24"/>
          <w:sz w:val="24"/>
          <w:lang w:val="en-US"/>
        </w:rPr>
        <w:t>土著</w:t>
      </w:r>
      <w:r w:rsidRPr="00226587">
        <w:rPr>
          <w:rFonts w:eastAsiaTheme="minorEastAsia"/>
          <w:color w:val="000000" w:themeColor="text1"/>
          <w:kern w:val="24"/>
          <w:sz w:val="24"/>
          <w:lang w:val="en-US" w:eastAsia="ja-JP"/>
        </w:rPr>
        <w:t>社区</w:t>
      </w:r>
      <w:r w:rsidRPr="00226587">
        <w:rPr>
          <w:rFonts w:eastAsiaTheme="minorEastAsia"/>
          <w:color w:val="000000" w:themeColor="text1"/>
          <w:kern w:val="24"/>
          <w:sz w:val="24"/>
          <w:lang w:val="en-US"/>
        </w:rPr>
        <w:t>的</w:t>
      </w:r>
      <w:r w:rsidRPr="00226587">
        <w:rPr>
          <w:rFonts w:eastAsiaTheme="minorEastAsia"/>
          <w:color w:val="000000" w:themeColor="text1"/>
          <w:kern w:val="24"/>
          <w:sz w:val="24"/>
          <w:lang w:val="en-US" w:eastAsia="ja-JP"/>
        </w:rPr>
        <w:t>管理</w:t>
      </w:r>
      <w:r w:rsidRPr="00226587">
        <w:rPr>
          <w:rFonts w:eastAsiaTheme="minorEastAsia"/>
          <w:color w:val="000000" w:themeColor="text1"/>
          <w:kern w:val="24"/>
          <w:sz w:val="24"/>
          <w:lang w:val="en-US"/>
        </w:rPr>
        <w:t>之下</w:t>
      </w:r>
      <w:r w:rsidRPr="00226587">
        <w:rPr>
          <w:rFonts w:eastAsiaTheme="minorEastAsia"/>
          <w:color w:val="000000" w:themeColor="text1"/>
          <w:kern w:val="24"/>
          <w:sz w:val="24"/>
          <w:lang w:val="en-US" w:eastAsia="ja-JP"/>
        </w:rPr>
        <w:t>。因此</w:t>
      </w:r>
      <w:r w:rsidRPr="00226587">
        <w:rPr>
          <w:rFonts w:eastAsiaTheme="minorEastAsia"/>
          <w:color w:val="000000" w:themeColor="text1"/>
          <w:kern w:val="24"/>
          <w:sz w:val="24"/>
          <w:lang w:val="en-US"/>
        </w:rPr>
        <w:t>，</w:t>
      </w:r>
      <w:r w:rsidRPr="00226587">
        <w:rPr>
          <w:rFonts w:eastAsiaTheme="minorEastAsia"/>
          <w:color w:val="000000" w:themeColor="text1"/>
          <w:kern w:val="24"/>
          <w:sz w:val="24"/>
          <w:lang w:val="en-US" w:eastAsia="ja-JP"/>
        </w:rPr>
        <w:t>不同</w:t>
      </w:r>
      <w:r w:rsidRPr="00226587">
        <w:rPr>
          <w:rFonts w:eastAsiaTheme="minorEastAsia"/>
          <w:color w:val="000000" w:themeColor="text1"/>
          <w:kern w:val="24"/>
          <w:sz w:val="24"/>
          <w:lang w:val="en-US"/>
        </w:rPr>
        <w:t>授粉媒介</w:t>
      </w:r>
      <w:r w:rsidRPr="00226587">
        <w:rPr>
          <w:rFonts w:eastAsiaTheme="minorEastAsia"/>
          <w:color w:val="000000" w:themeColor="text1"/>
          <w:kern w:val="24"/>
          <w:sz w:val="24"/>
          <w:lang w:val="en-US" w:eastAsia="ja-JP"/>
        </w:rPr>
        <w:t>组合不仅对确保</w:t>
      </w:r>
      <w:r w:rsidRPr="00226587">
        <w:rPr>
          <w:rFonts w:eastAsiaTheme="minorEastAsia"/>
          <w:color w:val="000000" w:themeColor="text1"/>
          <w:kern w:val="24"/>
          <w:sz w:val="24"/>
          <w:lang w:val="en-US"/>
        </w:rPr>
        <w:t>一般</w:t>
      </w:r>
      <w:r w:rsidRPr="00226587">
        <w:rPr>
          <w:rFonts w:eastAsiaTheme="minorEastAsia"/>
          <w:color w:val="000000" w:themeColor="text1"/>
          <w:kern w:val="24"/>
          <w:sz w:val="24"/>
          <w:lang w:val="en-US" w:eastAsia="ja-JP"/>
        </w:rPr>
        <w:t>野生植物繁殖</w:t>
      </w:r>
      <w:r w:rsidRPr="00226587">
        <w:rPr>
          <w:rFonts w:eastAsiaTheme="minorEastAsia"/>
          <w:color w:val="000000" w:themeColor="text1"/>
          <w:kern w:val="24"/>
          <w:sz w:val="24"/>
          <w:lang w:val="en-US"/>
        </w:rPr>
        <w:t>，也对</w:t>
      </w:r>
      <w:r w:rsidRPr="00226587">
        <w:rPr>
          <w:rFonts w:eastAsiaTheme="minorEastAsia"/>
          <w:color w:val="000000" w:themeColor="text1"/>
          <w:kern w:val="24"/>
          <w:sz w:val="24"/>
          <w:lang w:val="en-US" w:eastAsia="ja-JP"/>
        </w:rPr>
        <w:t>该种质的持久性</w:t>
      </w:r>
      <w:r w:rsidRPr="00226587">
        <w:rPr>
          <w:rFonts w:eastAsiaTheme="minorEastAsia"/>
          <w:color w:val="000000" w:themeColor="text1"/>
          <w:kern w:val="24"/>
          <w:sz w:val="24"/>
          <w:lang w:val="en-US"/>
        </w:rPr>
        <w:t>至关重要</w:t>
      </w:r>
      <w:r w:rsidRPr="00226587">
        <w:rPr>
          <w:rFonts w:eastAsiaTheme="minorEastAsia"/>
          <w:color w:val="000000" w:themeColor="text1"/>
          <w:kern w:val="24"/>
          <w:sz w:val="24"/>
          <w:lang w:val="en-US" w:eastAsia="ja-JP"/>
        </w:rPr>
        <w:t>。然而，</w:t>
      </w:r>
      <w:r w:rsidRPr="00226587">
        <w:rPr>
          <w:rFonts w:eastAsiaTheme="minorEastAsia"/>
          <w:color w:val="000000" w:themeColor="text1"/>
          <w:kern w:val="24"/>
          <w:sz w:val="24"/>
          <w:lang w:val="en-US"/>
        </w:rPr>
        <w:t>人们也许还不了解</w:t>
      </w:r>
      <w:r w:rsidRPr="00226587">
        <w:rPr>
          <w:rFonts w:eastAsiaTheme="minorEastAsia"/>
          <w:color w:val="000000" w:themeColor="text1"/>
          <w:kern w:val="24"/>
          <w:sz w:val="24"/>
          <w:lang w:val="en-US" w:eastAsia="ja-JP"/>
        </w:rPr>
        <w:t>这种种质的</w:t>
      </w:r>
      <w:r w:rsidRPr="00226587">
        <w:rPr>
          <w:rFonts w:eastAsiaTheme="minorEastAsia"/>
          <w:color w:val="000000" w:themeColor="text1"/>
          <w:kern w:val="24"/>
          <w:sz w:val="24"/>
          <w:lang w:val="en-US"/>
        </w:rPr>
        <w:t>存在</w:t>
      </w:r>
      <w:r w:rsidRPr="00226587">
        <w:rPr>
          <w:rFonts w:eastAsiaTheme="minorEastAsia"/>
          <w:color w:val="000000" w:themeColor="text1"/>
          <w:kern w:val="24"/>
          <w:sz w:val="24"/>
          <w:lang w:val="en-US" w:eastAsia="ja-JP"/>
        </w:rPr>
        <w:t>和多样性及其当前的养护现状</w:t>
      </w:r>
      <w:r w:rsidRPr="00226587">
        <w:rPr>
          <w:rFonts w:eastAsiaTheme="minorEastAsia"/>
          <w:color w:val="000000" w:themeColor="text1"/>
          <w:kern w:val="24"/>
          <w:sz w:val="24"/>
          <w:lang w:val="en-US"/>
        </w:rPr>
        <w:t>，只有少数情况除外。</w:t>
      </w:r>
    </w:p>
    <w:p w:rsidR="00495DEF" w:rsidRPr="00413272" w:rsidRDefault="00495DEF" w:rsidP="00495DEF">
      <w:pPr>
        <w:tabs>
          <w:tab w:val="left" w:pos="720"/>
        </w:tabs>
        <w:suppressAutoHyphens/>
        <w:autoSpaceDE w:val="0"/>
        <w:autoSpaceDN w:val="0"/>
        <w:adjustRightInd w:val="0"/>
        <w:snapToGrid w:val="0"/>
        <w:spacing w:before="120" w:after="120"/>
        <w:jc w:val="center"/>
        <w:rPr>
          <w:rFonts w:ascii="SimSun" w:hAnsi="SimSun" w:cstheme="majorBidi"/>
          <w:b/>
          <w:bCs/>
          <w:sz w:val="24"/>
        </w:rPr>
      </w:pPr>
      <w:r w:rsidRPr="0033385D">
        <w:rPr>
          <w:b/>
          <w:bCs/>
          <w:sz w:val="24"/>
        </w:rPr>
        <w:t>D.</w:t>
      </w:r>
      <w:r w:rsidRPr="00413272">
        <w:rPr>
          <w:rFonts w:ascii="SimSun" w:hAnsi="SimSun" w:cstheme="majorBidi"/>
          <w:b/>
          <w:bCs/>
          <w:sz w:val="24"/>
        </w:rPr>
        <w:tab/>
      </w:r>
      <w:r w:rsidRPr="00413272">
        <w:rPr>
          <w:rFonts w:ascii="SimSun" w:hAnsi="SimSun" w:cstheme="majorBidi" w:hint="eastAsia"/>
          <w:b/>
          <w:bCs/>
          <w:sz w:val="24"/>
        </w:rPr>
        <w:t>保护和可持续利用授粉媒介及其生境的应对选择</w:t>
      </w:r>
    </w:p>
    <w:p w:rsidR="00495DEF" w:rsidRPr="0043772A" w:rsidRDefault="00495DEF" w:rsidP="00495DEF">
      <w:pPr>
        <w:pStyle w:val="ListParagraph"/>
        <w:widowControl w:val="0"/>
        <w:numPr>
          <w:ilvl w:val="1"/>
          <w:numId w:val="31"/>
        </w:numPr>
        <w:tabs>
          <w:tab w:val="left" w:pos="720"/>
        </w:tabs>
        <w:suppressAutoHyphens/>
        <w:autoSpaceDE w:val="0"/>
        <w:autoSpaceDN w:val="0"/>
        <w:adjustRightInd w:val="0"/>
        <w:snapToGrid w:val="0"/>
        <w:spacing w:before="120" w:after="120"/>
        <w:ind w:left="0" w:firstLine="0"/>
        <w:contextualSpacing w:val="0"/>
        <w:rPr>
          <w:rFonts w:ascii="SimSun" w:hAnsi="SimSun" w:cstheme="majorBidi"/>
          <w:color w:val="000000" w:themeColor="text1"/>
          <w:kern w:val="24"/>
          <w:sz w:val="24"/>
          <w:lang w:val="en-US" w:eastAsia="ja-JP"/>
        </w:rPr>
      </w:pPr>
      <w:r w:rsidRPr="0043772A">
        <w:rPr>
          <w:rFonts w:ascii="SimSun" w:hAnsi="SimSun" w:cstheme="majorBidi" w:hint="eastAsia"/>
          <w:color w:val="000000" w:themeColor="text1"/>
          <w:kern w:val="24"/>
          <w:sz w:val="24"/>
          <w:lang w:val="en-US" w:eastAsia="ja-JP"/>
        </w:rPr>
        <w:t>经</w:t>
      </w:r>
      <w:r w:rsidRPr="0043772A">
        <w:rPr>
          <w:rFonts w:ascii="SimSun" w:hAnsi="SimSun" w:cstheme="majorBidi"/>
          <w:color w:val="000000" w:themeColor="text1"/>
          <w:kern w:val="24"/>
          <w:sz w:val="24"/>
          <w:lang w:val="en-US" w:eastAsia="ja-JP"/>
        </w:rPr>
        <w:t>政府间科学政策平</w:t>
      </w:r>
      <w:r w:rsidRPr="0043772A">
        <w:rPr>
          <w:rFonts w:ascii="SimSun" w:hAnsi="SimSun" w:cstheme="majorBidi" w:hint="eastAsia"/>
          <w:color w:val="000000" w:themeColor="text1"/>
          <w:kern w:val="24"/>
          <w:sz w:val="24"/>
          <w:lang w:val="en-US" w:eastAsia="ja-JP"/>
        </w:rPr>
        <w:t>台评估确认和第</w:t>
      </w:r>
      <w:r w:rsidRPr="00362D85">
        <w:rPr>
          <w:rFonts w:cs="Times New Roman"/>
          <w:color w:val="000000" w:themeColor="text1"/>
          <w:kern w:val="24"/>
          <w:sz w:val="24"/>
          <w:lang w:val="en-US" w:eastAsia="ja-JP"/>
        </w:rPr>
        <w:t>XIII/15</w:t>
      </w:r>
      <w:r w:rsidRPr="0043772A">
        <w:rPr>
          <w:rFonts w:ascii="SimSun" w:hAnsi="SimSun" w:cstheme="majorBidi" w:hint="eastAsia"/>
          <w:color w:val="000000" w:themeColor="text1"/>
          <w:kern w:val="24"/>
          <w:sz w:val="24"/>
          <w:lang w:val="en-US" w:eastAsia="ja-JP"/>
        </w:rPr>
        <w:t>号决定提及的许多活动将促进保护和可持续利用授粉媒介及其生境，从而有助于维持农业系统和粮食生产以外的生态系统中的授粉功能。</w:t>
      </w:r>
    </w:p>
    <w:p w:rsidR="00495DEF" w:rsidRPr="0043772A" w:rsidRDefault="00495DEF" w:rsidP="00495DEF">
      <w:pPr>
        <w:pStyle w:val="ListParagraph"/>
        <w:widowControl w:val="0"/>
        <w:numPr>
          <w:ilvl w:val="1"/>
          <w:numId w:val="31"/>
        </w:numPr>
        <w:tabs>
          <w:tab w:val="left" w:pos="720"/>
        </w:tabs>
        <w:suppressAutoHyphens/>
        <w:autoSpaceDE w:val="0"/>
        <w:autoSpaceDN w:val="0"/>
        <w:adjustRightInd w:val="0"/>
        <w:snapToGrid w:val="0"/>
        <w:spacing w:before="120" w:after="120"/>
        <w:ind w:left="0" w:firstLine="0"/>
        <w:contextualSpacing w:val="0"/>
        <w:rPr>
          <w:rFonts w:ascii="SimSun" w:hAnsi="SimSun" w:cstheme="majorBidi"/>
          <w:color w:val="000000" w:themeColor="text1"/>
          <w:kern w:val="24"/>
          <w:sz w:val="24"/>
          <w:lang w:val="en-US" w:eastAsia="ja-JP"/>
        </w:rPr>
      </w:pPr>
      <w:r w:rsidRPr="0043772A">
        <w:rPr>
          <w:rFonts w:ascii="SimSun" w:hAnsi="SimSun" w:cstheme="majorBidi" w:hint="eastAsia"/>
          <w:color w:val="000000" w:themeColor="text1"/>
          <w:kern w:val="24"/>
          <w:sz w:val="24"/>
          <w:lang w:val="en-US" w:eastAsia="ja-JP"/>
        </w:rPr>
        <w:t>全景观方法特别适用于保护和可持续利用授粉媒介及其生境，以维持农业系统和粮食生产之外的生态系统中的授粉功能。这包括维护自然植被廊道、恢复退化的土地和利用授粉友好型耕作。需要特别注意减少所有生物群落中的森林砍伐、生境丧失和退化现象。消防管理制度应考虑到对授粉媒介和相关植被的影响。恢复土地可以增强授粉友好型生境的连通性，并支持物种扩散和基因流动。这些措施还可以促进适应和缓解气候变化以及减少灾害风险。</w:t>
      </w:r>
    </w:p>
    <w:p w:rsidR="00495DEF" w:rsidRPr="0043772A" w:rsidRDefault="00495DEF" w:rsidP="00495DEF">
      <w:pPr>
        <w:pStyle w:val="ListParagraph"/>
        <w:widowControl w:val="0"/>
        <w:numPr>
          <w:ilvl w:val="1"/>
          <w:numId w:val="31"/>
        </w:numPr>
        <w:tabs>
          <w:tab w:val="left" w:pos="720"/>
        </w:tabs>
        <w:suppressAutoHyphens/>
        <w:autoSpaceDE w:val="0"/>
        <w:autoSpaceDN w:val="0"/>
        <w:adjustRightInd w:val="0"/>
        <w:snapToGrid w:val="0"/>
        <w:spacing w:before="120" w:after="120"/>
        <w:ind w:left="0" w:firstLine="0"/>
        <w:contextualSpacing w:val="0"/>
        <w:rPr>
          <w:rFonts w:ascii="SimSun" w:hAnsi="SimSun" w:cstheme="majorBidi"/>
          <w:color w:val="000000" w:themeColor="text1"/>
          <w:kern w:val="24"/>
          <w:sz w:val="24"/>
          <w:lang w:val="en-US" w:eastAsia="ja-JP"/>
        </w:rPr>
      </w:pPr>
      <w:r w:rsidRPr="0043772A">
        <w:rPr>
          <w:rFonts w:ascii="SimSun" w:hAnsi="SimSun" w:cstheme="majorBidi" w:hint="eastAsia"/>
          <w:color w:val="000000" w:themeColor="text1"/>
          <w:kern w:val="24"/>
          <w:sz w:val="24"/>
          <w:lang w:val="en-US" w:eastAsia="ja-JP"/>
        </w:rPr>
        <w:t>可采取下列行动支持景观方法：</w:t>
      </w:r>
    </w:p>
    <w:p w:rsidR="00495DEF" w:rsidRPr="0043772A" w:rsidRDefault="00495DEF" w:rsidP="00495DEF">
      <w:pPr>
        <w:pStyle w:val="ListParagraph"/>
        <w:widowControl w:val="0"/>
        <w:numPr>
          <w:ilvl w:val="0"/>
          <w:numId w:val="36"/>
        </w:numPr>
        <w:tabs>
          <w:tab w:val="left" w:pos="1440"/>
        </w:tabs>
        <w:suppressAutoHyphens/>
        <w:snapToGrid w:val="0"/>
        <w:spacing w:before="120" w:after="120"/>
        <w:ind w:left="0" w:firstLine="720"/>
        <w:contextualSpacing w:val="0"/>
        <w:rPr>
          <w:rFonts w:ascii="SimSun" w:hAnsi="SimSun"/>
          <w:sz w:val="24"/>
        </w:rPr>
      </w:pPr>
      <w:r w:rsidRPr="0043772A">
        <w:rPr>
          <w:rFonts w:ascii="SimSun" w:hAnsi="SimSun" w:hint="eastAsia"/>
          <w:sz w:val="24"/>
        </w:rPr>
        <w:t>土著人民和当地社区管理的地区对保护生物多样性非常重要；</w:t>
      </w:r>
    </w:p>
    <w:p w:rsidR="00495DEF" w:rsidRPr="0043772A" w:rsidRDefault="00495DEF" w:rsidP="00495DEF">
      <w:pPr>
        <w:pStyle w:val="ListParagraph"/>
        <w:widowControl w:val="0"/>
        <w:numPr>
          <w:ilvl w:val="0"/>
          <w:numId w:val="36"/>
        </w:numPr>
        <w:tabs>
          <w:tab w:val="left" w:pos="1440"/>
        </w:tabs>
        <w:suppressAutoHyphens/>
        <w:snapToGrid w:val="0"/>
        <w:spacing w:before="120" w:after="120"/>
        <w:ind w:left="0" w:firstLine="720"/>
        <w:contextualSpacing w:val="0"/>
        <w:rPr>
          <w:rFonts w:ascii="SimSun" w:hAnsi="SimSun"/>
          <w:sz w:val="24"/>
        </w:rPr>
      </w:pPr>
      <w:r w:rsidRPr="0043772A">
        <w:rPr>
          <w:rFonts w:ascii="SimSun" w:hAnsi="SimSun" w:hint="eastAsia"/>
          <w:sz w:val="24"/>
        </w:rPr>
        <w:t>土地用途的重大变化与作物造成的毁林有关。提高这些商品买家的认识可以</w:t>
      </w:r>
      <w:r w:rsidRPr="0043772A">
        <w:rPr>
          <w:rFonts w:ascii="SimSun" w:hAnsi="SimSun" w:hint="eastAsia"/>
          <w:sz w:val="24"/>
        </w:rPr>
        <w:lastRenderedPageBreak/>
        <w:t>增加压力，促进实现可持续生产；</w:t>
      </w:r>
    </w:p>
    <w:p w:rsidR="00495DEF" w:rsidRPr="0043772A" w:rsidRDefault="00495DEF" w:rsidP="00495DEF">
      <w:pPr>
        <w:pStyle w:val="ListParagraph"/>
        <w:widowControl w:val="0"/>
        <w:numPr>
          <w:ilvl w:val="0"/>
          <w:numId w:val="36"/>
        </w:numPr>
        <w:tabs>
          <w:tab w:val="left" w:pos="1440"/>
        </w:tabs>
        <w:suppressAutoHyphens/>
        <w:snapToGrid w:val="0"/>
        <w:spacing w:before="120" w:after="120"/>
        <w:ind w:left="0" w:firstLine="720"/>
        <w:contextualSpacing w:val="0"/>
        <w:rPr>
          <w:rFonts w:ascii="SimSun" w:hAnsi="SimSun"/>
          <w:sz w:val="24"/>
        </w:rPr>
      </w:pPr>
      <w:r w:rsidRPr="0043772A">
        <w:rPr>
          <w:rFonts w:ascii="SimSun" w:hAnsi="SimSun" w:hint="eastAsia"/>
          <w:sz w:val="24"/>
        </w:rPr>
        <w:t>数据收集、地图和建模是预测全球变化的影响和支持自然生境保护、恢复和再生政策的重要工具；</w:t>
      </w:r>
    </w:p>
    <w:p w:rsidR="00495DEF" w:rsidRPr="0043772A" w:rsidRDefault="00495DEF" w:rsidP="00495DEF">
      <w:pPr>
        <w:pStyle w:val="ListParagraph"/>
        <w:widowControl w:val="0"/>
        <w:numPr>
          <w:ilvl w:val="0"/>
          <w:numId w:val="36"/>
        </w:numPr>
        <w:tabs>
          <w:tab w:val="left" w:pos="1440"/>
        </w:tabs>
        <w:suppressAutoHyphens/>
        <w:snapToGrid w:val="0"/>
        <w:spacing w:before="120" w:after="120"/>
        <w:ind w:left="0" w:firstLine="720"/>
        <w:contextualSpacing w:val="0"/>
        <w:rPr>
          <w:rFonts w:ascii="SimSun" w:hAnsi="SimSun"/>
          <w:sz w:val="24"/>
        </w:rPr>
      </w:pPr>
      <w:r w:rsidRPr="0043772A">
        <w:rPr>
          <w:rFonts w:ascii="SimSun" w:hAnsi="SimSun" w:hint="eastAsia"/>
          <w:sz w:val="24"/>
        </w:rPr>
        <w:t>景观遗传学是在授粉媒介分布区内外确定其种群特征和广大地区蜜蜂管理遗传后果的一个工具。</w:t>
      </w:r>
    </w:p>
    <w:p w:rsidR="00495DEF" w:rsidRPr="0043772A" w:rsidRDefault="00495DEF" w:rsidP="00495DEF">
      <w:pPr>
        <w:pStyle w:val="ListParagraph"/>
        <w:widowControl w:val="0"/>
        <w:numPr>
          <w:ilvl w:val="1"/>
          <w:numId w:val="31"/>
        </w:numPr>
        <w:tabs>
          <w:tab w:val="left" w:pos="720"/>
        </w:tabs>
        <w:suppressAutoHyphens/>
        <w:autoSpaceDE w:val="0"/>
        <w:autoSpaceDN w:val="0"/>
        <w:adjustRightInd w:val="0"/>
        <w:snapToGrid w:val="0"/>
        <w:spacing w:before="120" w:after="120"/>
        <w:ind w:left="0" w:firstLine="0"/>
        <w:contextualSpacing w:val="0"/>
        <w:rPr>
          <w:rFonts w:ascii="SimSun" w:hAnsi="SimSun" w:cstheme="majorBidi"/>
          <w:color w:val="000000" w:themeColor="text1"/>
          <w:kern w:val="24"/>
          <w:sz w:val="24"/>
          <w:lang w:val="en-US" w:eastAsia="ja-JP"/>
        </w:rPr>
      </w:pPr>
      <w:r w:rsidRPr="0043772A">
        <w:rPr>
          <w:rFonts w:ascii="SimSun" w:hAnsi="SimSun" w:cstheme="majorBidi" w:hint="eastAsia"/>
          <w:color w:val="000000" w:themeColor="text1"/>
          <w:kern w:val="24"/>
          <w:sz w:val="24"/>
          <w:lang w:val="en-US" w:eastAsia="ja-JP"/>
        </w:rPr>
        <w:t>迫切需要建立和统一受管理的授粉媒介的贸易条例（最佳管理做法、风险管理和预防风险监测、统一报告程序、数据管理策略），以便能够近实时和跨边界检测当前和新出现的风险和威胁，从而可以采取应对措施。</w:t>
      </w:r>
    </w:p>
    <w:p w:rsidR="00495DEF" w:rsidRPr="004103EF" w:rsidRDefault="00495DEF" w:rsidP="00495DEF">
      <w:pPr>
        <w:pStyle w:val="ListParagraph"/>
        <w:widowControl w:val="0"/>
        <w:numPr>
          <w:ilvl w:val="1"/>
          <w:numId w:val="31"/>
        </w:numPr>
        <w:tabs>
          <w:tab w:val="left" w:pos="720"/>
        </w:tabs>
        <w:suppressAutoHyphens/>
        <w:autoSpaceDE w:val="0"/>
        <w:autoSpaceDN w:val="0"/>
        <w:adjustRightInd w:val="0"/>
        <w:snapToGrid w:val="0"/>
        <w:spacing w:before="120" w:after="120"/>
        <w:ind w:left="0" w:firstLine="0"/>
        <w:contextualSpacing w:val="0"/>
        <w:rPr>
          <w:rFonts w:asciiTheme="minorEastAsia" w:eastAsiaTheme="minorEastAsia" w:hAnsiTheme="minorEastAsia" w:cstheme="majorBidi"/>
          <w:color w:val="000000" w:themeColor="text1"/>
          <w:kern w:val="24"/>
          <w:sz w:val="24"/>
          <w:lang w:val="en-US" w:eastAsia="ja-JP"/>
        </w:rPr>
      </w:pPr>
      <w:r w:rsidRPr="004103EF">
        <w:rPr>
          <w:rFonts w:asciiTheme="minorEastAsia" w:eastAsiaTheme="minorEastAsia" w:hAnsiTheme="minorEastAsia" w:cstheme="majorBidi" w:hint="eastAsia"/>
          <w:color w:val="000000" w:themeColor="text1"/>
          <w:kern w:val="24"/>
          <w:sz w:val="24"/>
          <w:lang w:val="en-US" w:eastAsia="ja-JP"/>
        </w:rPr>
        <w:t>可持续木材管理和认证规则应顾及捕获、运输和保护林业产品中发现的蜂巢等措施。</w:t>
      </w:r>
    </w:p>
    <w:p w:rsidR="00495DEF" w:rsidRPr="004103EF" w:rsidRDefault="00495DEF" w:rsidP="00495DEF">
      <w:pPr>
        <w:pStyle w:val="ListParagraph"/>
        <w:widowControl w:val="0"/>
        <w:numPr>
          <w:ilvl w:val="1"/>
          <w:numId w:val="31"/>
        </w:numPr>
        <w:tabs>
          <w:tab w:val="left" w:pos="720"/>
        </w:tabs>
        <w:suppressAutoHyphens/>
        <w:autoSpaceDE w:val="0"/>
        <w:autoSpaceDN w:val="0"/>
        <w:adjustRightInd w:val="0"/>
        <w:snapToGrid w:val="0"/>
        <w:spacing w:before="120" w:after="120"/>
        <w:ind w:left="0" w:firstLine="0"/>
        <w:contextualSpacing w:val="0"/>
        <w:rPr>
          <w:rFonts w:asciiTheme="minorEastAsia" w:eastAsiaTheme="minorEastAsia" w:hAnsiTheme="minorEastAsia" w:cstheme="majorBidi"/>
          <w:color w:val="000000" w:themeColor="text1"/>
          <w:kern w:val="24"/>
          <w:sz w:val="24"/>
          <w:lang w:val="en-US" w:eastAsia="ja-JP"/>
        </w:rPr>
      </w:pPr>
      <w:r w:rsidRPr="004103EF">
        <w:rPr>
          <w:rFonts w:asciiTheme="minorEastAsia" w:eastAsiaTheme="minorEastAsia" w:hAnsiTheme="minorEastAsia" w:cstheme="majorBidi" w:hint="eastAsia"/>
          <w:color w:val="000000" w:themeColor="text1"/>
          <w:kern w:val="24"/>
          <w:sz w:val="24"/>
          <w:lang w:val="en-US" w:eastAsia="ja-JP"/>
        </w:rPr>
        <w:t>有必要加深关于授粉媒介和授粉的知识，了解它们在维持农业和粮食生产以外的生态系统健康和完整性方面的作用。现有的大多数文献都把重点放在特定的</w:t>
      </w:r>
      <w:r w:rsidRPr="004103EF">
        <w:rPr>
          <w:rFonts w:asciiTheme="minorEastAsia" w:eastAsiaTheme="minorEastAsia" w:hAnsiTheme="minorEastAsia" w:cstheme="majorBidi"/>
          <w:color w:val="000000" w:themeColor="text1"/>
          <w:kern w:val="24"/>
          <w:sz w:val="24"/>
          <w:lang w:val="en-US" w:eastAsia="ja-JP"/>
        </w:rPr>
        <w:t>膜翅目昆</w:t>
      </w:r>
      <w:r w:rsidRPr="004103EF">
        <w:rPr>
          <w:rFonts w:asciiTheme="minorEastAsia" w:eastAsiaTheme="minorEastAsia" w:hAnsiTheme="minorEastAsia" w:cstheme="majorBidi" w:hint="eastAsia"/>
          <w:color w:val="000000" w:themeColor="text1"/>
          <w:kern w:val="24"/>
          <w:sz w:val="24"/>
          <w:lang w:val="en-US" w:eastAsia="ja-JP"/>
        </w:rPr>
        <w:t>虫组群上。缺乏有关景观变化或农药对非蜂类群造成的影响的信息。</w:t>
      </w:r>
    </w:p>
    <w:p w:rsidR="00495DEF" w:rsidRPr="0043772A" w:rsidRDefault="00495DEF" w:rsidP="00495DEF">
      <w:pPr>
        <w:pStyle w:val="ListParagraph"/>
        <w:widowControl w:val="0"/>
        <w:numPr>
          <w:ilvl w:val="1"/>
          <w:numId w:val="31"/>
        </w:numPr>
        <w:tabs>
          <w:tab w:val="left" w:pos="720"/>
        </w:tabs>
        <w:suppressAutoHyphens/>
        <w:autoSpaceDE w:val="0"/>
        <w:autoSpaceDN w:val="0"/>
        <w:adjustRightInd w:val="0"/>
        <w:snapToGrid w:val="0"/>
        <w:spacing w:before="120" w:after="120"/>
        <w:ind w:left="0" w:firstLine="0"/>
        <w:contextualSpacing w:val="0"/>
        <w:rPr>
          <w:rFonts w:ascii="SimSun" w:hAnsi="SimSun" w:cstheme="majorBidi"/>
          <w:color w:val="000000" w:themeColor="text1"/>
          <w:kern w:val="24"/>
          <w:sz w:val="24"/>
          <w:lang w:val="en-US" w:eastAsia="ja-JP"/>
        </w:rPr>
      </w:pPr>
      <w:r w:rsidRPr="0043772A">
        <w:rPr>
          <w:rFonts w:ascii="SimSun" w:hAnsi="SimSun" w:cstheme="majorBidi" w:hint="eastAsia"/>
          <w:color w:val="000000" w:themeColor="text1"/>
          <w:kern w:val="24"/>
          <w:sz w:val="24"/>
          <w:lang w:val="en-US" w:eastAsia="ja-JP"/>
        </w:rPr>
        <w:t>可采取下列行动支持增加知识：</w:t>
      </w:r>
    </w:p>
    <w:p w:rsidR="00495DEF" w:rsidRPr="00D06AA1" w:rsidRDefault="00495DEF" w:rsidP="00495DEF">
      <w:pPr>
        <w:pStyle w:val="ListParagraph"/>
        <w:widowControl w:val="0"/>
        <w:numPr>
          <w:ilvl w:val="0"/>
          <w:numId w:val="37"/>
        </w:numPr>
        <w:tabs>
          <w:tab w:val="left" w:pos="1440"/>
        </w:tabs>
        <w:suppressAutoHyphens/>
        <w:snapToGrid w:val="0"/>
        <w:spacing w:before="120" w:after="120"/>
        <w:ind w:left="0" w:firstLine="720"/>
        <w:contextualSpacing w:val="0"/>
        <w:rPr>
          <w:rFonts w:ascii="SimSun" w:hAnsi="SimSun"/>
          <w:sz w:val="24"/>
        </w:rPr>
      </w:pPr>
      <w:r w:rsidRPr="00D06AA1">
        <w:rPr>
          <w:rFonts w:ascii="SimSun" w:hAnsi="SimSun" w:hint="eastAsia"/>
          <w:sz w:val="24"/>
        </w:rPr>
        <w:t>改进知识管理，包括通过生物分类学、志愿者记录、</w:t>
      </w:r>
      <w:r w:rsidRPr="00D06AA1">
        <w:rPr>
          <w:sz w:val="24"/>
        </w:rPr>
        <w:t>DNA</w:t>
      </w:r>
      <w:r w:rsidRPr="00D06AA1">
        <w:rPr>
          <w:rFonts w:ascii="SimSun" w:hAnsi="SimSun" w:hint="eastAsia"/>
          <w:sz w:val="24"/>
        </w:rPr>
        <w:t>条形码、生物多样性信息学工具、为博物馆标本提供的地理参考资料，授粉媒介及授粉功能和服务的标准化长期监测</w:t>
      </w:r>
      <w:r w:rsidRPr="00D06AA1">
        <w:rPr>
          <w:rFonts w:ascii="SimSun" w:hAnsi="SimSun" w:hint="eastAsia"/>
          <w:spacing w:val="2"/>
          <w:sz w:val="24"/>
          <w:shd w:val="clear" w:color="auto" w:fill="FCFCFC"/>
        </w:rPr>
        <w:t>；</w:t>
      </w:r>
    </w:p>
    <w:p w:rsidR="00495DEF" w:rsidRPr="00413272" w:rsidRDefault="00495DEF" w:rsidP="00495DEF">
      <w:pPr>
        <w:pStyle w:val="ListParagraph"/>
        <w:numPr>
          <w:ilvl w:val="0"/>
          <w:numId w:val="37"/>
        </w:numPr>
        <w:tabs>
          <w:tab w:val="left" w:pos="1440"/>
        </w:tabs>
        <w:suppressAutoHyphens/>
        <w:snapToGrid w:val="0"/>
        <w:spacing w:before="120" w:after="120"/>
        <w:ind w:left="0" w:firstLine="720"/>
        <w:contextualSpacing w:val="0"/>
        <w:rPr>
          <w:rFonts w:ascii="SimSun" w:hAnsi="SimSun"/>
          <w:sz w:val="24"/>
        </w:rPr>
      </w:pPr>
      <w:r w:rsidRPr="00413272">
        <w:rPr>
          <w:rFonts w:ascii="SimSun" w:hAnsi="SimSun" w:hint="eastAsia"/>
          <w:sz w:val="24"/>
        </w:rPr>
        <w:t>注重传统知识和经验知识，注意到常规知识合成方法不一定适用于综合其他形式的知识，如土著和地方知识或诸如土地管理者和自然保护主义者</w:t>
      </w:r>
      <w:r>
        <w:rPr>
          <w:rFonts w:ascii="SimSun" w:hAnsi="SimSun" w:hint="eastAsia"/>
          <w:sz w:val="24"/>
        </w:rPr>
        <w:t>等</w:t>
      </w:r>
      <w:r w:rsidRPr="00413272">
        <w:rPr>
          <w:rFonts w:ascii="SimSun" w:hAnsi="SimSun" w:hint="eastAsia"/>
          <w:sz w:val="24"/>
        </w:rPr>
        <w:t>从业人员所拥有的隐性知识。</w:t>
      </w:r>
    </w:p>
    <w:p w:rsidR="00E844E8" w:rsidRDefault="00666863">
      <w:pPr>
        <w:spacing w:before="120" w:after="120"/>
        <w:jc w:val="center"/>
        <w:rPr>
          <w:rFonts w:cs="Times New Roman"/>
          <w:kern w:val="22"/>
        </w:rPr>
      </w:pPr>
      <w:r>
        <w:rPr>
          <w:rFonts w:eastAsia="Univers" w:cs="Times New Roman"/>
          <w:kern w:val="22"/>
        </w:rPr>
        <w:t>__________</w:t>
      </w:r>
      <w:r w:rsidR="008027F1">
        <w:rPr>
          <w:rFonts w:cs="Times New Roman" w:hint="eastAsia"/>
          <w:kern w:val="22"/>
        </w:rPr>
        <w:t xml:space="preserve"> </w:t>
      </w:r>
      <w:r w:rsidR="00C23CC7">
        <w:rPr>
          <w:rFonts w:cs="Times New Roman"/>
          <w:kern w:val="22"/>
        </w:rPr>
        <w:t xml:space="preserve"> </w:t>
      </w:r>
    </w:p>
    <w:sectPr w:rsidR="00E844E8" w:rsidSect="00FF196E">
      <w:headerReference w:type="even" r:id="rId13"/>
      <w:headerReference w:type="default" r:id="rId14"/>
      <w:type w:val="continuous"/>
      <w:pgSz w:w="12240" w:h="15840" w:code="1"/>
      <w:pgMar w:top="864" w:right="1440" w:bottom="864" w:left="1440" w:header="461" w:footer="720" w:gutter="0"/>
      <w:cols w:space="720"/>
      <w:noEndnote/>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410DC" w:rsidRDefault="009410DC">
      <w:pPr>
        <w:rPr>
          <w:rFonts w:ascii="Univers" w:eastAsia="Univers" w:hAnsi="Univers" w:cs="Times New Roman"/>
        </w:rPr>
      </w:pPr>
      <w:r>
        <w:rPr>
          <w:rFonts w:ascii="Univers" w:eastAsia="Univers" w:hAnsi="Univers" w:cs="Times New Roman"/>
        </w:rPr>
        <w:separator/>
      </w:r>
    </w:p>
  </w:endnote>
  <w:endnote w:type="continuationSeparator" w:id="0">
    <w:p w:rsidR="009410DC" w:rsidRDefault="009410DC">
      <w:pPr>
        <w:rPr>
          <w:rFonts w:ascii="Univers" w:eastAsia="Univers" w:hAnsi="Univers" w:cs="Times New Roman"/>
        </w:rPr>
      </w:pPr>
      <w:r>
        <w:rPr>
          <w:rFonts w:ascii="Univers" w:eastAsia="Univers" w:hAnsi="Univer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ngsana New">
    <w:panose1 w:val="02020603050405020304"/>
    <w:charset w:val="00"/>
    <w:family w:val="roman"/>
    <w:pitch w:val="variable"/>
    <w:sig w:usb0="81000003" w:usb1="00000000" w:usb2="00000000" w:usb3="00000000" w:csb0="00010001" w:csb1="00000000"/>
  </w:font>
  <w:font w:name="Univers">
    <w:altName w:val="Arial"/>
    <w:charset w:val="00"/>
    <w:family w:val="swiss"/>
    <w:pitch w:val="variable"/>
    <w:sig w:usb0="80000287" w:usb1="00000000" w:usb2="00000000" w:usb3="00000000" w:csb0="0000000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SimHei">
    <w:altName w:val="黑体"/>
    <w:panose1 w:val="02010609060101010101"/>
    <w:charset w:val="86"/>
    <w:family w:val="modern"/>
    <w:pitch w:val="fixed"/>
    <w:sig w:usb0="800002BF" w:usb1="38CF7CFA" w:usb2="00000016" w:usb3="00000000" w:csb0="00040001" w:csb1="00000000"/>
  </w:font>
  <w:font w:name="KaiTi">
    <w:panose1 w:val="02010609060101010101"/>
    <w:charset w:val="86"/>
    <w:family w:val="modern"/>
    <w:pitch w:val="fixed"/>
    <w:sig w:usb0="800002BF" w:usb1="38CF7CFA"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410DC" w:rsidRDefault="009410DC">
      <w:pPr>
        <w:rPr>
          <w:rFonts w:ascii="Univers" w:eastAsia="Univers" w:hAnsi="Univers" w:cs="Times New Roman"/>
        </w:rPr>
      </w:pPr>
      <w:r>
        <w:rPr>
          <w:rFonts w:ascii="Univers" w:eastAsia="Univers" w:hAnsi="Univers" w:cs="Times New Roman"/>
        </w:rPr>
        <w:separator/>
      </w:r>
    </w:p>
  </w:footnote>
  <w:footnote w:type="continuationSeparator" w:id="0">
    <w:p w:rsidR="009410DC" w:rsidRDefault="009410DC">
      <w:pPr>
        <w:rPr>
          <w:rFonts w:ascii="Univers" w:eastAsia="Univers" w:hAnsi="Univers" w:cs="Times New Roman"/>
        </w:rPr>
      </w:pPr>
      <w:r>
        <w:rPr>
          <w:rFonts w:ascii="Univers" w:eastAsia="Univers" w:hAnsi="Univers" w:cs="Times New Roman"/>
        </w:rPr>
        <w:continuationSeparator/>
      </w:r>
    </w:p>
  </w:footnote>
  <w:footnote w:id="1">
    <w:p w:rsidR="00495DEF" w:rsidRPr="0033385D" w:rsidRDefault="00495DEF" w:rsidP="00495DEF">
      <w:pPr>
        <w:pStyle w:val="FootnoteText"/>
        <w:tabs>
          <w:tab w:val="left" w:pos="360"/>
        </w:tabs>
        <w:kinsoku w:val="0"/>
        <w:overflowPunct w:val="0"/>
        <w:autoSpaceDE w:val="0"/>
        <w:autoSpaceDN w:val="0"/>
        <w:adjustRightInd w:val="0"/>
        <w:snapToGrid w:val="0"/>
        <w:ind w:firstLine="0"/>
        <w:jc w:val="left"/>
        <w:rPr>
          <w:rFonts w:eastAsiaTheme="minorEastAsia"/>
          <w:szCs w:val="18"/>
          <w:lang w:eastAsia="zh-CN"/>
        </w:rPr>
      </w:pPr>
      <w:r w:rsidRPr="00EC5351">
        <w:rPr>
          <w:rStyle w:val="FootnoteReference"/>
          <w:rFonts w:eastAsiaTheme="minorEastAsia"/>
          <w:sz w:val="24"/>
          <w:u w:val="none"/>
          <w:vertAlign w:val="superscript"/>
        </w:rPr>
        <w:footnoteRef/>
      </w:r>
      <w:r w:rsidRPr="00EC5351">
        <w:rPr>
          <w:rStyle w:val="FootnoteReference"/>
          <w:sz w:val="24"/>
          <w:u w:val="none"/>
          <w:vertAlign w:val="superscript"/>
        </w:rPr>
        <w:t xml:space="preserve"> </w:t>
      </w:r>
      <w:r w:rsidRPr="0033385D">
        <w:rPr>
          <w:rFonts w:eastAsiaTheme="minorEastAsia"/>
          <w:kern w:val="22"/>
          <w:szCs w:val="18"/>
          <w:lang w:eastAsia="zh-CN"/>
        </w:rPr>
        <w:t xml:space="preserve"> </w:t>
      </w:r>
      <w:r>
        <w:rPr>
          <w:rFonts w:eastAsiaTheme="minorEastAsia" w:hint="eastAsia"/>
          <w:kern w:val="22"/>
          <w:szCs w:val="18"/>
          <w:lang w:eastAsia="zh-CN"/>
        </w:rPr>
        <w:tab/>
      </w:r>
      <w:r w:rsidRPr="00DF2DDB">
        <w:rPr>
          <w:rFonts w:eastAsiaTheme="minorEastAsia"/>
          <w:kern w:val="22"/>
          <w:sz w:val="20"/>
          <w:szCs w:val="18"/>
          <w:lang w:eastAsia="zh-CN"/>
        </w:rPr>
        <w:t>根据科咨机构第</w:t>
      </w:r>
      <w:r w:rsidRPr="00DF2DDB">
        <w:rPr>
          <w:rFonts w:eastAsiaTheme="minorEastAsia"/>
          <w:kern w:val="22"/>
          <w:sz w:val="20"/>
          <w:szCs w:val="18"/>
          <w:lang w:eastAsia="zh-CN"/>
        </w:rPr>
        <w:t>22 / XXX</w:t>
      </w:r>
      <w:r w:rsidRPr="00DF2DDB">
        <w:rPr>
          <w:rFonts w:eastAsiaTheme="minorEastAsia"/>
          <w:kern w:val="22"/>
          <w:sz w:val="20"/>
          <w:szCs w:val="18"/>
          <w:lang w:eastAsia="zh-CN"/>
        </w:rPr>
        <w:t>号建议第</w:t>
      </w:r>
      <w:r w:rsidRPr="00DF2DDB">
        <w:rPr>
          <w:rFonts w:eastAsiaTheme="minorEastAsia"/>
          <w:kern w:val="22"/>
          <w:sz w:val="20"/>
          <w:szCs w:val="18"/>
          <w:lang w:eastAsia="zh-CN"/>
        </w:rPr>
        <w:t>3</w:t>
      </w:r>
      <w:r w:rsidRPr="00DF2DDB">
        <w:rPr>
          <w:rFonts w:eastAsiaTheme="minorEastAsia"/>
          <w:kern w:val="22"/>
          <w:sz w:val="20"/>
          <w:szCs w:val="18"/>
          <w:lang w:eastAsia="zh-CN"/>
        </w:rPr>
        <w:t>段，在关于所有生态系统中授粉媒介和授粉在农业和粮食生产作用</w:t>
      </w:r>
      <w:r w:rsidRPr="00DF2DDB">
        <w:rPr>
          <w:rFonts w:eastAsiaTheme="minorEastAsia"/>
          <w:kern w:val="22"/>
          <w:sz w:val="20"/>
          <w:szCs w:val="18"/>
          <w:lang w:val="en-US" w:eastAsia="zh-CN"/>
        </w:rPr>
        <w:t>之外与</w:t>
      </w:r>
      <w:r w:rsidRPr="00DF2DDB">
        <w:rPr>
          <w:rFonts w:eastAsiaTheme="minorEastAsia"/>
          <w:kern w:val="22"/>
          <w:sz w:val="20"/>
          <w:szCs w:val="18"/>
          <w:lang w:eastAsia="zh-CN"/>
        </w:rPr>
        <w:t>生物多样性的保护和可持续利用的相关性的完整报告草案定稿之前。</w:t>
      </w:r>
    </w:p>
  </w:footnote>
  <w:footnote w:id="2">
    <w:p w:rsidR="00495DEF" w:rsidRPr="0033385D" w:rsidRDefault="00495DEF" w:rsidP="00495DEF">
      <w:pPr>
        <w:pStyle w:val="FootnoteText"/>
        <w:tabs>
          <w:tab w:val="left" w:pos="360"/>
        </w:tabs>
        <w:kinsoku w:val="0"/>
        <w:overflowPunct w:val="0"/>
        <w:autoSpaceDE w:val="0"/>
        <w:autoSpaceDN w:val="0"/>
        <w:adjustRightInd w:val="0"/>
        <w:snapToGrid w:val="0"/>
        <w:ind w:firstLine="0"/>
        <w:jc w:val="left"/>
        <w:rPr>
          <w:rFonts w:eastAsiaTheme="minorEastAsia"/>
          <w:szCs w:val="18"/>
          <w:lang w:eastAsia="zh-CN"/>
        </w:rPr>
      </w:pPr>
      <w:r w:rsidRPr="00EC5351">
        <w:rPr>
          <w:rStyle w:val="FootnoteReference"/>
          <w:rFonts w:eastAsiaTheme="minorEastAsia"/>
          <w:sz w:val="24"/>
          <w:u w:val="none"/>
          <w:vertAlign w:val="superscript"/>
        </w:rPr>
        <w:footnoteRef/>
      </w:r>
      <w:r w:rsidRPr="00EC5351">
        <w:rPr>
          <w:rStyle w:val="FootnoteReference"/>
          <w:rFonts w:eastAsiaTheme="minorEastAsia" w:hint="eastAsia"/>
          <w:sz w:val="24"/>
          <w:u w:val="none"/>
          <w:vertAlign w:val="superscript"/>
        </w:rPr>
        <w:t xml:space="preserve"> </w:t>
      </w:r>
      <w:r w:rsidRPr="00EC5351">
        <w:rPr>
          <w:rStyle w:val="FootnoteReference"/>
          <w:sz w:val="24"/>
          <w:u w:val="none"/>
          <w:vertAlign w:val="superscript"/>
        </w:rPr>
        <w:t xml:space="preserve"> </w:t>
      </w:r>
      <w:r>
        <w:rPr>
          <w:rFonts w:eastAsiaTheme="minorEastAsia" w:hint="eastAsia"/>
          <w:lang w:eastAsia="zh-CN"/>
        </w:rPr>
        <w:tab/>
      </w:r>
      <w:r w:rsidRPr="00DF2DDB">
        <w:rPr>
          <w:rFonts w:eastAsiaTheme="minorEastAsia" w:hint="eastAsia"/>
          <w:sz w:val="20"/>
          <w:lang w:eastAsia="zh-CN"/>
        </w:rPr>
        <w:t>附件一</w:t>
      </w:r>
      <w:r w:rsidRPr="00DF2DDB">
        <w:rPr>
          <w:rFonts w:eastAsiaTheme="minorEastAsia"/>
          <w:sz w:val="20"/>
          <w:lang w:eastAsia="zh-CN"/>
        </w:rPr>
        <w:t>所载《</w:t>
      </w:r>
      <w:r w:rsidRPr="00DF2DDB">
        <w:rPr>
          <w:rFonts w:eastAsiaTheme="minorEastAsia"/>
          <w:sz w:val="20"/>
          <w:szCs w:val="18"/>
          <w:lang w:eastAsia="zh-CN"/>
        </w:rPr>
        <w:t>2018 - 2030</w:t>
      </w:r>
      <w:r w:rsidRPr="00DF2DDB">
        <w:rPr>
          <w:rFonts w:eastAsiaTheme="minorEastAsia"/>
          <w:sz w:val="20"/>
          <w:szCs w:val="18"/>
          <w:lang w:eastAsia="zh-CN"/>
        </w:rPr>
        <w:t>年行动计划》要素</w:t>
      </w:r>
      <w:r w:rsidRPr="00DF2DDB">
        <w:rPr>
          <w:rFonts w:eastAsiaTheme="minorEastAsia"/>
          <w:sz w:val="20"/>
          <w:szCs w:val="18"/>
          <w:lang w:eastAsia="zh-CN"/>
        </w:rPr>
        <w:t>4</w:t>
      </w:r>
      <w:r w:rsidRPr="00DF2DDB">
        <w:rPr>
          <w:rFonts w:eastAsiaTheme="minorEastAsia"/>
          <w:sz w:val="20"/>
          <w:szCs w:val="18"/>
          <w:lang w:eastAsia="zh-CN"/>
        </w:rPr>
        <w:t>中确定的差距。</w:t>
      </w:r>
    </w:p>
  </w:footnote>
  <w:footnote w:id="3">
    <w:p w:rsidR="00495DEF" w:rsidRPr="0033385D" w:rsidRDefault="00495DEF" w:rsidP="00495DEF">
      <w:pPr>
        <w:pStyle w:val="FootnoteText"/>
        <w:tabs>
          <w:tab w:val="left" w:pos="360"/>
        </w:tabs>
        <w:spacing w:before="40" w:after="40"/>
        <w:ind w:firstLine="0"/>
        <w:rPr>
          <w:rFonts w:eastAsiaTheme="minorEastAsia"/>
          <w:sz w:val="20"/>
          <w:szCs w:val="20"/>
          <w:lang w:eastAsia="zh-CN"/>
        </w:rPr>
      </w:pPr>
      <w:r w:rsidRPr="00EC5351">
        <w:rPr>
          <w:rStyle w:val="FootnoteReference"/>
          <w:rFonts w:eastAsiaTheme="minorEastAsia"/>
          <w:sz w:val="24"/>
          <w:u w:val="none"/>
          <w:vertAlign w:val="superscript"/>
        </w:rPr>
        <w:footnoteRef/>
      </w:r>
      <w:r w:rsidRPr="00EC5351">
        <w:rPr>
          <w:rStyle w:val="FootnoteReference"/>
          <w:sz w:val="24"/>
          <w:u w:val="none"/>
          <w:vertAlign w:val="superscript"/>
        </w:rPr>
        <w:t xml:space="preserve"> </w:t>
      </w:r>
      <w:r w:rsidRPr="0033385D">
        <w:rPr>
          <w:rFonts w:eastAsiaTheme="minorEastAsia"/>
          <w:sz w:val="20"/>
          <w:szCs w:val="20"/>
          <w:lang w:eastAsia="zh-CN"/>
        </w:rPr>
        <w:t xml:space="preserve"> </w:t>
      </w:r>
      <w:r>
        <w:rPr>
          <w:rFonts w:eastAsiaTheme="minorEastAsia" w:hint="eastAsia"/>
          <w:sz w:val="20"/>
          <w:szCs w:val="20"/>
          <w:lang w:eastAsia="zh-CN"/>
        </w:rPr>
        <w:tab/>
      </w:r>
      <w:r w:rsidRPr="0033385D">
        <w:rPr>
          <w:rFonts w:eastAsiaTheme="minorEastAsia"/>
          <w:sz w:val="20"/>
          <w:szCs w:val="20"/>
          <w:lang w:eastAsia="zh-CN"/>
        </w:rPr>
        <w:t>政府间科学政策平台</w:t>
      </w:r>
      <w:r w:rsidRPr="0033385D">
        <w:rPr>
          <w:rFonts w:eastAsiaTheme="minorEastAsia"/>
          <w:sz w:val="20"/>
          <w:szCs w:val="20"/>
          <w:lang w:eastAsia="de-DE"/>
        </w:rPr>
        <w:t>(201</w:t>
      </w:r>
      <w:r w:rsidRPr="0033385D">
        <w:rPr>
          <w:rFonts w:eastAsiaTheme="minorEastAsia"/>
          <w:sz w:val="20"/>
          <w:szCs w:val="20"/>
          <w:lang w:eastAsia="zh-CN"/>
        </w:rPr>
        <w:t>6</w:t>
      </w:r>
      <w:r w:rsidRPr="0033385D">
        <w:rPr>
          <w:rFonts w:eastAsiaTheme="minorEastAsia"/>
          <w:sz w:val="20"/>
          <w:szCs w:val="20"/>
          <w:lang w:eastAsia="zh-CN"/>
        </w:rPr>
        <w:t>年</w:t>
      </w:r>
      <w:r w:rsidRPr="0033385D">
        <w:rPr>
          <w:rFonts w:eastAsiaTheme="minorEastAsia"/>
          <w:sz w:val="20"/>
          <w:szCs w:val="20"/>
          <w:lang w:eastAsia="zh-CN"/>
        </w:rPr>
        <w:t>)</w:t>
      </w:r>
      <w:r w:rsidRPr="0033385D">
        <w:rPr>
          <w:rFonts w:eastAsiaTheme="minorEastAsia"/>
          <w:sz w:val="20"/>
          <w:szCs w:val="20"/>
          <w:lang w:eastAsia="zh-CN"/>
        </w:rPr>
        <w:t>。</w:t>
      </w:r>
      <w:r w:rsidRPr="0033385D">
        <w:rPr>
          <w:rFonts w:eastAsiaTheme="minorEastAsia"/>
          <w:snapToGrid w:val="0"/>
          <w:sz w:val="20"/>
          <w:szCs w:val="20"/>
          <w:lang w:eastAsia="zh-CN"/>
        </w:rPr>
        <w:t>《</w:t>
      </w:r>
      <w:r w:rsidRPr="00DF2DDB">
        <w:rPr>
          <w:rFonts w:ascii="KaiTi" w:eastAsia="KaiTi" w:hAnsi="KaiTi"/>
          <w:snapToGrid w:val="0"/>
          <w:sz w:val="20"/>
          <w:szCs w:val="20"/>
          <w:lang w:eastAsia="zh-CN"/>
        </w:rPr>
        <w:t>关于授粉媒介、授粉和粮食生产的评估报告</w:t>
      </w:r>
      <w:r w:rsidRPr="0033385D">
        <w:rPr>
          <w:rFonts w:eastAsiaTheme="minorEastAsia"/>
          <w:snapToGrid w:val="0"/>
          <w:sz w:val="20"/>
          <w:szCs w:val="20"/>
          <w:lang w:eastAsia="zh-CN"/>
        </w:rPr>
        <w:t>》</w:t>
      </w:r>
      <w:r w:rsidRPr="0033385D">
        <w:rPr>
          <w:rFonts w:eastAsiaTheme="minorEastAsia"/>
          <w:sz w:val="20"/>
          <w:szCs w:val="20"/>
          <w:lang w:val="en-US" w:eastAsia="zh-CN"/>
        </w:rPr>
        <w:t>。</w:t>
      </w:r>
    </w:p>
  </w:footnote>
  <w:footnote w:id="4">
    <w:p w:rsidR="00495DEF" w:rsidRPr="0033385D" w:rsidRDefault="00495DEF" w:rsidP="00495DEF">
      <w:pPr>
        <w:pStyle w:val="FootnoteText"/>
        <w:tabs>
          <w:tab w:val="left" w:pos="360"/>
        </w:tabs>
        <w:spacing w:before="40" w:after="40"/>
        <w:ind w:firstLine="0"/>
        <w:rPr>
          <w:rFonts w:eastAsiaTheme="minorEastAsia"/>
          <w:sz w:val="20"/>
          <w:szCs w:val="20"/>
          <w:lang w:val="en-US" w:eastAsia="zh-CN"/>
        </w:rPr>
      </w:pPr>
      <w:r w:rsidRPr="00EC5351">
        <w:rPr>
          <w:rStyle w:val="FootnoteReference"/>
          <w:rFonts w:eastAsiaTheme="minorEastAsia"/>
          <w:sz w:val="24"/>
          <w:u w:val="none"/>
          <w:vertAlign w:val="superscript"/>
        </w:rPr>
        <w:footnoteRef/>
      </w:r>
      <w:r w:rsidRPr="00EC5351">
        <w:rPr>
          <w:rStyle w:val="FootnoteReference"/>
          <w:rFonts w:eastAsiaTheme="minorEastAsia" w:hint="eastAsia"/>
          <w:sz w:val="24"/>
          <w:u w:val="none"/>
          <w:vertAlign w:val="superscript"/>
        </w:rPr>
        <w:t xml:space="preserve"> </w:t>
      </w:r>
      <w:r w:rsidRPr="0033385D">
        <w:rPr>
          <w:rFonts w:eastAsiaTheme="minorEastAsia"/>
          <w:sz w:val="20"/>
          <w:szCs w:val="20"/>
          <w:lang w:eastAsia="zh-CN"/>
        </w:rPr>
        <w:t xml:space="preserve"> </w:t>
      </w:r>
      <w:r>
        <w:rPr>
          <w:rFonts w:eastAsiaTheme="minorEastAsia" w:hint="eastAsia"/>
          <w:sz w:val="20"/>
          <w:szCs w:val="20"/>
          <w:lang w:eastAsia="zh-CN"/>
        </w:rPr>
        <w:tab/>
      </w:r>
      <w:r w:rsidRPr="0033385D">
        <w:rPr>
          <w:rFonts w:eastAsiaTheme="minorEastAsia"/>
          <w:sz w:val="20"/>
          <w:szCs w:val="20"/>
          <w:lang w:eastAsia="zh-CN"/>
        </w:rPr>
        <w:t>同上。</w:t>
      </w:r>
    </w:p>
  </w:footnote>
  <w:footnote w:id="5">
    <w:p w:rsidR="00495DEF" w:rsidRPr="0033385D" w:rsidRDefault="00495DEF" w:rsidP="00495DEF">
      <w:pPr>
        <w:pStyle w:val="FootnoteText"/>
        <w:tabs>
          <w:tab w:val="left" w:pos="360"/>
        </w:tabs>
        <w:spacing w:before="40" w:after="40"/>
        <w:ind w:firstLine="0"/>
        <w:rPr>
          <w:rFonts w:eastAsiaTheme="minorEastAsia"/>
          <w:szCs w:val="18"/>
          <w:lang w:eastAsia="zh-CN"/>
        </w:rPr>
      </w:pPr>
      <w:r w:rsidRPr="00EC5351">
        <w:rPr>
          <w:rStyle w:val="FootnoteReference"/>
          <w:rFonts w:eastAsiaTheme="minorEastAsia"/>
          <w:sz w:val="24"/>
          <w:u w:val="none"/>
          <w:vertAlign w:val="superscript"/>
        </w:rPr>
        <w:footnoteRef/>
      </w:r>
      <w:r w:rsidRPr="00EC5351">
        <w:rPr>
          <w:rStyle w:val="FootnoteReference"/>
          <w:rFonts w:eastAsiaTheme="minorEastAsia" w:hint="eastAsia"/>
          <w:sz w:val="24"/>
          <w:u w:val="none"/>
          <w:vertAlign w:val="superscript"/>
        </w:rPr>
        <w:t xml:space="preserve"> </w:t>
      </w:r>
      <w:r w:rsidRPr="0033385D">
        <w:rPr>
          <w:rFonts w:eastAsiaTheme="minorEastAsia"/>
          <w:sz w:val="20"/>
          <w:szCs w:val="20"/>
          <w:lang w:eastAsia="zh-CN"/>
        </w:rPr>
        <w:t xml:space="preserve"> </w:t>
      </w:r>
      <w:r>
        <w:rPr>
          <w:rFonts w:eastAsiaTheme="minorEastAsia" w:hint="eastAsia"/>
          <w:sz w:val="20"/>
          <w:szCs w:val="20"/>
          <w:lang w:eastAsia="zh-CN"/>
        </w:rPr>
        <w:tab/>
      </w:r>
      <w:r w:rsidRPr="0033385D">
        <w:rPr>
          <w:rFonts w:eastAsiaTheme="minorEastAsia"/>
          <w:sz w:val="20"/>
          <w:szCs w:val="20"/>
          <w:lang w:eastAsia="zh-CN"/>
        </w:rPr>
        <w:t>关于农业生物多样性</w:t>
      </w:r>
      <w:r>
        <w:rPr>
          <w:rFonts w:eastAsiaTheme="minorEastAsia" w:hint="eastAsia"/>
          <w:sz w:val="20"/>
          <w:szCs w:val="20"/>
          <w:lang w:eastAsia="zh-CN"/>
        </w:rPr>
        <w:t>的第</w:t>
      </w:r>
      <w:r w:rsidRPr="00913E3A">
        <w:rPr>
          <w:rFonts w:eastAsiaTheme="minorEastAsia"/>
          <w:sz w:val="20"/>
          <w:szCs w:val="20"/>
          <w:lang w:eastAsia="zh-CN"/>
        </w:rPr>
        <w:t xml:space="preserve"> V/5 </w:t>
      </w:r>
      <w:r>
        <w:rPr>
          <w:rFonts w:eastAsiaTheme="minorEastAsia" w:hint="eastAsia"/>
          <w:sz w:val="20"/>
          <w:szCs w:val="20"/>
          <w:lang w:eastAsia="zh-CN"/>
        </w:rPr>
        <w:t>号决定。</w:t>
      </w:r>
    </w:p>
  </w:footnote>
  <w:footnote w:id="6">
    <w:p w:rsidR="00495DEF" w:rsidRPr="0033385D" w:rsidRDefault="00495DEF" w:rsidP="00495DEF">
      <w:pPr>
        <w:pStyle w:val="FootnoteText"/>
        <w:tabs>
          <w:tab w:val="left" w:pos="360"/>
        </w:tabs>
        <w:ind w:firstLine="0"/>
        <w:rPr>
          <w:rFonts w:eastAsiaTheme="minorEastAsia"/>
          <w:sz w:val="20"/>
          <w:szCs w:val="20"/>
          <w:lang w:val="en-US" w:eastAsia="zh-CN"/>
        </w:rPr>
      </w:pPr>
      <w:r w:rsidRPr="00EC5351">
        <w:rPr>
          <w:rStyle w:val="FootnoteReference"/>
          <w:rFonts w:eastAsiaTheme="minorEastAsia"/>
          <w:sz w:val="24"/>
          <w:u w:val="none"/>
          <w:vertAlign w:val="superscript"/>
        </w:rPr>
        <w:footnoteRef/>
      </w:r>
      <w:r w:rsidRPr="00EC5351">
        <w:rPr>
          <w:rStyle w:val="FootnoteReference"/>
          <w:sz w:val="24"/>
          <w:u w:val="none"/>
          <w:vertAlign w:val="superscript"/>
        </w:rPr>
        <w:t xml:space="preserve"> </w:t>
      </w:r>
      <w:r w:rsidRPr="0033385D">
        <w:rPr>
          <w:rFonts w:eastAsiaTheme="minorEastAsia"/>
          <w:sz w:val="22"/>
          <w:szCs w:val="20"/>
          <w:lang w:val="en-US" w:eastAsia="zh-CN"/>
        </w:rPr>
        <w:t xml:space="preserve"> </w:t>
      </w:r>
      <w:r>
        <w:rPr>
          <w:rFonts w:eastAsiaTheme="minorEastAsia" w:hint="eastAsia"/>
          <w:sz w:val="20"/>
          <w:szCs w:val="20"/>
          <w:lang w:val="en-US" w:eastAsia="zh-CN"/>
        </w:rPr>
        <w:tab/>
      </w:r>
      <w:r w:rsidRPr="0033385D">
        <w:rPr>
          <w:rFonts w:eastAsiaTheme="minorEastAsia"/>
          <w:sz w:val="20"/>
          <w:szCs w:val="20"/>
          <w:lang w:val="en-US" w:eastAsia="zh-CN"/>
        </w:rPr>
        <w:t>授粉媒介生境</w:t>
      </w:r>
      <w:r w:rsidRPr="0033385D">
        <w:rPr>
          <w:rFonts w:eastAsiaTheme="minorEastAsia"/>
          <w:sz w:val="20"/>
          <w:szCs w:val="20"/>
          <w:lang w:eastAsia="zh-CN"/>
        </w:rPr>
        <w:t>：为不同授粉媒介物种完成生命周期提供饲料、筑巢地和其他条件的地区</w:t>
      </w:r>
      <w:r w:rsidRPr="0033385D">
        <w:rPr>
          <w:rFonts w:eastAsiaTheme="minorEastAsia"/>
          <w:sz w:val="20"/>
          <w:szCs w:val="20"/>
          <w:lang w:val="en-US" w:eastAsia="zh-CN"/>
        </w:rPr>
        <w:t>。</w:t>
      </w:r>
    </w:p>
  </w:footnote>
  <w:footnote w:id="7">
    <w:p w:rsidR="00495DEF" w:rsidRPr="0033385D" w:rsidRDefault="00495DEF" w:rsidP="00495DEF">
      <w:pPr>
        <w:pStyle w:val="FootnoteText"/>
        <w:tabs>
          <w:tab w:val="left" w:pos="360"/>
        </w:tabs>
        <w:ind w:firstLine="0"/>
        <w:rPr>
          <w:rFonts w:eastAsiaTheme="minorEastAsia"/>
          <w:szCs w:val="18"/>
          <w:lang w:eastAsia="zh-CN"/>
        </w:rPr>
      </w:pPr>
      <w:r w:rsidRPr="00EC5351">
        <w:rPr>
          <w:rStyle w:val="FootnoteReference"/>
          <w:rFonts w:eastAsiaTheme="minorEastAsia"/>
          <w:sz w:val="24"/>
          <w:u w:val="none"/>
          <w:vertAlign w:val="superscript"/>
        </w:rPr>
        <w:footnoteRef/>
      </w:r>
      <w:r w:rsidRPr="00EC5351">
        <w:rPr>
          <w:rStyle w:val="FootnoteReference"/>
          <w:sz w:val="24"/>
          <w:u w:val="none"/>
          <w:vertAlign w:val="superscript"/>
        </w:rPr>
        <w:t xml:space="preserve"> </w:t>
      </w:r>
      <w:r w:rsidRPr="0033385D">
        <w:rPr>
          <w:rFonts w:eastAsiaTheme="minorEastAsia"/>
          <w:sz w:val="20"/>
          <w:szCs w:val="20"/>
          <w:lang w:eastAsia="zh-CN"/>
        </w:rPr>
        <w:t xml:space="preserve"> </w:t>
      </w:r>
      <w:r>
        <w:rPr>
          <w:rFonts w:eastAsiaTheme="minorEastAsia" w:hint="eastAsia"/>
          <w:sz w:val="20"/>
          <w:szCs w:val="20"/>
          <w:lang w:eastAsia="zh-CN"/>
        </w:rPr>
        <w:tab/>
      </w:r>
      <w:r w:rsidRPr="0033385D">
        <w:rPr>
          <w:rFonts w:eastAsiaTheme="minorEastAsia"/>
          <w:sz w:val="20"/>
          <w:szCs w:val="20"/>
          <w:lang w:eastAsia="zh-CN"/>
        </w:rPr>
        <w:t>注意到</w:t>
      </w:r>
      <w:r w:rsidRPr="0033385D">
        <w:rPr>
          <w:rStyle w:val="ng-binding"/>
          <w:rFonts w:eastAsiaTheme="minorEastAsia"/>
          <w:sz w:val="20"/>
          <w:szCs w:val="20"/>
          <w:lang w:eastAsia="zh-CN"/>
        </w:rPr>
        <w:t>自然保护联盟</w:t>
      </w:r>
      <w:r w:rsidRPr="0033385D">
        <w:rPr>
          <w:rFonts w:eastAsiaTheme="minorEastAsia"/>
          <w:sz w:val="20"/>
          <w:szCs w:val="20"/>
          <w:lang w:val="en-US" w:eastAsia="zh-CN"/>
        </w:rPr>
        <w:t>-</w:t>
      </w:r>
      <w:r w:rsidRPr="0033385D">
        <w:rPr>
          <w:rFonts w:eastAsiaTheme="minorEastAsia"/>
          <w:sz w:val="20"/>
          <w:szCs w:val="20"/>
          <w:lang w:val="en-US" w:eastAsia="zh-CN"/>
        </w:rPr>
        <w:t>生态系统管理委员会</w:t>
      </w:r>
      <w:r w:rsidRPr="0033385D">
        <w:rPr>
          <w:rFonts w:eastAsiaTheme="minorEastAsia"/>
          <w:sz w:val="20"/>
          <w:szCs w:val="20"/>
          <w:lang w:val="en-US" w:eastAsia="zh-CN"/>
        </w:rPr>
        <w:t>/</w:t>
      </w:r>
      <w:r w:rsidRPr="0033385D">
        <w:rPr>
          <w:rFonts w:eastAsiaTheme="minorEastAsia"/>
          <w:sz w:val="20"/>
          <w:szCs w:val="20"/>
          <w:lang w:val="en-US" w:eastAsia="zh-CN"/>
        </w:rPr>
        <w:t>物种生存委员会系统农药专题小组出版物</w:t>
      </w:r>
      <w:r w:rsidRPr="0033385D">
        <w:rPr>
          <w:rFonts w:asciiTheme="minorEastAsia" w:eastAsiaTheme="minorEastAsia" w:hAnsiTheme="minorEastAsia"/>
          <w:sz w:val="20"/>
          <w:szCs w:val="20"/>
          <w:lang w:val="en-US" w:eastAsia="zh-CN"/>
        </w:rPr>
        <w:t>“关于内吸杀虫剂的最新全球综合评估”</w:t>
      </w:r>
      <w:r w:rsidRPr="0033385D">
        <w:rPr>
          <w:rFonts w:eastAsiaTheme="minorEastAsia"/>
          <w:sz w:val="20"/>
          <w:szCs w:val="20"/>
          <w:lang w:val="en-US" w:eastAsia="zh-CN"/>
        </w:rPr>
        <w:t>。</w:t>
      </w:r>
    </w:p>
  </w:footnote>
  <w:footnote w:id="8">
    <w:p w:rsidR="00495DEF" w:rsidRPr="0033385D" w:rsidRDefault="00495DEF" w:rsidP="00495DEF">
      <w:pPr>
        <w:pStyle w:val="FootnoteText"/>
        <w:tabs>
          <w:tab w:val="left" w:pos="360"/>
        </w:tabs>
        <w:spacing w:before="40" w:after="40"/>
        <w:ind w:firstLine="0"/>
        <w:jc w:val="left"/>
        <w:rPr>
          <w:rFonts w:eastAsiaTheme="minorEastAsia"/>
          <w:sz w:val="20"/>
          <w:szCs w:val="20"/>
          <w:lang w:val="en-US" w:eastAsia="zh-CN"/>
        </w:rPr>
      </w:pPr>
      <w:r w:rsidRPr="00EC5351">
        <w:rPr>
          <w:rStyle w:val="FootnoteReference"/>
          <w:rFonts w:eastAsiaTheme="minorEastAsia"/>
          <w:sz w:val="24"/>
          <w:u w:val="none"/>
          <w:vertAlign w:val="superscript"/>
        </w:rPr>
        <w:footnoteRef/>
      </w:r>
      <w:r w:rsidRPr="0033385D">
        <w:rPr>
          <w:rFonts w:eastAsiaTheme="minorEastAsia"/>
          <w:sz w:val="24"/>
          <w:szCs w:val="20"/>
          <w:lang w:val="en-US" w:eastAsia="zh-CN"/>
        </w:rPr>
        <w:t xml:space="preserve"> </w:t>
      </w:r>
      <w:r>
        <w:rPr>
          <w:rFonts w:eastAsiaTheme="minorEastAsia" w:hint="eastAsia"/>
          <w:sz w:val="20"/>
          <w:szCs w:val="20"/>
          <w:lang w:val="en-US" w:eastAsia="zh-CN"/>
        </w:rPr>
        <w:tab/>
      </w:r>
      <w:r w:rsidRPr="0033385D">
        <w:rPr>
          <w:rFonts w:eastAsiaTheme="minorEastAsia"/>
          <w:sz w:val="20"/>
          <w:szCs w:val="20"/>
          <w:lang w:val="en-US" w:eastAsia="zh-CN"/>
        </w:rPr>
        <w:t>见联大</w:t>
      </w:r>
      <w:r w:rsidRPr="0033385D">
        <w:rPr>
          <w:rFonts w:eastAsiaTheme="minorEastAsia"/>
          <w:sz w:val="20"/>
          <w:szCs w:val="20"/>
          <w:lang w:val="en-US" w:eastAsia="zh-CN"/>
        </w:rPr>
        <w:t>2017</w:t>
      </w:r>
      <w:r w:rsidRPr="0033385D">
        <w:rPr>
          <w:rFonts w:eastAsiaTheme="minorEastAsia"/>
          <w:sz w:val="20"/>
          <w:szCs w:val="20"/>
          <w:lang w:val="en-US" w:eastAsia="zh-CN"/>
        </w:rPr>
        <w:t>年</w:t>
      </w:r>
      <w:r w:rsidRPr="0033385D">
        <w:rPr>
          <w:rFonts w:eastAsiaTheme="minorEastAsia"/>
          <w:sz w:val="20"/>
          <w:szCs w:val="20"/>
          <w:lang w:val="en-US" w:eastAsia="zh-CN"/>
        </w:rPr>
        <w:t>12</w:t>
      </w:r>
      <w:r w:rsidRPr="0033385D">
        <w:rPr>
          <w:rFonts w:eastAsiaTheme="minorEastAsia"/>
          <w:sz w:val="20"/>
          <w:szCs w:val="20"/>
          <w:lang w:val="en-US" w:eastAsia="zh-CN"/>
        </w:rPr>
        <w:t>月</w:t>
      </w:r>
      <w:r w:rsidRPr="0033385D">
        <w:rPr>
          <w:rFonts w:eastAsiaTheme="minorEastAsia"/>
          <w:sz w:val="20"/>
          <w:szCs w:val="20"/>
          <w:lang w:val="en-US" w:eastAsia="zh-CN"/>
        </w:rPr>
        <w:t>20</w:t>
      </w:r>
      <w:r>
        <w:rPr>
          <w:rFonts w:eastAsiaTheme="minorEastAsia" w:hint="eastAsia"/>
          <w:sz w:val="20"/>
          <w:szCs w:val="20"/>
          <w:lang w:val="en-US" w:eastAsia="zh-CN"/>
        </w:rPr>
        <w:t>日</w:t>
      </w:r>
      <w:r w:rsidRPr="0033385D">
        <w:rPr>
          <w:rFonts w:eastAsiaTheme="minorEastAsia"/>
          <w:sz w:val="20"/>
          <w:szCs w:val="20"/>
          <w:lang w:val="en-US" w:eastAsia="zh-CN"/>
        </w:rPr>
        <w:t>关于农业发展、粮食安全和营养的</w:t>
      </w:r>
      <w:r>
        <w:rPr>
          <w:rFonts w:eastAsiaTheme="minorEastAsia" w:hint="eastAsia"/>
          <w:sz w:val="20"/>
          <w:szCs w:val="20"/>
          <w:lang w:val="en-US" w:eastAsia="zh-CN"/>
        </w:rPr>
        <w:t>第</w:t>
      </w:r>
      <w:hyperlink r:id="rId1" w:history="1">
        <w:r w:rsidRPr="0033385D">
          <w:rPr>
            <w:rStyle w:val="Hyperlink"/>
            <w:rFonts w:eastAsiaTheme="minorEastAsia"/>
            <w:sz w:val="20"/>
            <w:szCs w:val="20"/>
            <w:lang w:val="en-US" w:eastAsia="zh-CN"/>
          </w:rPr>
          <w:t>A/72/238</w:t>
        </w:r>
      </w:hyperlink>
      <w:r>
        <w:rPr>
          <w:rFonts w:eastAsiaTheme="minorEastAsia" w:hint="eastAsia"/>
          <w:sz w:val="20"/>
          <w:szCs w:val="20"/>
          <w:lang w:val="en-US" w:eastAsia="zh-CN"/>
        </w:rPr>
        <w:t>号决定。</w:t>
      </w:r>
    </w:p>
  </w:footnote>
  <w:footnote w:id="9">
    <w:p w:rsidR="00495DEF" w:rsidRPr="0033385D" w:rsidRDefault="00495DEF" w:rsidP="00495DEF">
      <w:pPr>
        <w:pStyle w:val="FootnoteText"/>
        <w:keepLines w:val="0"/>
        <w:tabs>
          <w:tab w:val="left" w:pos="360"/>
        </w:tabs>
        <w:kinsoku w:val="0"/>
        <w:overflowPunct w:val="0"/>
        <w:autoSpaceDE w:val="0"/>
        <w:autoSpaceDN w:val="0"/>
        <w:ind w:firstLine="0"/>
        <w:jc w:val="left"/>
        <w:rPr>
          <w:rFonts w:eastAsiaTheme="minorEastAsia"/>
          <w:snapToGrid w:val="0"/>
          <w:kern w:val="18"/>
          <w:szCs w:val="18"/>
          <w:lang w:eastAsia="zh-CN"/>
        </w:rPr>
      </w:pPr>
      <w:r w:rsidRPr="00EC5351">
        <w:rPr>
          <w:rStyle w:val="FootnoteReference"/>
          <w:rFonts w:eastAsiaTheme="minorEastAsia"/>
          <w:sz w:val="24"/>
          <w:u w:val="none"/>
          <w:vertAlign w:val="superscript"/>
        </w:rPr>
        <w:footnoteRef/>
      </w:r>
      <w:r w:rsidRPr="007E192A">
        <w:rPr>
          <w:rStyle w:val="FootnoteReference"/>
          <w:rFonts w:eastAsiaTheme="majorEastAsia" w:hint="eastAsia"/>
          <w:sz w:val="24"/>
          <w:u w:val="none"/>
          <w:lang w:eastAsia="zh-CN"/>
        </w:rPr>
        <w:t xml:space="preserve"> </w:t>
      </w:r>
      <w:r>
        <w:rPr>
          <w:rFonts w:eastAsiaTheme="minorEastAsia" w:hint="eastAsia"/>
          <w:snapToGrid w:val="0"/>
          <w:kern w:val="18"/>
          <w:sz w:val="20"/>
          <w:szCs w:val="20"/>
          <w:lang w:eastAsia="zh-CN"/>
        </w:rPr>
        <w:tab/>
      </w:r>
      <w:r w:rsidRPr="0033385D">
        <w:rPr>
          <w:rFonts w:eastAsiaTheme="minorEastAsia"/>
          <w:snapToGrid w:val="0"/>
          <w:kern w:val="18"/>
          <w:sz w:val="20"/>
          <w:szCs w:val="20"/>
          <w:lang w:eastAsia="zh-CN"/>
        </w:rPr>
        <w:t>例如，为倡议举行的一次常会（可能与</w:t>
      </w:r>
      <w:r w:rsidRPr="0033385D">
        <w:rPr>
          <w:rFonts w:eastAsiaTheme="minorEastAsia"/>
          <w:color w:val="000000"/>
          <w:sz w:val="20"/>
          <w:szCs w:val="20"/>
          <w:lang w:eastAsia="zh-CN"/>
        </w:rPr>
        <w:t>国际养蜂业协会联合会</w:t>
      </w:r>
      <w:r w:rsidRPr="0033385D">
        <w:rPr>
          <w:rFonts w:eastAsiaTheme="minorEastAsia"/>
          <w:snapToGrid w:val="0"/>
          <w:kern w:val="18"/>
          <w:sz w:val="20"/>
          <w:szCs w:val="20"/>
          <w:lang w:eastAsia="zh-CN"/>
        </w:rPr>
        <w:t>挂钩）</w:t>
      </w:r>
      <w:r w:rsidRPr="0033385D">
        <w:rPr>
          <w:rFonts w:eastAsiaTheme="minorEastAsia"/>
          <w:snapToGrid w:val="0"/>
          <w:kern w:val="18"/>
          <w:sz w:val="20"/>
          <w:szCs w:val="20"/>
          <w:lang w:eastAsia="zh-CN"/>
        </w:rPr>
        <w:t xml:space="preserve"> (</w:t>
      </w:r>
      <w:hyperlink r:id="rId2" w:history="1">
        <w:r w:rsidRPr="0033385D">
          <w:rPr>
            <w:rStyle w:val="Hyperlink"/>
            <w:rFonts w:eastAsiaTheme="minorEastAsia"/>
            <w:snapToGrid w:val="0"/>
            <w:kern w:val="18"/>
            <w:sz w:val="20"/>
            <w:szCs w:val="20"/>
            <w:lang w:eastAsia="zh-CN"/>
          </w:rPr>
          <w:t>http://www.apimondia.com/</w:t>
        </w:r>
      </w:hyperlink>
      <w:r w:rsidRPr="0033385D">
        <w:rPr>
          <w:rStyle w:val="Hyperlink"/>
          <w:rFonts w:eastAsiaTheme="minorEastAsia"/>
          <w:snapToGrid w:val="0"/>
          <w:kern w:val="18"/>
          <w:sz w:val="20"/>
          <w:szCs w:val="20"/>
          <w:lang w:eastAsia="zh-CN"/>
        </w:rPr>
        <w:t>)</w:t>
      </w:r>
      <w:r w:rsidRPr="0033385D">
        <w:rPr>
          <w:rFonts w:eastAsiaTheme="minorEastAsia"/>
          <w:snapToGrid w:val="0"/>
          <w:sz w:val="20"/>
          <w:szCs w:val="20"/>
          <w:lang w:eastAsia="zh-CN"/>
        </w:rPr>
        <w:t>。</w:t>
      </w:r>
    </w:p>
  </w:footnote>
  <w:footnote w:id="10">
    <w:p w:rsidR="00495DEF" w:rsidRPr="00EE568D" w:rsidRDefault="00495DEF" w:rsidP="00495DEF">
      <w:pPr>
        <w:pStyle w:val="Para1"/>
        <w:numPr>
          <w:ilvl w:val="0"/>
          <w:numId w:val="0"/>
        </w:numPr>
        <w:tabs>
          <w:tab w:val="left" w:pos="360"/>
        </w:tabs>
      </w:pPr>
      <w:r w:rsidRPr="009040DD">
        <w:rPr>
          <w:rFonts w:eastAsiaTheme="minorEastAsia"/>
          <w:sz w:val="24"/>
          <w:szCs w:val="20"/>
          <w:vertAlign w:val="superscript"/>
        </w:rPr>
        <w:footnoteRef/>
      </w:r>
      <w:r w:rsidRPr="009040DD">
        <w:rPr>
          <w:rFonts w:eastAsiaTheme="minorEastAsia"/>
          <w:sz w:val="24"/>
          <w:szCs w:val="20"/>
          <w:vertAlign w:val="superscript"/>
        </w:rPr>
        <w:t xml:space="preserve"> </w:t>
      </w:r>
      <w:r>
        <w:rPr>
          <w:rFonts w:eastAsiaTheme="minorEastAsia" w:hint="eastAsia"/>
          <w:sz w:val="20"/>
          <w:szCs w:val="20"/>
        </w:rPr>
        <w:tab/>
        <w:t xml:space="preserve"> </w:t>
      </w:r>
      <w:r>
        <w:rPr>
          <w:rFonts w:eastAsiaTheme="minorEastAsia" w:hint="eastAsia"/>
          <w:sz w:val="20"/>
          <w:szCs w:val="20"/>
        </w:rPr>
        <w:t>“</w:t>
      </w:r>
      <w:r w:rsidRPr="005C521E">
        <w:rPr>
          <w:rFonts w:ascii="KaiTi" w:eastAsia="KaiTi" w:hAnsi="KaiTi" w:hint="eastAsia"/>
          <w:sz w:val="20"/>
          <w:szCs w:val="20"/>
        </w:rPr>
        <w:t>授粉媒介和授粉除了其对于农业和粮食生产的作用之外对于所有生态系统生物多样性的保护和可持续利用的相关性</w:t>
      </w:r>
      <w:r>
        <w:rPr>
          <w:rFonts w:eastAsiaTheme="minorEastAsia" w:hint="eastAsia"/>
          <w:sz w:val="20"/>
          <w:szCs w:val="20"/>
        </w:rPr>
        <w:t>”（</w:t>
      </w:r>
      <w:r>
        <w:rPr>
          <w:spacing w:val="-2"/>
          <w:kern w:val="22"/>
          <w:szCs w:val="22"/>
          <w:lang w:eastAsia="de-DE"/>
        </w:rPr>
        <w:t>CBD/COP/14/INF/8</w:t>
      </w:r>
      <w:r>
        <w:rPr>
          <w:rFonts w:eastAsiaTheme="minorEastAsia" w:hint="eastAsia"/>
          <w:sz w:val="20"/>
          <w:szCs w:val="20"/>
        </w:rPr>
        <w:t>）。</w:t>
      </w:r>
    </w:p>
  </w:footnote>
  <w:footnote w:id="11">
    <w:p w:rsidR="00495DEF" w:rsidRPr="0033385D" w:rsidRDefault="00495DEF" w:rsidP="00495DEF">
      <w:pPr>
        <w:pStyle w:val="Para1"/>
        <w:numPr>
          <w:ilvl w:val="0"/>
          <w:numId w:val="0"/>
        </w:numPr>
        <w:tabs>
          <w:tab w:val="left" w:pos="360"/>
        </w:tabs>
        <w:rPr>
          <w:rFonts w:eastAsiaTheme="minorEastAsia"/>
          <w:lang w:eastAsia="de-DE"/>
        </w:rPr>
      </w:pPr>
      <w:r w:rsidRPr="00EC5351">
        <w:rPr>
          <w:rStyle w:val="FootnoteReference"/>
          <w:rFonts w:eastAsiaTheme="minorEastAsia"/>
          <w:snapToGrid/>
          <w:sz w:val="24"/>
          <w:szCs w:val="24"/>
          <w:u w:val="none"/>
          <w:vertAlign w:val="superscript"/>
          <w:lang w:eastAsia="x-none"/>
        </w:rPr>
        <w:footnoteRef/>
      </w:r>
      <w:r w:rsidRPr="00EC5351">
        <w:rPr>
          <w:rStyle w:val="FootnoteReference"/>
          <w:snapToGrid/>
          <w:sz w:val="24"/>
          <w:szCs w:val="24"/>
          <w:u w:val="none"/>
          <w:vertAlign w:val="superscript"/>
          <w:lang w:eastAsia="x-none"/>
        </w:rPr>
        <w:t xml:space="preserve"> </w:t>
      </w:r>
      <w:r>
        <w:rPr>
          <w:rFonts w:eastAsiaTheme="minorEastAsia" w:hint="eastAsia"/>
          <w:sz w:val="20"/>
          <w:szCs w:val="20"/>
        </w:rPr>
        <w:tab/>
      </w:r>
      <w:r w:rsidRPr="0033385D">
        <w:rPr>
          <w:rFonts w:eastAsiaTheme="minorEastAsia"/>
          <w:sz w:val="20"/>
          <w:szCs w:val="20"/>
        </w:rPr>
        <w:t>报告的主要作者是</w:t>
      </w:r>
      <w:r w:rsidRPr="0033385D">
        <w:rPr>
          <w:rFonts w:eastAsiaTheme="minorEastAsia"/>
          <w:sz w:val="20"/>
          <w:szCs w:val="20"/>
        </w:rPr>
        <w:t xml:space="preserve">Marcelo </w:t>
      </w:r>
      <w:proofErr w:type="spellStart"/>
      <w:r w:rsidRPr="0033385D">
        <w:rPr>
          <w:rFonts w:eastAsiaTheme="minorEastAsia"/>
          <w:sz w:val="20"/>
          <w:szCs w:val="20"/>
        </w:rPr>
        <w:t>Aizen</w:t>
      </w:r>
      <w:proofErr w:type="spellEnd"/>
      <w:r w:rsidRPr="0033385D">
        <w:rPr>
          <w:rFonts w:eastAsiaTheme="minorEastAsia"/>
          <w:sz w:val="20"/>
          <w:szCs w:val="20"/>
        </w:rPr>
        <w:t>、</w:t>
      </w:r>
      <w:proofErr w:type="spellStart"/>
      <w:r w:rsidRPr="0033385D">
        <w:rPr>
          <w:rFonts w:eastAsiaTheme="minorEastAsia"/>
          <w:sz w:val="20"/>
          <w:szCs w:val="20"/>
        </w:rPr>
        <w:t>PathibaBasu</w:t>
      </w:r>
      <w:proofErr w:type="spellEnd"/>
      <w:r w:rsidRPr="0033385D">
        <w:rPr>
          <w:rFonts w:eastAsiaTheme="minorEastAsia"/>
          <w:sz w:val="20"/>
          <w:szCs w:val="20"/>
        </w:rPr>
        <w:t>、</w:t>
      </w:r>
      <w:proofErr w:type="spellStart"/>
      <w:r w:rsidRPr="0033385D">
        <w:rPr>
          <w:rFonts w:eastAsiaTheme="minorEastAsia"/>
          <w:sz w:val="20"/>
          <w:szCs w:val="20"/>
        </w:rPr>
        <w:t>DamayantiBuchori</w:t>
      </w:r>
      <w:proofErr w:type="spellEnd"/>
      <w:r w:rsidRPr="0033385D">
        <w:rPr>
          <w:rFonts w:eastAsiaTheme="minorEastAsia"/>
          <w:sz w:val="20"/>
          <w:szCs w:val="20"/>
        </w:rPr>
        <w:t>、</w:t>
      </w:r>
      <w:r w:rsidRPr="0033385D">
        <w:rPr>
          <w:rFonts w:eastAsiaTheme="minorEastAsia"/>
          <w:sz w:val="20"/>
          <w:szCs w:val="20"/>
        </w:rPr>
        <w:t>Lynn Dicks</w:t>
      </w:r>
      <w:r w:rsidRPr="0033385D">
        <w:rPr>
          <w:rFonts w:eastAsiaTheme="minorEastAsia"/>
          <w:sz w:val="20"/>
          <w:szCs w:val="20"/>
        </w:rPr>
        <w:t>、</w:t>
      </w:r>
      <w:r w:rsidRPr="0033385D">
        <w:rPr>
          <w:rFonts w:eastAsiaTheme="minorEastAsia"/>
          <w:sz w:val="20"/>
          <w:szCs w:val="20"/>
        </w:rPr>
        <w:t>Vera Lucia Imperatriz Fonseca</w:t>
      </w:r>
      <w:r w:rsidRPr="0033385D">
        <w:rPr>
          <w:rFonts w:eastAsiaTheme="minorEastAsia"/>
          <w:sz w:val="20"/>
          <w:szCs w:val="20"/>
        </w:rPr>
        <w:t>、</w:t>
      </w:r>
      <w:r w:rsidRPr="0033385D">
        <w:rPr>
          <w:rFonts w:eastAsiaTheme="minorEastAsia"/>
          <w:sz w:val="20"/>
          <w:szCs w:val="20"/>
        </w:rPr>
        <w:t xml:space="preserve">Leonardo </w:t>
      </w:r>
      <w:proofErr w:type="spellStart"/>
      <w:r w:rsidRPr="0033385D">
        <w:rPr>
          <w:rFonts w:eastAsiaTheme="minorEastAsia"/>
          <w:sz w:val="20"/>
          <w:szCs w:val="20"/>
        </w:rPr>
        <w:t>Galetto</w:t>
      </w:r>
      <w:proofErr w:type="spellEnd"/>
      <w:r w:rsidRPr="0033385D">
        <w:rPr>
          <w:rFonts w:eastAsiaTheme="minorEastAsia"/>
          <w:sz w:val="20"/>
          <w:szCs w:val="20"/>
        </w:rPr>
        <w:t>、</w:t>
      </w:r>
      <w:r w:rsidRPr="0033385D">
        <w:rPr>
          <w:rFonts w:eastAsiaTheme="minorEastAsia"/>
          <w:sz w:val="20"/>
          <w:szCs w:val="20"/>
        </w:rPr>
        <w:t>Lucas Garibaldi</w:t>
      </w:r>
      <w:r w:rsidRPr="0033385D">
        <w:rPr>
          <w:rFonts w:eastAsiaTheme="minorEastAsia"/>
          <w:sz w:val="20"/>
          <w:szCs w:val="20"/>
        </w:rPr>
        <w:t>、</w:t>
      </w:r>
      <w:r w:rsidRPr="0033385D">
        <w:rPr>
          <w:rFonts w:eastAsiaTheme="minorEastAsia"/>
          <w:sz w:val="20"/>
          <w:szCs w:val="20"/>
        </w:rPr>
        <w:t xml:space="preserve">Brad </w:t>
      </w:r>
      <w:proofErr w:type="spellStart"/>
      <w:r w:rsidRPr="0033385D">
        <w:rPr>
          <w:rFonts w:eastAsiaTheme="minorEastAsia"/>
          <w:sz w:val="20"/>
          <w:szCs w:val="20"/>
        </w:rPr>
        <w:t>Howlett</w:t>
      </w:r>
      <w:proofErr w:type="spellEnd"/>
      <w:r w:rsidRPr="0033385D">
        <w:rPr>
          <w:rFonts w:eastAsiaTheme="minorEastAsia"/>
          <w:sz w:val="20"/>
          <w:szCs w:val="20"/>
        </w:rPr>
        <w:t>、</w:t>
      </w:r>
      <w:r w:rsidRPr="0033385D">
        <w:rPr>
          <w:rFonts w:eastAsiaTheme="minorEastAsia"/>
          <w:sz w:val="20"/>
          <w:szCs w:val="20"/>
        </w:rPr>
        <w:t>Stephen Johnson</w:t>
      </w:r>
      <w:r w:rsidRPr="0033385D">
        <w:rPr>
          <w:rFonts w:eastAsiaTheme="minorEastAsia"/>
          <w:sz w:val="20"/>
          <w:szCs w:val="20"/>
        </w:rPr>
        <w:t>、</w:t>
      </w:r>
      <w:r w:rsidRPr="0033385D">
        <w:rPr>
          <w:rFonts w:eastAsiaTheme="minorEastAsia"/>
          <w:sz w:val="20"/>
          <w:szCs w:val="20"/>
        </w:rPr>
        <w:t>Monica Kobayashi</w:t>
      </w:r>
      <w:r w:rsidRPr="0033385D">
        <w:rPr>
          <w:rFonts w:eastAsiaTheme="minorEastAsia"/>
          <w:sz w:val="20"/>
          <w:szCs w:val="20"/>
        </w:rPr>
        <w:t>、</w:t>
      </w:r>
      <w:r w:rsidRPr="0033385D">
        <w:rPr>
          <w:rFonts w:eastAsiaTheme="minorEastAsia"/>
          <w:sz w:val="20"/>
          <w:szCs w:val="20"/>
        </w:rPr>
        <w:t xml:space="preserve">Michael </w:t>
      </w:r>
      <w:proofErr w:type="spellStart"/>
      <w:r w:rsidRPr="0033385D">
        <w:rPr>
          <w:rFonts w:eastAsiaTheme="minorEastAsia"/>
          <w:sz w:val="20"/>
          <w:szCs w:val="20"/>
        </w:rPr>
        <w:t>Lattorff</w:t>
      </w:r>
      <w:proofErr w:type="spellEnd"/>
      <w:r w:rsidRPr="0033385D">
        <w:rPr>
          <w:rFonts w:eastAsiaTheme="minorEastAsia"/>
          <w:sz w:val="20"/>
          <w:szCs w:val="20"/>
        </w:rPr>
        <w:t>、</w:t>
      </w:r>
      <w:r w:rsidRPr="0033385D">
        <w:rPr>
          <w:rFonts w:eastAsiaTheme="minorEastAsia"/>
          <w:sz w:val="20"/>
          <w:szCs w:val="20"/>
        </w:rPr>
        <w:t xml:space="preserve">Phil </w:t>
      </w:r>
      <w:proofErr w:type="spellStart"/>
      <w:r w:rsidRPr="0033385D">
        <w:rPr>
          <w:rFonts w:eastAsiaTheme="minorEastAsia"/>
          <w:sz w:val="20"/>
          <w:szCs w:val="20"/>
        </w:rPr>
        <w:t>Lyver</w:t>
      </w:r>
      <w:proofErr w:type="spellEnd"/>
      <w:r w:rsidRPr="0033385D">
        <w:rPr>
          <w:rFonts w:eastAsiaTheme="minorEastAsia"/>
          <w:sz w:val="20"/>
          <w:szCs w:val="20"/>
        </w:rPr>
        <w:t>、</w:t>
      </w:r>
      <w:r w:rsidRPr="0033385D">
        <w:rPr>
          <w:rFonts w:eastAsiaTheme="minorEastAsia"/>
          <w:sz w:val="20"/>
          <w:szCs w:val="20"/>
        </w:rPr>
        <w:t>Hien Ngo</w:t>
      </w:r>
      <w:r w:rsidRPr="0033385D">
        <w:rPr>
          <w:rFonts w:eastAsiaTheme="minorEastAsia"/>
          <w:sz w:val="20"/>
          <w:szCs w:val="20"/>
        </w:rPr>
        <w:t>、</w:t>
      </w:r>
      <w:r w:rsidRPr="0033385D">
        <w:rPr>
          <w:rFonts w:eastAsiaTheme="minorEastAsia"/>
          <w:sz w:val="20"/>
          <w:szCs w:val="20"/>
        </w:rPr>
        <w:t xml:space="preserve">Simon Potts </w:t>
      </w:r>
      <w:r w:rsidRPr="0033385D">
        <w:rPr>
          <w:rFonts w:eastAsiaTheme="minorEastAsia"/>
          <w:sz w:val="20"/>
          <w:szCs w:val="20"/>
        </w:rPr>
        <w:t>、</w:t>
      </w:r>
      <w:r w:rsidRPr="0033385D">
        <w:rPr>
          <w:rFonts w:eastAsiaTheme="minorEastAsia"/>
          <w:sz w:val="20"/>
          <w:szCs w:val="20"/>
        </w:rPr>
        <w:t xml:space="preserve">Deepa </w:t>
      </w:r>
      <w:proofErr w:type="spellStart"/>
      <w:r w:rsidRPr="0033385D">
        <w:rPr>
          <w:rFonts w:eastAsiaTheme="minorEastAsia"/>
          <w:sz w:val="20"/>
          <w:szCs w:val="20"/>
        </w:rPr>
        <w:t>Senapathi</w:t>
      </w:r>
      <w:proofErr w:type="spellEnd"/>
      <w:r w:rsidRPr="0033385D">
        <w:rPr>
          <w:rFonts w:eastAsiaTheme="minorEastAsia"/>
          <w:sz w:val="20"/>
          <w:szCs w:val="20"/>
        </w:rPr>
        <w:t>、</w:t>
      </w:r>
      <w:r w:rsidRPr="0033385D">
        <w:rPr>
          <w:rFonts w:eastAsiaTheme="minorEastAsia"/>
          <w:sz w:val="20"/>
          <w:szCs w:val="20"/>
        </w:rPr>
        <w:t>Colleen Seymour</w:t>
      </w:r>
      <w:r w:rsidRPr="0033385D">
        <w:rPr>
          <w:rFonts w:eastAsiaTheme="minorEastAsia"/>
          <w:sz w:val="20"/>
          <w:szCs w:val="20"/>
        </w:rPr>
        <w:t>和</w:t>
      </w:r>
      <w:r w:rsidRPr="0033385D">
        <w:rPr>
          <w:rFonts w:eastAsiaTheme="minorEastAsia"/>
          <w:sz w:val="20"/>
          <w:szCs w:val="20"/>
        </w:rPr>
        <w:t xml:space="preserve">Adam </w:t>
      </w:r>
      <w:proofErr w:type="spellStart"/>
      <w:r w:rsidRPr="0033385D">
        <w:rPr>
          <w:rFonts w:eastAsiaTheme="minorEastAsia"/>
          <w:sz w:val="20"/>
          <w:szCs w:val="20"/>
        </w:rPr>
        <w:t>Vanbergen</w:t>
      </w:r>
      <w:proofErr w:type="spellEnd"/>
      <w:r w:rsidRPr="0033385D">
        <w:rPr>
          <w:rFonts w:eastAsiaTheme="minorEastAsia"/>
          <w:sz w:val="20"/>
          <w:szCs w:val="20"/>
        </w:rPr>
        <w:t>。报告的编辑是</w:t>
      </w:r>
      <w:r w:rsidRPr="0033385D">
        <w:rPr>
          <w:rFonts w:eastAsiaTheme="minorEastAsia"/>
          <w:sz w:val="20"/>
          <w:szCs w:val="20"/>
        </w:rPr>
        <w:t xml:space="preserve">Barbara </w:t>
      </w:r>
      <w:proofErr w:type="spellStart"/>
      <w:r w:rsidRPr="0033385D">
        <w:rPr>
          <w:rFonts w:eastAsiaTheme="minorEastAsia"/>
          <w:sz w:val="20"/>
          <w:szCs w:val="20"/>
        </w:rPr>
        <w:t>Gemmill-Herren</w:t>
      </w:r>
      <w:proofErr w:type="spellEnd"/>
      <w:r w:rsidRPr="0033385D">
        <w:rPr>
          <w:rFonts w:eastAsiaTheme="minorEastAsia"/>
          <w:sz w:val="20"/>
          <w:szCs w:val="20"/>
        </w:rPr>
        <w:t>和</w:t>
      </w:r>
      <w:r w:rsidRPr="0033385D">
        <w:rPr>
          <w:rFonts w:eastAsiaTheme="minorEastAsia"/>
          <w:sz w:val="20"/>
          <w:szCs w:val="20"/>
        </w:rPr>
        <w:t>Monica Kobayashi</w:t>
      </w:r>
      <w:r w:rsidRPr="0033385D">
        <w:rPr>
          <w:rFonts w:eastAsiaTheme="minorEastAsia"/>
          <w:sz w:val="20"/>
          <w:szCs w:val="20"/>
        </w:rPr>
        <w:t>。</w:t>
      </w:r>
      <w:r w:rsidRPr="0033385D">
        <w:rPr>
          <w:rFonts w:eastAsiaTheme="minorEastAsia"/>
          <w:sz w:val="20"/>
          <w:szCs w:val="20"/>
        </w:rPr>
        <w:t>2017</w:t>
      </w:r>
      <w:r w:rsidRPr="0033385D">
        <w:rPr>
          <w:rFonts w:eastAsiaTheme="minorEastAsia"/>
          <w:sz w:val="20"/>
          <w:szCs w:val="20"/>
        </w:rPr>
        <w:t>年</w:t>
      </w:r>
      <w:r w:rsidRPr="0033385D">
        <w:rPr>
          <w:rFonts w:eastAsiaTheme="minorEastAsia"/>
          <w:sz w:val="20"/>
          <w:szCs w:val="20"/>
        </w:rPr>
        <w:t>11</w:t>
      </w:r>
      <w:r w:rsidRPr="0033385D">
        <w:rPr>
          <w:rFonts w:eastAsiaTheme="minorEastAsia"/>
          <w:sz w:val="20"/>
          <w:szCs w:val="20"/>
        </w:rPr>
        <w:t>月</w:t>
      </w:r>
      <w:r w:rsidRPr="0033385D">
        <w:rPr>
          <w:rFonts w:eastAsiaTheme="minorEastAsia"/>
          <w:sz w:val="20"/>
          <w:szCs w:val="20"/>
        </w:rPr>
        <w:t>27</w:t>
      </w:r>
      <w:r w:rsidRPr="0033385D">
        <w:rPr>
          <w:rFonts w:eastAsiaTheme="minorEastAsia"/>
          <w:sz w:val="20"/>
          <w:szCs w:val="20"/>
        </w:rPr>
        <w:t>日至</w:t>
      </w:r>
      <w:r w:rsidRPr="0033385D">
        <w:rPr>
          <w:rFonts w:eastAsiaTheme="minorEastAsia"/>
          <w:sz w:val="20"/>
          <w:szCs w:val="20"/>
        </w:rPr>
        <w:t>29</w:t>
      </w:r>
      <w:r w:rsidRPr="0033385D">
        <w:rPr>
          <w:rFonts w:eastAsiaTheme="minorEastAsia"/>
          <w:sz w:val="20"/>
          <w:szCs w:val="20"/>
        </w:rPr>
        <w:t>日与政府间科学政策平台、雷丁大学和生物多样性公约合作召开的研讨会，召集了各区域授粉媒介专家，讨论和评估授粉媒介和授粉服务在支持农业系统之外的生态系统以及支持粮食生产以外的生态系统服务方面的作用</w:t>
      </w:r>
      <w:r w:rsidRPr="0033385D">
        <w:rPr>
          <w:rFonts w:eastAsiaTheme="minorEastAsia"/>
          <w:sz w:val="18"/>
        </w:rPr>
        <w:t>。</w:t>
      </w:r>
    </w:p>
  </w:footnote>
  <w:footnote w:id="12">
    <w:p w:rsidR="00495DEF" w:rsidRPr="0033385D" w:rsidRDefault="00495DEF" w:rsidP="00495DEF">
      <w:pPr>
        <w:pStyle w:val="FootnoteText"/>
        <w:tabs>
          <w:tab w:val="left" w:pos="360"/>
        </w:tabs>
        <w:ind w:firstLine="0"/>
        <w:rPr>
          <w:rFonts w:eastAsiaTheme="minorEastAsia"/>
          <w:sz w:val="20"/>
          <w:szCs w:val="20"/>
          <w:lang w:eastAsia="zh-CN"/>
        </w:rPr>
      </w:pPr>
      <w:r w:rsidRPr="00EC5351">
        <w:rPr>
          <w:rStyle w:val="FootnoteReference"/>
          <w:rFonts w:eastAsiaTheme="minorEastAsia"/>
          <w:sz w:val="24"/>
          <w:u w:val="none"/>
          <w:vertAlign w:val="superscript"/>
        </w:rPr>
        <w:footnoteRef/>
      </w:r>
      <w:r w:rsidRPr="00EC5351">
        <w:rPr>
          <w:rStyle w:val="FootnoteReference"/>
          <w:sz w:val="24"/>
          <w:u w:val="none"/>
          <w:vertAlign w:val="superscript"/>
        </w:rPr>
        <w:t xml:space="preserve"> </w:t>
      </w:r>
      <w:r>
        <w:rPr>
          <w:rFonts w:eastAsiaTheme="minorEastAsia" w:hint="eastAsia"/>
          <w:lang w:eastAsia="zh-CN"/>
        </w:rPr>
        <w:tab/>
      </w:r>
      <w:r w:rsidRPr="0033385D">
        <w:rPr>
          <w:rFonts w:eastAsiaTheme="minorEastAsia"/>
          <w:sz w:val="20"/>
          <w:szCs w:val="20"/>
          <w:lang w:eastAsia="zh-CN"/>
        </w:rPr>
        <w:t>官方数据</w:t>
      </w:r>
      <w:r w:rsidRPr="0033385D">
        <w:rPr>
          <w:rFonts w:eastAsiaTheme="minorEastAsia"/>
          <w:sz w:val="20"/>
          <w:szCs w:val="20"/>
          <w:lang w:val="en-US" w:eastAsia="zh-CN"/>
        </w:rPr>
        <w:t>：</w:t>
      </w:r>
      <w:hyperlink r:id="rId3" w:history="1">
        <w:r w:rsidRPr="0033385D">
          <w:rPr>
            <w:rStyle w:val="Hyperlink"/>
            <w:rFonts w:eastAsiaTheme="minorEastAsia"/>
            <w:snapToGrid w:val="0"/>
            <w:kern w:val="18"/>
            <w:sz w:val="20"/>
            <w:szCs w:val="20"/>
            <w:lang w:val="en-US"/>
          </w:rPr>
          <w:t>http://www.mma.gov.br/biomas/mata-atl%C3%A2ntica_emdesenvolvimento</w:t>
        </w:r>
      </w:hyperlink>
      <w:r w:rsidRPr="0033385D">
        <w:rPr>
          <w:rFonts w:eastAsiaTheme="minorEastAsia"/>
          <w:sz w:val="20"/>
          <w:szCs w:val="20"/>
          <w:lang w:val="en-US" w:eastAsia="zh-CN"/>
        </w:rPr>
        <w:t>。</w:t>
      </w:r>
    </w:p>
  </w:footnote>
  <w:footnote w:id="13">
    <w:p w:rsidR="00495DEF" w:rsidRPr="00C101A9" w:rsidRDefault="00495DEF" w:rsidP="00495DEF">
      <w:pPr>
        <w:pStyle w:val="FootnoteText"/>
        <w:tabs>
          <w:tab w:val="left" w:pos="360"/>
        </w:tabs>
        <w:ind w:firstLine="0"/>
        <w:rPr>
          <w:lang w:val="en-US" w:eastAsia="zh-CN"/>
        </w:rPr>
      </w:pPr>
      <w:r w:rsidRPr="00EC5351">
        <w:rPr>
          <w:rStyle w:val="FootnoteReference"/>
          <w:rFonts w:eastAsiaTheme="minorEastAsia"/>
          <w:sz w:val="24"/>
          <w:u w:val="none"/>
          <w:vertAlign w:val="superscript"/>
        </w:rPr>
        <w:footnoteRef/>
      </w:r>
      <w:r w:rsidRPr="00EC5351">
        <w:rPr>
          <w:rStyle w:val="FootnoteReference"/>
          <w:rFonts w:eastAsiaTheme="majorEastAsia" w:hint="eastAsia"/>
          <w:sz w:val="24"/>
          <w:u w:val="none"/>
          <w:vertAlign w:val="superscript"/>
          <w:lang w:eastAsia="zh-CN"/>
        </w:rPr>
        <w:t xml:space="preserve"> </w:t>
      </w:r>
      <w:r>
        <w:rPr>
          <w:rFonts w:eastAsiaTheme="minorEastAsia" w:hint="eastAsia"/>
          <w:sz w:val="20"/>
          <w:szCs w:val="20"/>
          <w:lang w:val="en-US" w:eastAsia="zh-CN"/>
        </w:rPr>
        <w:tab/>
      </w:r>
      <w:r w:rsidRPr="0033385D">
        <w:rPr>
          <w:rFonts w:eastAsiaTheme="minorEastAsia"/>
          <w:sz w:val="20"/>
          <w:szCs w:val="20"/>
          <w:lang w:val="en-US" w:eastAsia="zh-CN"/>
        </w:rPr>
        <w:t>这些作物包括马铃薯、番茄、</w:t>
      </w:r>
      <w:r w:rsidR="00373C1D">
        <w:rPr>
          <w:rFonts w:eastAsiaTheme="minorEastAsia" w:hint="eastAsia"/>
          <w:snapToGrid w:val="0"/>
          <w:color w:val="000000" w:themeColor="text1"/>
          <w:kern w:val="18"/>
          <w:sz w:val="20"/>
          <w:szCs w:val="18"/>
          <w:lang w:eastAsia="zh-CN"/>
        </w:rPr>
        <w:t>西葫芦</w:t>
      </w:r>
      <w:r w:rsidR="00373C1D">
        <w:rPr>
          <w:rFonts w:eastAsiaTheme="minorEastAsia"/>
          <w:snapToGrid w:val="0"/>
          <w:color w:val="000000" w:themeColor="text1"/>
          <w:kern w:val="18"/>
          <w:sz w:val="20"/>
          <w:szCs w:val="18"/>
          <w:lang w:eastAsia="zh-CN"/>
        </w:rPr>
        <w:t>、</w:t>
      </w:r>
      <w:r w:rsidR="00373C1D">
        <w:rPr>
          <w:rFonts w:eastAsiaTheme="minorEastAsia" w:hint="eastAsia"/>
          <w:snapToGrid w:val="0"/>
          <w:color w:val="000000" w:themeColor="text1"/>
          <w:kern w:val="18"/>
          <w:sz w:val="20"/>
          <w:szCs w:val="18"/>
          <w:lang w:eastAsia="zh-CN"/>
        </w:rPr>
        <w:t>南瓜</w:t>
      </w:r>
      <w:r w:rsidR="00373C1D">
        <w:rPr>
          <w:rFonts w:eastAsiaTheme="minorEastAsia"/>
          <w:snapToGrid w:val="0"/>
          <w:color w:val="000000" w:themeColor="text1"/>
          <w:kern w:val="18"/>
          <w:sz w:val="20"/>
          <w:szCs w:val="18"/>
          <w:lang w:eastAsia="zh-CN"/>
        </w:rPr>
        <w:t>、豆类、</w:t>
      </w:r>
      <w:r w:rsidRPr="0033385D">
        <w:rPr>
          <w:rFonts w:eastAsiaTheme="minorEastAsia"/>
          <w:sz w:val="20"/>
          <w:szCs w:val="20"/>
          <w:lang w:val="en-US" w:eastAsia="zh-CN"/>
        </w:rPr>
        <w:t>胡椒、可可、草莓、藜麦、</w:t>
      </w:r>
      <w:proofErr w:type="spellStart"/>
      <w:r w:rsidRPr="0033385D">
        <w:rPr>
          <w:rFonts w:eastAsiaTheme="minorEastAsia"/>
          <w:sz w:val="20"/>
          <w:szCs w:val="20"/>
          <w:lang w:val="en-US" w:eastAsia="zh-CN"/>
        </w:rPr>
        <w:t>amaranto</w:t>
      </w:r>
      <w:proofErr w:type="spellEnd"/>
      <w:r w:rsidRPr="0033385D">
        <w:rPr>
          <w:rFonts w:eastAsiaTheme="minorEastAsia"/>
          <w:sz w:val="20"/>
          <w:szCs w:val="20"/>
          <w:lang w:val="en-US" w:eastAsia="zh-CN"/>
        </w:rPr>
        <w:t>、鳄梨、红薯、</w:t>
      </w:r>
      <w:r w:rsidRPr="0033385D">
        <w:rPr>
          <w:rStyle w:val="st"/>
          <w:rFonts w:eastAsiaTheme="minorEastAsia"/>
          <w:sz w:val="20"/>
          <w:szCs w:val="20"/>
          <w:lang w:eastAsia="zh-CN"/>
        </w:rPr>
        <w:t>巴西莓</w:t>
      </w:r>
      <w:r w:rsidRPr="0033385D">
        <w:rPr>
          <w:rFonts w:eastAsiaTheme="minorEastAsia"/>
          <w:sz w:val="20"/>
          <w:szCs w:val="20"/>
          <w:lang w:val="en-US" w:eastAsia="zh-CN"/>
        </w:rPr>
        <w:t>、</w:t>
      </w:r>
      <w:r w:rsidRPr="0033385D">
        <w:rPr>
          <w:rStyle w:val="st"/>
          <w:rFonts w:eastAsiaTheme="minorEastAsia"/>
          <w:sz w:val="20"/>
          <w:szCs w:val="20"/>
          <w:lang w:eastAsia="zh-CN"/>
        </w:rPr>
        <w:t>棕榈芯</w:t>
      </w:r>
      <w:r w:rsidRPr="0033385D">
        <w:rPr>
          <w:rFonts w:eastAsiaTheme="minorEastAsia"/>
          <w:sz w:val="20"/>
          <w:szCs w:val="20"/>
          <w:lang w:val="en-US" w:eastAsia="zh-CN"/>
        </w:rPr>
        <w:t>、巴西坚果，瓜拉那、百香果和丝兰。</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60A89" w:rsidRPr="001228CF" w:rsidRDefault="00660A89" w:rsidP="00660A89">
    <w:pPr>
      <w:pStyle w:val="Header"/>
      <w:rPr>
        <w:sz w:val="24"/>
        <w:szCs w:val="22"/>
        <w:lang w:val="en-US"/>
      </w:rPr>
    </w:pPr>
    <w:r w:rsidRPr="001228CF">
      <w:rPr>
        <w:sz w:val="24"/>
        <w:szCs w:val="22"/>
      </w:rPr>
      <w:t>UNEP/CBD/</w:t>
    </w:r>
    <w:r w:rsidR="00526DA7">
      <w:rPr>
        <w:sz w:val="24"/>
        <w:szCs w:val="22"/>
        <w:lang w:val="nb-NO"/>
      </w:rPr>
      <w:t>COP/1</w:t>
    </w:r>
    <w:r w:rsidR="001C6AF5">
      <w:rPr>
        <w:sz w:val="24"/>
        <w:szCs w:val="22"/>
        <w:lang w:val="nb-NO"/>
      </w:rPr>
      <w:t>4</w:t>
    </w:r>
    <w:r w:rsidRPr="001228CF">
      <w:rPr>
        <w:sz w:val="24"/>
        <w:szCs w:val="22"/>
        <w:lang w:val="nb-NO"/>
      </w:rPr>
      <w:t>/</w:t>
    </w:r>
    <w:r w:rsidR="005E0E93">
      <w:rPr>
        <w:noProof/>
        <w:kern w:val="22"/>
        <w:sz w:val="24"/>
      </w:rPr>
      <w:t>L.28</w:t>
    </w:r>
  </w:p>
  <w:p w:rsidR="00660A89" w:rsidRDefault="00660A89" w:rsidP="00660A89">
    <w:pPr>
      <w:pStyle w:val="Header"/>
      <w:rPr>
        <w:sz w:val="24"/>
        <w:szCs w:val="22"/>
      </w:rPr>
    </w:pPr>
    <w:r w:rsidRPr="00367DF4">
      <w:rPr>
        <w:sz w:val="24"/>
        <w:szCs w:val="22"/>
      </w:rPr>
      <w:t xml:space="preserve">Page </w:t>
    </w:r>
    <w:r w:rsidRPr="00367DF4">
      <w:rPr>
        <w:sz w:val="24"/>
        <w:szCs w:val="22"/>
      </w:rPr>
      <w:fldChar w:fldCharType="begin"/>
    </w:r>
    <w:r w:rsidRPr="00367DF4">
      <w:rPr>
        <w:sz w:val="24"/>
        <w:szCs w:val="22"/>
      </w:rPr>
      <w:instrText xml:space="preserve"> PAGE </w:instrText>
    </w:r>
    <w:r w:rsidRPr="00367DF4">
      <w:rPr>
        <w:sz w:val="24"/>
        <w:szCs w:val="22"/>
      </w:rPr>
      <w:fldChar w:fldCharType="separate"/>
    </w:r>
    <w:r w:rsidR="006D4125">
      <w:rPr>
        <w:noProof/>
        <w:sz w:val="24"/>
        <w:szCs w:val="22"/>
      </w:rPr>
      <w:t>14</w:t>
    </w:r>
    <w:r w:rsidRPr="00367DF4">
      <w:rPr>
        <w:sz w:val="24"/>
        <w:szCs w:val="22"/>
      </w:rPr>
      <w:fldChar w:fldCharType="end"/>
    </w:r>
  </w:p>
  <w:p w:rsidR="0017652F" w:rsidRPr="00367DF4" w:rsidRDefault="0017652F" w:rsidP="00660A89">
    <w:pPr>
      <w:pStyle w:val="Header"/>
      <w:rPr>
        <w:sz w:val="24"/>
        <w:szCs w:val="22"/>
      </w:rPr>
    </w:pPr>
  </w:p>
  <w:p w:rsidR="00660A89" w:rsidRDefault="00660A8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7652F" w:rsidRPr="001228CF" w:rsidRDefault="0017652F" w:rsidP="00526DA7">
    <w:pPr>
      <w:pStyle w:val="Header"/>
      <w:jc w:val="right"/>
      <w:rPr>
        <w:sz w:val="24"/>
        <w:szCs w:val="22"/>
        <w:lang w:val="en-US"/>
      </w:rPr>
    </w:pPr>
    <w:r w:rsidRPr="001228CF">
      <w:rPr>
        <w:sz w:val="24"/>
        <w:szCs w:val="22"/>
      </w:rPr>
      <w:t>CBD/</w:t>
    </w:r>
    <w:r w:rsidR="001C6AF5">
      <w:rPr>
        <w:sz w:val="24"/>
        <w:szCs w:val="22"/>
        <w:lang w:val="nb-NO"/>
      </w:rPr>
      <w:t>COP/14</w:t>
    </w:r>
    <w:r w:rsidRPr="001228CF">
      <w:rPr>
        <w:sz w:val="24"/>
        <w:szCs w:val="22"/>
        <w:lang w:val="nb-NO"/>
      </w:rPr>
      <w:t>/</w:t>
    </w:r>
    <w:r w:rsidR="005E0E93">
      <w:rPr>
        <w:noProof/>
        <w:kern w:val="22"/>
        <w:sz w:val="24"/>
      </w:rPr>
      <w:t>L.28</w:t>
    </w:r>
  </w:p>
  <w:p w:rsidR="0017652F" w:rsidRDefault="0017652F" w:rsidP="00526DA7">
    <w:pPr>
      <w:pStyle w:val="Header"/>
      <w:jc w:val="right"/>
      <w:rPr>
        <w:sz w:val="24"/>
        <w:szCs w:val="22"/>
      </w:rPr>
    </w:pPr>
    <w:r w:rsidRPr="00367DF4">
      <w:rPr>
        <w:sz w:val="24"/>
        <w:szCs w:val="22"/>
      </w:rPr>
      <w:t xml:space="preserve">Page </w:t>
    </w:r>
    <w:r w:rsidRPr="00367DF4">
      <w:rPr>
        <w:sz w:val="24"/>
        <w:szCs w:val="22"/>
      </w:rPr>
      <w:fldChar w:fldCharType="begin"/>
    </w:r>
    <w:r w:rsidRPr="00367DF4">
      <w:rPr>
        <w:sz w:val="24"/>
        <w:szCs w:val="22"/>
      </w:rPr>
      <w:instrText xml:space="preserve"> PAGE </w:instrText>
    </w:r>
    <w:r w:rsidRPr="00367DF4">
      <w:rPr>
        <w:sz w:val="24"/>
        <w:szCs w:val="22"/>
      </w:rPr>
      <w:fldChar w:fldCharType="separate"/>
    </w:r>
    <w:r w:rsidR="006D4125">
      <w:rPr>
        <w:noProof/>
        <w:sz w:val="24"/>
        <w:szCs w:val="22"/>
      </w:rPr>
      <w:t>15</w:t>
    </w:r>
    <w:r w:rsidRPr="00367DF4">
      <w:rPr>
        <w:sz w:val="24"/>
        <w:szCs w:val="22"/>
      </w:rPr>
      <w:fldChar w:fldCharType="end"/>
    </w:r>
  </w:p>
  <w:p w:rsidR="00660A89" w:rsidRDefault="00660A89">
    <w:pPr>
      <w:pStyle w:val="Header"/>
    </w:pPr>
  </w:p>
  <w:p w:rsidR="0017652F" w:rsidRDefault="0017652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8134DB"/>
    <w:multiLevelType w:val="multilevel"/>
    <w:tmpl w:val="D02A5E16"/>
    <w:lvl w:ilvl="0">
      <w:start w:val="1"/>
      <w:numFmt w:val="decimal"/>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380"/>
        </w:tabs>
        <w:ind w:left="-60"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 w15:restartNumberingAfterBreak="0">
    <w:nsid w:val="0AA92F02"/>
    <w:multiLevelType w:val="multilevel"/>
    <w:tmpl w:val="1204829C"/>
    <w:lvl w:ilvl="0">
      <w:start w:val="3"/>
      <w:numFmt w:val="decimal"/>
      <w:lvlText w:val="%1"/>
      <w:lvlJc w:val="left"/>
      <w:pPr>
        <w:tabs>
          <w:tab w:val="num" w:pos="360"/>
        </w:tabs>
        <w:ind w:left="360" w:hanging="360"/>
      </w:pPr>
      <w:rPr>
        <w:rFonts w:cs="Times New Roman" w:hint="default"/>
      </w:rPr>
    </w:lvl>
    <w:lvl w:ilvl="1">
      <w:start w:val="3"/>
      <w:numFmt w:val="decimal"/>
      <w:lvlText w:val="%1.%2"/>
      <w:lvlJc w:val="left"/>
      <w:pPr>
        <w:tabs>
          <w:tab w:val="num" w:pos="1080"/>
        </w:tabs>
        <w:ind w:left="1080" w:hanging="360"/>
      </w:pPr>
      <w:rPr>
        <w:rFonts w:cs="Times New Roman" w:hint="default"/>
      </w:rPr>
    </w:lvl>
    <w:lvl w:ilvl="2">
      <w:start w:val="1"/>
      <w:numFmt w:val="decimal"/>
      <w:lvlText w:val="%1.%2.%3"/>
      <w:lvlJc w:val="left"/>
      <w:pPr>
        <w:tabs>
          <w:tab w:val="num" w:pos="2160"/>
        </w:tabs>
        <w:ind w:left="2160" w:hanging="720"/>
      </w:pPr>
      <w:rPr>
        <w:rFonts w:cs="Times New Roman" w:hint="default"/>
      </w:rPr>
    </w:lvl>
    <w:lvl w:ilvl="3">
      <w:start w:val="1"/>
      <w:numFmt w:val="decimal"/>
      <w:lvlText w:val="%1.%2.%3.%4"/>
      <w:lvlJc w:val="left"/>
      <w:pPr>
        <w:tabs>
          <w:tab w:val="num" w:pos="2880"/>
        </w:tabs>
        <w:ind w:left="2880" w:hanging="72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4680"/>
        </w:tabs>
        <w:ind w:left="4680" w:hanging="1080"/>
      </w:pPr>
      <w:rPr>
        <w:rFonts w:cs="Times New Roman" w:hint="default"/>
      </w:rPr>
    </w:lvl>
    <w:lvl w:ilvl="6">
      <w:start w:val="1"/>
      <w:numFmt w:val="decimal"/>
      <w:lvlText w:val="%1.%2.%3.%4.%5.%6.%7"/>
      <w:lvlJc w:val="left"/>
      <w:pPr>
        <w:tabs>
          <w:tab w:val="num" w:pos="5760"/>
        </w:tabs>
        <w:ind w:left="5760" w:hanging="1440"/>
      </w:pPr>
      <w:rPr>
        <w:rFonts w:cs="Times New Roman" w:hint="default"/>
      </w:rPr>
    </w:lvl>
    <w:lvl w:ilvl="7">
      <w:start w:val="1"/>
      <w:numFmt w:val="decimal"/>
      <w:lvlText w:val="%1.%2.%3.%4.%5.%6.%7.%8"/>
      <w:lvlJc w:val="left"/>
      <w:pPr>
        <w:tabs>
          <w:tab w:val="num" w:pos="6480"/>
        </w:tabs>
        <w:ind w:left="6480" w:hanging="1440"/>
      </w:pPr>
      <w:rPr>
        <w:rFonts w:cs="Times New Roman" w:hint="default"/>
      </w:rPr>
    </w:lvl>
    <w:lvl w:ilvl="8">
      <w:start w:val="1"/>
      <w:numFmt w:val="decimal"/>
      <w:lvlText w:val="%1.%2.%3.%4.%5.%6.%7.%8.%9"/>
      <w:lvlJc w:val="left"/>
      <w:pPr>
        <w:tabs>
          <w:tab w:val="num" w:pos="7560"/>
        </w:tabs>
        <w:ind w:left="7560" w:hanging="1800"/>
      </w:pPr>
      <w:rPr>
        <w:rFonts w:cs="Times New Roman" w:hint="default"/>
      </w:rPr>
    </w:lvl>
  </w:abstractNum>
  <w:abstractNum w:abstractNumId="2" w15:restartNumberingAfterBreak="0">
    <w:nsid w:val="1859376B"/>
    <w:multiLevelType w:val="singleLevel"/>
    <w:tmpl w:val="35D0F268"/>
    <w:lvl w:ilvl="0">
      <w:start w:val="1"/>
      <w:numFmt w:val="decimal"/>
      <w:lvlText w:val="%1."/>
      <w:lvlJc w:val="left"/>
      <w:pPr>
        <w:tabs>
          <w:tab w:val="num" w:pos="4860"/>
        </w:tabs>
        <w:ind w:left="4500" w:firstLine="0"/>
      </w:pPr>
    </w:lvl>
  </w:abstractNum>
  <w:abstractNum w:abstractNumId="3" w15:restartNumberingAfterBreak="0">
    <w:nsid w:val="20C31751"/>
    <w:multiLevelType w:val="hybridMultilevel"/>
    <w:tmpl w:val="58E6DD3E"/>
    <w:lvl w:ilvl="0" w:tplc="44C6F6C0">
      <w:start w:val="1"/>
      <w:numFmt w:val="lowerLetter"/>
      <w:lvlText w:val="(%1)"/>
      <w:lvlJc w:val="left"/>
      <w:pPr>
        <w:ind w:left="720" w:hanging="360"/>
      </w:pPr>
      <w:rPr>
        <w:rFonts w:ascii="Times New Roman" w:hAnsi="Times New Roman" w:cs="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11854C8"/>
    <w:multiLevelType w:val="hybridMultilevel"/>
    <w:tmpl w:val="79E0083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2F0336B8"/>
    <w:multiLevelType w:val="multilevel"/>
    <w:tmpl w:val="A644F2E6"/>
    <w:lvl w:ilvl="0">
      <w:start w:val="1"/>
      <w:numFmt w:val="upperRoman"/>
      <w:lvlText w:val="%1."/>
      <w:lvlJc w:val="left"/>
      <w:pPr>
        <w:tabs>
          <w:tab w:val="num" w:pos="720"/>
        </w:tabs>
      </w:pPr>
      <w:rPr>
        <w:rFonts w:cs="Times New Roman" w:hint="default"/>
      </w:rPr>
    </w:lvl>
    <w:lvl w:ilvl="1">
      <w:start w:val="1"/>
      <w:numFmt w:val="upperLetter"/>
      <w:lvlText w:val="%2."/>
      <w:lvlJc w:val="left"/>
      <w:pPr>
        <w:tabs>
          <w:tab w:val="num" w:pos="360"/>
        </w:tabs>
      </w:pPr>
      <w:rPr>
        <w:rFonts w:cs="Times New Roman" w:hint="default"/>
      </w:rPr>
    </w:lvl>
    <w:lvl w:ilvl="2">
      <w:start w:val="1"/>
      <w:numFmt w:val="decimal"/>
      <w:lvlText w:val="%3."/>
      <w:lvlJc w:val="left"/>
      <w:pPr>
        <w:tabs>
          <w:tab w:val="num" w:pos="360"/>
        </w:tabs>
      </w:pPr>
      <w:rPr>
        <w:rFonts w:cs="Times New Roman" w:hint="default"/>
      </w:rPr>
    </w:lvl>
    <w:lvl w:ilvl="3">
      <w:start w:val="1"/>
      <w:numFmt w:val="decimal"/>
      <w:lvlText w:val="1.%4"/>
      <w:lvlJc w:val="left"/>
      <w:pPr>
        <w:tabs>
          <w:tab w:val="num" w:pos="360"/>
        </w:tabs>
      </w:pPr>
      <w:rPr>
        <w:rFonts w:cs="Times New Roman" w:hint="default"/>
      </w:rPr>
    </w:lvl>
    <w:lvl w:ilvl="4">
      <w:start w:val="1"/>
      <w:numFmt w:val="lowerRoman"/>
      <w:pStyle w:val="Heading5"/>
      <w:lvlText w:val="(%5)"/>
      <w:lvlJc w:val="left"/>
      <w:pPr>
        <w:tabs>
          <w:tab w:val="num" w:pos="720"/>
        </w:tabs>
      </w:pPr>
      <w:rPr>
        <w:rFonts w:cs="Times New Roman" w:hint="default"/>
      </w:rPr>
    </w:lvl>
    <w:lvl w:ilvl="5">
      <w:start w:val="1"/>
      <w:numFmt w:val="lowerLetter"/>
      <w:lvlText w:val="(%6)"/>
      <w:lvlJc w:val="left"/>
      <w:pPr>
        <w:tabs>
          <w:tab w:val="num" w:pos="1080"/>
        </w:tabs>
        <w:ind w:left="72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360"/>
        </w:tabs>
        <w:ind w:left="-72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6" w15:restartNumberingAfterBreak="0">
    <w:nsid w:val="36EE7984"/>
    <w:multiLevelType w:val="hybridMultilevel"/>
    <w:tmpl w:val="C41A94A2"/>
    <w:lvl w:ilvl="0" w:tplc="903028FC">
      <w:start w:val="1"/>
      <w:numFmt w:val="chineseCountingThousand"/>
      <w:lvlText w:val="（%1）"/>
      <w:lvlJc w:val="left"/>
      <w:pPr>
        <w:ind w:left="1400" w:hanging="420"/>
      </w:pPr>
      <w:rPr>
        <w:rFonts w:ascii="Times New Roman" w:hAnsi="Times New Roman" w:cs="Times New Roman" w:hint="default"/>
        <w:b w:val="0"/>
        <w:sz w:val="24"/>
      </w:rPr>
    </w:lvl>
    <w:lvl w:ilvl="1" w:tplc="8E584EA2">
      <w:start w:val="1"/>
      <w:numFmt w:val="lowerLetter"/>
      <w:lvlText w:val="(%2)"/>
      <w:lvlJc w:val="left"/>
      <w:pPr>
        <w:ind w:left="2375" w:hanging="975"/>
      </w:pPr>
      <w:rPr>
        <w:rFonts w:ascii="Times New Roman" w:hAnsi="Times New Roman" w:hint="default"/>
      </w:rPr>
    </w:lvl>
    <w:lvl w:ilvl="2" w:tplc="0409001B" w:tentative="1">
      <w:start w:val="1"/>
      <w:numFmt w:val="lowerRoman"/>
      <w:lvlText w:val="%3."/>
      <w:lvlJc w:val="right"/>
      <w:pPr>
        <w:ind w:left="2240" w:hanging="420"/>
      </w:pPr>
    </w:lvl>
    <w:lvl w:ilvl="3" w:tplc="0409000F" w:tentative="1">
      <w:start w:val="1"/>
      <w:numFmt w:val="decimal"/>
      <w:lvlText w:val="%4."/>
      <w:lvlJc w:val="left"/>
      <w:pPr>
        <w:ind w:left="2660" w:hanging="420"/>
      </w:pPr>
    </w:lvl>
    <w:lvl w:ilvl="4" w:tplc="04090019" w:tentative="1">
      <w:start w:val="1"/>
      <w:numFmt w:val="lowerLetter"/>
      <w:lvlText w:val="%5)"/>
      <w:lvlJc w:val="left"/>
      <w:pPr>
        <w:ind w:left="3080" w:hanging="420"/>
      </w:pPr>
    </w:lvl>
    <w:lvl w:ilvl="5" w:tplc="0409001B" w:tentative="1">
      <w:start w:val="1"/>
      <w:numFmt w:val="lowerRoman"/>
      <w:lvlText w:val="%6."/>
      <w:lvlJc w:val="right"/>
      <w:pPr>
        <w:ind w:left="3500" w:hanging="420"/>
      </w:pPr>
    </w:lvl>
    <w:lvl w:ilvl="6" w:tplc="0409000F" w:tentative="1">
      <w:start w:val="1"/>
      <w:numFmt w:val="decimal"/>
      <w:lvlText w:val="%7."/>
      <w:lvlJc w:val="left"/>
      <w:pPr>
        <w:ind w:left="3920" w:hanging="420"/>
      </w:pPr>
    </w:lvl>
    <w:lvl w:ilvl="7" w:tplc="04090019" w:tentative="1">
      <w:start w:val="1"/>
      <w:numFmt w:val="lowerLetter"/>
      <w:lvlText w:val="%8)"/>
      <w:lvlJc w:val="left"/>
      <w:pPr>
        <w:ind w:left="4340" w:hanging="420"/>
      </w:pPr>
    </w:lvl>
    <w:lvl w:ilvl="8" w:tplc="0409001B" w:tentative="1">
      <w:start w:val="1"/>
      <w:numFmt w:val="lowerRoman"/>
      <w:lvlText w:val="%9."/>
      <w:lvlJc w:val="right"/>
      <w:pPr>
        <w:ind w:left="4760" w:hanging="420"/>
      </w:pPr>
    </w:lvl>
  </w:abstractNum>
  <w:abstractNum w:abstractNumId="7" w15:restartNumberingAfterBreak="0">
    <w:nsid w:val="396814BD"/>
    <w:multiLevelType w:val="hybridMultilevel"/>
    <w:tmpl w:val="0E067840"/>
    <w:lvl w:ilvl="0" w:tplc="F89AE9DE">
      <w:start w:val="1"/>
      <w:numFmt w:val="lowerLetter"/>
      <w:lvlText w:val="(%1)"/>
      <w:lvlJc w:val="left"/>
      <w:pPr>
        <w:ind w:left="1440" w:hanging="360"/>
      </w:pPr>
      <w:rPr>
        <w:rFonts w:hint="default"/>
        <w:b w:val="0"/>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39FB0DD0"/>
    <w:multiLevelType w:val="hybridMultilevel"/>
    <w:tmpl w:val="0980E954"/>
    <w:lvl w:ilvl="0" w:tplc="8E584EA2">
      <w:start w:val="1"/>
      <w:numFmt w:val="lowerLetter"/>
      <w:lvlText w:val="(%1)"/>
      <w:lvlJc w:val="left"/>
      <w:pPr>
        <w:ind w:left="2375" w:hanging="975"/>
      </w:pPr>
      <w:rPr>
        <w:rFonts w:ascii="Times New Roman" w:hAnsi="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AEB0B1E"/>
    <w:multiLevelType w:val="multilevel"/>
    <w:tmpl w:val="E07EC098"/>
    <w:lvl w:ilvl="0">
      <w:start w:val="1"/>
      <w:numFmt w:val="decimal"/>
      <w:pStyle w:val="para2"/>
      <w:lvlText w:val="%1."/>
      <w:lvlJc w:val="left"/>
      <w:pPr>
        <w:tabs>
          <w:tab w:val="num" w:pos="360"/>
        </w:tabs>
      </w:pPr>
      <w:rPr>
        <w:rFonts w:cs="Times New Roman" w:hint="default"/>
      </w:rPr>
    </w:lvl>
    <w:lvl w:ilvl="1">
      <w:start w:val="1"/>
      <w:numFmt w:val="lowerLetter"/>
      <w:lvlText w:val="(%2)"/>
      <w:lvlJc w:val="left"/>
      <w:pPr>
        <w:tabs>
          <w:tab w:val="num" w:pos="1080"/>
        </w:tabs>
        <w:ind w:firstLine="720"/>
      </w:pPr>
      <w:rPr>
        <w:rFonts w:cs="Times New Roman" w:hint="default"/>
      </w:rPr>
    </w:lvl>
    <w:lvl w:ilvl="2">
      <w:start w:val="1"/>
      <w:numFmt w:val="lowerRoman"/>
      <w:lvlText w:val="(%3)"/>
      <w:lvlJc w:val="right"/>
      <w:pPr>
        <w:tabs>
          <w:tab w:val="num" w:pos="2736"/>
        </w:tabs>
        <w:ind w:left="2736" w:hanging="432"/>
      </w:pPr>
      <w:rPr>
        <w:rFonts w:cs="Times New Roman" w:hint="default"/>
      </w:rPr>
    </w:lvl>
    <w:lvl w:ilvl="3">
      <w:start w:val="1"/>
      <w:numFmt w:val="decimal"/>
      <w:lvlText w:val="a."/>
      <w:lvlJc w:val="left"/>
      <w:pPr>
        <w:tabs>
          <w:tab w:val="num" w:pos="2160"/>
        </w:tabs>
        <w:ind w:left="2160" w:hanging="360"/>
      </w:pPr>
      <w:rPr>
        <w:rFonts w:cs="Times New Roman" w:hint="default"/>
      </w:rPr>
    </w:lvl>
    <w:lvl w:ilvl="4">
      <w:start w:val="1"/>
      <w:numFmt w:val="lowerLetter"/>
      <w:lvlText w:val="(%5)"/>
      <w:lvlJc w:val="left"/>
      <w:pPr>
        <w:tabs>
          <w:tab w:val="num" w:pos="2520"/>
        </w:tabs>
        <w:ind w:left="2520" w:hanging="360"/>
      </w:pPr>
      <w:rPr>
        <w:rFonts w:cs="Times New Roman" w:hint="default"/>
      </w:rPr>
    </w:lvl>
    <w:lvl w:ilvl="5">
      <w:start w:val="1"/>
      <w:numFmt w:val="lowerRoman"/>
      <w:lvlText w:val="(%6)"/>
      <w:lvlJc w:val="left"/>
      <w:pPr>
        <w:tabs>
          <w:tab w:val="num" w:pos="2880"/>
        </w:tabs>
        <w:ind w:left="2880" w:hanging="360"/>
      </w:pPr>
      <w:rPr>
        <w:rFonts w:cs="Times New Roman" w:hint="default"/>
      </w:rPr>
    </w:lvl>
    <w:lvl w:ilvl="6">
      <w:start w:val="1"/>
      <w:numFmt w:val="decimal"/>
      <w:lvlText w:val="%7."/>
      <w:lvlJc w:val="left"/>
      <w:pPr>
        <w:tabs>
          <w:tab w:val="num" w:pos="3240"/>
        </w:tabs>
        <w:ind w:left="3240" w:hanging="360"/>
      </w:pPr>
      <w:rPr>
        <w:rFonts w:cs="Times New Roman" w:hint="default"/>
      </w:rPr>
    </w:lvl>
    <w:lvl w:ilvl="7">
      <w:start w:val="1"/>
      <w:numFmt w:val="lowerLetter"/>
      <w:lvlText w:val="%8."/>
      <w:lvlJc w:val="left"/>
      <w:pPr>
        <w:tabs>
          <w:tab w:val="num" w:pos="3600"/>
        </w:tabs>
        <w:ind w:left="3600" w:hanging="360"/>
      </w:pPr>
      <w:rPr>
        <w:rFonts w:cs="Times New Roman" w:hint="default"/>
      </w:rPr>
    </w:lvl>
    <w:lvl w:ilvl="8">
      <w:start w:val="1"/>
      <w:numFmt w:val="lowerRoman"/>
      <w:lvlText w:val="%9."/>
      <w:lvlJc w:val="left"/>
      <w:pPr>
        <w:tabs>
          <w:tab w:val="num" w:pos="3960"/>
        </w:tabs>
        <w:ind w:left="3960" w:hanging="360"/>
      </w:pPr>
      <w:rPr>
        <w:rFonts w:cs="Times New Roman" w:hint="default"/>
      </w:rPr>
    </w:lvl>
  </w:abstractNum>
  <w:abstractNum w:abstractNumId="10" w15:restartNumberingAfterBreak="0">
    <w:nsid w:val="3CE43C91"/>
    <w:multiLevelType w:val="singleLevel"/>
    <w:tmpl w:val="B36A8C58"/>
    <w:lvl w:ilvl="0">
      <w:start w:val="1"/>
      <w:numFmt w:val="decimal"/>
      <w:pStyle w:val="Paranum"/>
      <w:lvlText w:val="%1."/>
      <w:lvlJc w:val="left"/>
      <w:pPr>
        <w:tabs>
          <w:tab w:val="num" w:pos="360"/>
        </w:tabs>
      </w:pPr>
      <w:rPr>
        <w:rFonts w:cs="Times New Roman"/>
      </w:rPr>
    </w:lvl>
  </w:abstractNum>
  <w:abstractNum w:abstractNumId="11" w15:restartNumberingAfterBreak="0">
    <w:nsid w:val="429637AA"/>
    <w:multiLevelType w:val="multilevel"/>
    <w:tmpl w:val="87263308"/>
    <w:lvl w:ilvl="0">
      <w:start w:val="1"/>
      <w:numFmt w:val="decimal"/>
      <w:lvlText w:val="%1."/>
      <w:lvlJc w:val="left"/>
      <w:pPr>
        <w:tabs>
          <w:tab w:val="num" w:pos="360"/>
        </w:tabs>
      </w:pPr>
      <w:rPr>
        <w:rFonts w:ascii="Times New Roman" w:hAnsi="Times New Roman" w:cs="Times New Roman" w:hint="default"/>
        <w:b w:val="0"/>
        <w:i w:val="0"/>
        <w:sz w:val="22"/>
      </w:rPr>
    </w:lvl>
    <w:lvl w:ilvl="1">
      <w:start w:val="1"/>
      <w:numFmt w:val="decimal"/>
      <w:lvlText w:val="%2."/>
      <w:lvlJc w:val="left"/>
      <w:pPr>
        <w:tabs>
          <w:tab w:val="num" w:pos="1620"/>
        </w:tabs>
        <w:ind w:left="180" w:firstLine="720"/>
      </w:pPr>
      <w:rPr>
        <w:rFonts w:cs="Times New Roman"/>
        <w:b w:val="0"/>
        <w:i w:val="0"/>
      </w:rPr>
    </w:lvl>
    <w:lvl w:ilvl="2">
      <w:start w:val="1"/>
      <w:numFmt w:val="lowerRoman"/>
      <w:lvlText w:val="(%3)"/>
      <w:lvlJc w:val="right"/>
      <w:pPr>
        <w:tabs>
          <w:tab w:val="num" w:pos="1900"/>
        </w:tabs>
        <w:ind w:left="190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2160"/>
        </w:tabs>
        <w:ind w:left="216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2" w15:restartNumberingAfterBreak="0">
    <w:nsid w:val="44CC7FBB"/>
    <w:multiLevelType w:val="hybridMultilevel"/>
    <w:tmpl w:val="DC8ED5BA"/>
    <w:lvl w:ilvl="0" w:tplc="F89AE9DE">
      <w:start w:val="1"/>
      <w:numFmt w:val="lowerLetter"/>
      <w:lvlText w:val="(%1)"/>
      <w:lvlJc w:val="left"/>
      <w:pPr>
        <w:tabs>
          <w:tab w:val="num" w:pos="1080"/>
        </w:tabs>
        <w:ind w:left="1080" w:hanging="360"/>
      </w:pPr>
      <w:rPr>
        <w:rFonts w:cs="Times New Roman" w:hint="default"/>
        <w:b w:val="0"/>
        <w:i w:val="0"/>
      </w:rPr>
    </w:lvl>
    <w:lvl w:ilvl="1" w:tplc="04090019" w:tentative="1">
      <w:start w:val="1"/>
      <w:numFmt w:val="lowerLetter"/>
      <w:lvlText w:val="%2."/>
      <w:lvlJc w:val="left"/>
      <w:pPr>
        <w:tabs>
          <w:tab w:val="num" w:pos="2160"/>
        </w:tabs>
        <w:ind w:left="2160" w:hanging="360"/>
      </w:pPr>
      <w:rPr>
        <w:rFonts w:cs="Times New Roman"/>
      </w:rPr>
    </w:lvl>
    <w:lvl w:ilvl="2" w:tplc="0409001B" w:tentative="1">
      <w:start w:val="1"/>
      <w:numFmt w:val="lowerRoman"/>
      <w:lvlText w:val="%3."/>
      <w:lvlJc w:val="right"/>
      <w:pPr>
        <w:tabs>
          <w:tab w:val="num" w:pos="2880"/>
        </w:tabs>
        <w:ind w:left="2880" w:hanging="180"/>
      </w:pPr>
      <w:rPr>
        <w:rFonts w:cs="Times New Roman"/>
      </w:rPr>
    </w:lvl>
    <w:lvl w:ilvl="3" w:tplc="0409000F" w:tentative="1">
      <w:start w:val="1"/>
      <w:numFmt w:val="decimal"/>
      <w:lvlText w:val="%4."/>
      <w:lvlJc w:val="left"/>
      <w:pPr>
        <w:tabs>
          <w:tab w:val="num" w:pos="3600"/>
        </w:tabs>
        <w:ind w:left="3600" w:hanging="360"/>
      </w:pPr>
      <w:rPr>
        <w:rFonts w:cs="Times New Roman"/>
      </w:rPr>
    </w:lvl>
    <w:lvl w:ilvl="4" w:tplc="04090019" w:tentative="1">
      <w:start w:val="1"/>
      <w:numFmt w:val="lowerLetter"/>
      <w:lvlText w:val="%5."/>
      <w:lvlJc w:val="left"/>
      <w:pPr>
        <w:tabs>
          <w:tab w:val="num" w:pos="4320"/>
        </w:tabs>
        <w:ind w:left="4320" w:hanging="360"/>
      </w:pPr>
      <w:rPr>
        <w:rFonts w:cs="Times New Roman"/>
      </w:rPr>
    </w:lvl>
    <w:lvl w:ilvl="5" w:tplc="0409001B" w:tentative="1">
      <w:start w:val="1"/>
      <w:numFmt w:val="lowerRoman"/>
      <w:lvlText w:val="%6."/>
      <w:lvlJc w:val="right"/>
      <w:pPr>
        <w:tabs>
          <w:tab w:val="num" w:pos="5040"/>
        </w:tabs>
        <w:ind w:left="5040" w:hanging="180"/>
      </w:pPr>
      <w:rPr>
        <w:rFonts w:cs="Times New Roman"/>
      </w:rPr>
    </w:lvl>
    <w:lvl w:ilvl="6" w:tplc="0409000F" w:tentative="1">
      <w:start w:val="1"/>
      <w:numFmt w:val="decimal"/>
      <w:lvlText w:val="%7."/>
      <w:lvlJc w:val="left"/>
      <w:pPr>
        <w:tabs>
          <w:tab w:val="num" w:pos="5760"/>
        </w:tabs>
        <w:ind w:left="5760" w:hanging="360"/>
      </w:pPr>
      <w:rPr>
        <w:rFonts w:cs="Times New Roman"/>
      </w:rPr>
    </w:lvl>
    <w:lvl w:ilvl="7" w:tplc="04090019" w:tentative="1">
      <w:start w:val="1"/>
      <w:numFmt w:val="lowerLetter"/>
      <w:lvlText w:val="%8."/>
      <w:lvlJc w:val="left"/>
      <w:pPr>
        <w:tabs>
          <w:tab w:val="num" w:pos="6480"/>
        </w:tabs>
        <w:ind w:left="6480" w:hanging="360"/>
      </w:pPr>
      <w:rPr>
        <w:rFonts w:cs="Times New Roman"/>
      </w:rPr>
    </w:lvl>
    <w:lvl w:ilvl="8" w:tplc="0409001B" w:tentative="1">
      <w:start w:val="1"/>
      <w:numFmt w:val="lowerRoman"/>
      <w:lvlText w:val="%9."/>
      <w:lvlJc w:val="right"/>
      <w:pPr>
        <w:tabs>
          <w:tab w:val="num" w:pos="7200"/>
        </w:tabs>
        <w:ind w:left="7200" w:hanging="180"/>
      </w:pPr>
      <w:rPr>
        <w:rFonts w:cs="Times New Roman"/>
      </w:rPr>
    </w:lvl>
  </w:abstractNum>
  <w:abstractNum w:abstractNumId="13" w15:restartNumberingAfterBreak="0">
    <w:nsid w:val="48E4287B"/>
    <w:multiLevelType w:val="multilevel"/>
    <w:tmpl w:val="DA489A90"/>
    <w:lvl w:ilvl="0">
      <w:start w:val="1"/>
      <w:numFmt w:val="decimal"/>
      <w:lvlText w:val="%1."/>
      <w:lvlJc w:val="left"/>
      <w:pPr>
        <w:tabs>
          <w:tab w:val="num" w:pos="360"/>
        </w:tabs>
      </w:pPr>
      <w:rPr>
        <w:rFonts w:cs="Times New Roman"/>
      </w:rPr>
    </w:lvl>
    <w:lvl w:ilvl="1">
      <w:start w:val="1"/>
      <w:numFmt w:val="lowerLetter"/>
      <w:lvlText w:val="(%2)"/>
      <w:lvlJc w:val="left"/>
      <w:pPr>
        <w:tabs>
          <w:tab w:val="num" w:pos="1440"/>
        </w:tabs>
        <w:ind w:firstLine="720"/>
      </w:pPr>
      <w:rPr>
        <w:rFonts w:cs="Times New Roman"/>
      </w:rPr>
    </w:lvl>
    <w:lvl w:ilvl="2">
      <w:start w:val="1"/>
      <w:numFmt w:val="lowerRoman"/>
      <w:lvlText w:val="(%3)"/>
      <w:lvlJc w:val="right"/>
      <w:pPr>
        <w:tabs>
          <w:tab w:val="num" w:pos="1800"/>
        </w:tabs>
        <w:ind w:left="1800" w:hanging="720"/>
      </w:pPr>
      <w:rPr>
        <w:rFonts w:cs="Times New Roman"/>
      </w:rPr>
    </w:lvl>
    <w:lvl w:ilvl="3">
      <w:start w:val="1"/>
      <w:numFmt w:val="decimal"/>
      <w:pStyle w:val="para4"/>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4" w15:restartNumberingAfterBreak="0">
    <w:nsid w:val="4A557017"/>
    <w:multiLevelType w:val="hybridMultilevel"/>
    <w:tmpl w:val="0980E954"/>
    <w:lvl w:ilvl="0" w:tplc="8E584EA2">
      <w:start w:val="1"/>
      <w:numFmt w:val="lowerLetter"/>
      <w:lvlText w:val="(%1)"/>
      <w:lvlJc w:val="left"/>
      <w:pPr>
        <w:ind w:left="2375" w:hanging="975"/>
      </w:pPr>
      <w:rPr>
        <w:rFonts w:ascii="Times New Roman" w:hAnsi="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A6E2604"/>
    <w:multiLevelType w:val="multilevel"/>
    <w:tmpl w:val="53F67F1A"/>
    <w:lvl w:ilvl="0">
      <w:start w:val="3"/>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1080"/>
        </w:tabs>
        <w:ind w:left="1080" w:hanging="360"/>
      </w:pPr>
      <w:rPr>
        <w:rFonts w:cs="Times New Roman" w:hint="default"/>
      </w:rPr>
    </w:lvl>
    <w:lvl w:ilvl="2">
      <w:start w:val="1"/>
      <w:numFmt w:val="decimal"/>
      <w:lvlText w:val="%1.%2.%3"/>
      <w:lvlJc w:val="left"/>
      <w:pPr>
        <w:tabs>
          <w:tab w:val="num" w:pos="2160"/>
        </w:tabs>
        <w:ind w:left="2160" w:hanging="720"/>
      </w:pPr>
      <w:rPr>
        <w:rFonts w:cs="Times New Roman" w:hint="default"/>
      </w:rPr>
    </w:lvl>
    <w:lvl w:ilvl="3">
      <w:start w:val="1"/>
      <w:numFmt w:val="decimal"/>
      <w:lvlText w:val="%1.%2.%3.%4"/>
      <w:lvlJc w:val="left"/>
      <w:pPr>
        <w:tabs>
          <w:tab w:val="num" w:pos="2880"/>
        </w:tabs>
        <w:ind w:left="2880" w:hanging="72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4680"/>
        </w:tabs>
        <w:ind w:left="4680" w:hanging="1080"/>
      </w:pPr>
      <w:rPr>
        <w:rFonts w:cs="Times New Roman" w:hint="default"/>
      </w:rPr>
    </w:lvl>
    <w:lvl w:ilvl="6">
      <w:start w:val="1"/>
      <w:numFmt w:val="decimal"/>
      <w:lvlText w:val="%1.%2.%3.%4.%5.%6.%7"/>
      <w:lvlJc w:val="left"/>
      <w:pPr>
        <w:tabs>
          <w:tab w:val="num" w:pos="5760"/>
        </w:tabs>
        <w:ind w:left="5760" w:hanging="1440"/>
      </w:pPr>
      <w:rPr>
        <w:rFonts w:cs="Times New Roman" w:hint="default"/>
      </w:rPr>
    </w:lvl>
    <w:lvl w:ilvl="7">
      <w:start w:val="1"/>
      <w:numFmt w:val="decimal"/>
      <w:lvlText w:val="%1.%2.%3.%4.%5.%6.%7.%8"/>
      <w:lvlJc w:val="left"/>
      <w:pPr>
        <w:tabs>
          <w:tab w:val="num" w:pos="6480"/>
        </w:tabs>
        <w:ind w:left="6480" w:hanging="1440"/>
      </w:pPr>
      <w:rPr>
        <w:rFonts w:cs="Times New Roman" w:hint="default"/>
      </w:rPr>
    </w:lvl>
    <w:lvl w:ilvl="8">
      <w:start w:val="1"/>
      <w:numFmt w:val="decimal"/>
      <w:lvlText w:val="%1.%2.%3.%4.%5.%6.%7.%8.%9"/>
      <w:lvlJc w:val="left"/>
      <w:pPr>
        <w:tabs>
          <w:tab w:val="num" w:pos="7560"/>
        </w:tabs>
        <w:ind w:left="7560" w:hanging="1800"/>
      </w:pPr>
      <w:rPr>
        <w:rFonts w:cs="Times New Roman" w:hint="default"/>
      </w:rPr>
    </w:lvl>
  </w:abstractNum>
  <w:abstractNum w:abstractNumId="16" w15:restartNumberingAfterBreak="0">
    <w:nsid w:val="4C580AD8"/>
    <w:multiLevelType w:val="hybridMultilevel"/>
    <w:tmpl w:val="07106C34"/>
    <w:lvl w:ilvl="0" w:tplc="1668EF28">
      <w:start w:val="1"/>
      <w:numFmt w:val="decimal"/>
      <w:lvlText w:val="%1."/>
      <w:lvlJc w:val="left"/>
      <w:pPr>
        <w:ind w:left="1830" w:hanging="360"/>
      </w:pPr>
      <w:rPr>
        <w:rFonts w:ascii="Times New Roman" w:hAnsi="Times New Roman" w:cs="Times New Roman" w:hint="default"/>
        <w:b w:val="0"/>
      </w:rPr>
    </w:lvl>
    <w:lvl w:ilvl="1" w:tplc="04090019" w:tentative="1">
      <w:start w:val="1"/>
      <w:numFmt w:val="lowerLetter"/>
      <w:lvlText w:val="%2."/>
      <w:lvlJc w:val="left"/>
      <w:pPr>
        <w:ind w:left="2550" w:hanging="360"/>
      </w:pPr>
    </w:lvl>
    <w:lvl w:ilvl="2" w:tplc="0409001B" w:tentative="1">
      <w:start w:val="1"/>
      <w:numFmt w:val="lowerRoman"/>
      <w:lvlText w:val="%3."/>
      <w:lvlJc w:val="right"/>
      <w:pPr>
        <w:ind w:left="3270" w:hanging="180"/>
      </w:pPr>
    </w:lvl>
    <w:lvl w:ilvl="3" w:tplc="0409000F" w:tentative="1">
      <w:start w:val="1"/>
      <w:numFmt w:val="decimal"/>
      <w:lvlText w:val="%4."/>
      <w:lvlJc w:val="left"/>
      <w:pPr>
        <w:ind w:left="3990" w:hanging="360"/>
      </w:pPr>
    </w:lvl>
    <w:lvl w:ilvl="4" w:tplc="04090019" w:tentative="1">
      <w:start w:val="1"/>
      <w:numFmt w:val="lowerLetter"/>
      <w:lvlText w:val="%5."/>
      <w:lvlJc w:val="left"/>
      <w:pPr>
        <w:ind w:left="4710" w:hanging="360"/>
      </w:pPr>
    </w:lvl>
    <w:lvl w:ilvl="5" w:tplc="0409001B" w:tentative="1">
      <w:start w:val="1"/>
      <w:numFmt w:val="lowerRoman"/>
      <w:lvlText w:val="%6."/>
      <w:lvlJc w:val="right"/>
      <w:pPr>
        <w:ind w:left="5430" w:hanging="180"/>
      </w:pPr>
    </w:lvl>
    <w:lvl w:ilvl="6" w:tplc="0409000F" w:tentative="1">
      <w:start w:val="1"/>
      <w:numFmt w:val="decimal"/>
      <w:lvlText w:val="%7."/>
      <w:lvlJc w:val="left"/>
      <w:pPr>
        <w:ind w:left="6150" w:hanging="360"/>
      </w:pPr>
    </w:lvl>
    <w:lvl w:ilvl="7" w:tplc="04090019" w:tentative="1">
      <w:start w:val="1"/>
      <w:numFmt w:val="lowerLetter"/>
      <w:lvlText w:val="%8."/>
      <w:lvlJc w:val="left"/>
      <w:pPr>
        <w:ind w:left="6870" w:hanging="360"/>
      </w:pPr>
    </w:lvl>
    <w:lvl w:ilvl="8" w:tplc="0409001B" w:tentative="1">
      <w:start w:val="1"/>
      <w:numFmt w:val="lowerRoman"/>
      <w:lvlText w:val="%9."/>
      <w:lvlJc w:val="right"/>
      <w:pPr>
        <w:ind w:left="7590" w:hanging="180"/>
      </w:pPr>
    </w:lvl>
  </w:abstractNum>
  <w:abstractNum w:abstractNumId="17" w15:restartNumberingAfterBreak="0">
    <w:nsid w:val="4E0442B4"/>
    <w:multiLevelType w:val="multilevel"/>
    <w:tmpl w:val="B97E9A72"/>
    <w:lvl w:ilvl="0">
      <w:start w:val="1"/>
      <w:numFmt w:val="decimal"/>
      <w:pStyle w:val="Para1"/>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440"/>
        </w:tabs>
        <w:ind w:firstLine="720"/>
      </w:pPr>
      <w:rPr>
        <w:rFonts w:cs="Times New Roman" w:hint="default"/>
        <w:b w:val="0"/>
        <w:i w:val="0"/>
      </w:rPr>
    </w:lvl>
    <w:lvl w:ilvl="2">
      <w:start w:val="1"/>
      <w:numFmt w:val="lowerRoman"/>
      <w:pStyle w:val="Para3"/>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8" w15:restartNumberingAfterBreak="0">
    <w:nsid w:val="50F04460"/>
    <w:multiLevelType w:val="hybridMultilevel"/>
    <w:tmpl w:val="12B4C0EC"/>
    <w:lvl w:ilvl="0" w:tplc="90800732">
      <w:start w:val="1"/>
      <w:numFmt w:val="decimal"/>
      <w:lvlText w:val="%1."/>
      <w:lvlJc w:val="left"/>
      <w:pPr>
        <w:ind w:left="1440" w:hanging="720"/>
      </w:pPr>
      <w:rPr>
        <w:rFonts w:hint="default"/>
        <w:i w:val="0"/>
        <w:sz w:val="24"/>
        <w:szCs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52FA0D9A"/>
    <w:multiLevelType w:val="multilevel"/>
    <w:tmpl w:val="187822A4"/>
    <w:lvl w:ilvl="0">
      <w:start w:val="1"/>
      <w:numFmt w:val="decimal"/>
      <w:pStyle w:val="Para1-Annex"/>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440"/>
        </w:tabs>
        <w:ind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20" w15:restartNumberingAfterBreak="0">
    <w:nsid w:val="5F394571"/>
    <w:multiLevelType w:val="hybridMultilevel"/>
    <w:tmpl w:val="81D41A4E"/>
    <w:lvl w:ilvl="0" w:tplc="94AC03C0">
      <w:start w:val="1"/>
      <w:numFmt w:val="decimal"/>
      <w:lvlText w:val="%1."/>
      <w:lvlJc w:val="left"/>
      <w:pPr>
        <w:ind w:left="36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5357F78"/>
    <w:multiLevelType w:val="hybridMultilevel"/>
    <w:tmpl w:val="E59652FE"/>
    <w:lvl w:ilvl="0" w:tplc="FFFFFFFF">
      <w:start w:val="1"/>
      <w:numFmt w:val="decimal"/>
      <w:pStyle w:val="Paraofficial"/>
      <w:lvlText w:val="%1."/>
      <w:lvlJc w:val="left"/>
      <w:pPr>
        <w:tabs>
          <w:tab w:val="num" w:pos="1080"/>
        </w:tabs>
        <w:ind w:firstLine="720"/>
      </w:pPr>
      <w:rPr>
        <w:rFonts w:cs="Times New Roman" w:hint="default"/>
      </w:rPr>
    </w:lvl>
    <w:lvl w:ilvl="1" w:tplc="FFFFFFFF" w:tentative="1">
      <w:start w:val="1"/>
      <w:numFmt w:val="lowerLetter"/>
      <w:lvlText w:val="%2."/>
      <w:lvlJc w:val="left"/>
      <w:pPr>
        <w:tabs>
          <w:tab w:val="num" w:pos="2160"/>
        </w:tabs>
        <w:ind w:left="2160" w:hanging="360"/>
      </w:pPr>
      <w:rPr>
        <w:rFonts w:cs="Times New Roman"/>
      </w:rPr>
    </w:lvl>
    <w:lvl w:ilvl="2" w:tplc="FFFFFFFF" w:tentative="1">
      <w:start w:val="1"/>
      <w:numFmt w:val="lowerRoman"/>
      <w:lvlText w:val="%3."/>
      <w:lvlJc w:val="right"/>
      <w:pPr>
        <w:tabs>
          <w:tab w:val="num" w:pos="2880"/>
        </w:tabs>
        <w:ind w:left="2880" w:hanging="180"/>
      </w:pPr>
      <w:rPr>
        <w:rFonts w:cs="Times New Roman"/>
      </w:rPr>
    </w:lvl>
    <w:lvl w:ilvl="3" w:tplc="FFFFFFFF" w:tentative="1">
      <w:start w:val="1"/>
      <w:numFmt w:val="decimal"/>
      <w:lvlText w:val="%4."/>
      <w:lvlJc w:val="left"/>
      <w:pPr>
        <w:tabs>
          <w:tab w:val="num" w:pos="3600"/>
        </w:tabs>
        <w:ind w:left="3600" w:hanging="360"/>
      </w:pPr>
      <w:rPr>
        <w:rFonts w:cs="Times New Roman"/>
      </w:rPr>
    </w:lvl>
    <w:lvl w:ilvl="4" w:tplc="FFFFFFFF" w:tentative="1">
      <w:start w:val="1"/>
      <w:numFmt w:val="lowerLetter"/>
      <w:lvlText w:val="%5."/>
      <w:lvlJc w:val="left"/>
      <w:pPr>
        <w:tabs>
          <w:tab w:val="num" w:pos="4320"/>
        </w:tabs>
        <w:ind w:left="4320" w:hanging="360"/>
      </w:pPr>
      <w:rPr>
        <w:rFonts w:cs="Times New Roman"/>
      </w:rPr>
    </w:lvl>
    <w:lvl w:ilvl="5" w:tplc="FFFFFFFF" w:tentative="1">
      <w:start w:val="1"/>
      <w:numFmt w:val="lowerRoman"/>
      <w:lvlText w:val="%6."/>
      <w:lvlJc w:val="right"/>
      <w:pPr>
        <w:tabs>
          <w:tab w:val="num" w:pos="5040"/>
        </w:tabs>
        <w:ind w:left="5040" w:hanging="180"/>
      </w:pPr>
      <w:rPr>
        <w:rFonts w:cs="Times New Roman"/>
      </w:rPr>
    </w:lvl>
    <w:lvl w:ilvl="6" w:tplc="FFFFFFFF" w:tentative="1">
      <w:start w:val="1"/>
      <w:numFmt w:val="decimal"/>
      <w:lvlText w:val="%7."/>
      <w:lvlJc w:val="left"/>
      <w:pPr>
        <w:tabs>
          <w:tab w:val="num" w:pos="5760"/>
        </w:tabs>
        <w:ind w:left="5760" w:hanging="360"/>
      </w:pPr>
      <w:rPr>
        <w:rFonts w:cs="Times New Roman"/>
      </w:rPr>
    </w:lvl>
    <w:lvl w:ilvl="7" w:tplc="FFFFFFFF" w:tentative="1">
      <w:start w:val="1"/>
      <w:numFmt w:val="lowerLetter"/>
      <w:lvlText w:val="%8."/>
      <w:lvlJc w:val="left"/>
      <w:pPr>
        <w:tabs>
          <w:tab w:val="num" w:pos="6480"/>
        </w:tabs>
        <w:ind w:left="6480" w:hanging="360"/>
      </w:pPr>
      <w:rPr>
        <w:rFonts w:cs="Times New Roman"/>
      </w:rPr>
    </w:lvl>
    <w:lvl w:ilvl="8" w:tplc="FFFFFFFF" w:tentative="1">
      <w:start w:val="1"/>
      <w:numFmt w:val="lowerRoman"/>
      <w:lvlText w:val="%9."/>
      <w:lvlJc w:val="right"/>
      <w:pPr>
        <w:tabs>
          <w:tab w:val="num" w:pos="7200"/>
        </w:tabs>
        <w:ind w:left="7200" w:hanging="180"/>
      </w:pPr>
      <w:rPr>
        <w:rFonts w:cs="Times New Roman"/>
      </w:rPr>
    </w:lvl>
  </w:abstractNum>
  <w:abstractNum w:abstractNumId="22" w15:restartNumberingAfterBreak="0">
    <w:nsid w:val="686B1FEB"/>
    <w:multiLevelType w:val="hybridMultilevel"/>
    <w:tmpl w:val="2716DD70"/>
    <w:lvl w:ilvl="0" w:tplc="99282F28">
      <w:start w:val="1"/>
      <w:numFmt w:val="lowerLetter"/>
      <w:lvlText w:val="(%1)"/>
      <w:lvlJc w:val="left"/>
      <w:pPr>
        <w:ind w:left="720" w:hanging="360"/>
      </w:pPr>
      <w:rPr>
        <w:rFonts w:ascii="Times New Roman" w:hAnsi="Times New Roman" w:cs="Times New Roman" w:hint="default"/>
        <w:b w:val="0"/>
      </w:rPr>
    </w:lvl>
    <w:lvl w:ilvl="1" w:tplc="EADCB4B2">
      <w:start w:val="1"/>
      <w:numFmt w:val="decimal"/>
      <w:lvlText w:val="%2."/>
      <w:lvlJc w:val="left"/>
      <w:pPr>
        <w:ind w:left="760" w:hanging="490"/>
      </w:pPr>
      <w:rPr>
        <w:rFonts w:ascii="Times New Roman" w:hAnsi="Times New Roman" w:cs="Times New Roman" w:hint="default"/>
        <w:b w:val="0"/>
        <w:bCs/>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CD57C6E"/>
    <w:multiLevelType w:val="multilevel"/>
    <w:tmpl w:val="747AF608"/>
    <w:lvl w:ilvl="0">
      <w:start w:val="1"/>
      <w:numFmt w:val="decimal"/>
      <w:lvlText w:val="%1."/>
      <w:lvlJc w:val="left"/>
      <w:pPr>
        <w:tabs>
          <w:tab w:val="num" w:pos="1800"/>
        </w:tabs>
        <w:ind w:left="1800" w:hanging="360"/>
      </w:pPr>
      <w:rPr>
        <w:rFonts w:cs="Times New Roman" w:hint="default"/>
      </w:rPr>
    </w:lvl>
    <w:lvl w:ilvl="1">
      <w:start w:val="1"/>
      <w:numFmt w:val="decimal"/>
      <w:lvlText w:val="%1.%2."/>
      <w:lvlJc w:val="left"/>
      <w:pPr>
        <w:tabs>
          <w:tab w:val="num" w:pos="2232"/>
        </w:tabs>
        <w:ind w:left="2232" w:hanging="432"/>
      </w:pPr>
      <w:rPr>
        <w:rFonts w:cs="Times New Roman" w:hint="default"/>
      </w:rPr>
    </w:lvl>
    <w:lvl w:ilvl="2">
      <w:start w:val="1"/>
      <w:numFmt w:val="decimal"/>
      <w:lvlText w:val="%1.%2.%3."/>
      <w:lvlJc w:val="left"/>
      <w:pPr>
        <w:tabs>
          <w:tab w:val="num" w:pos="2664"/>
        </w:tabs>
        <w:ind w:left="2664" w:hanging="504"/>
      </w:pPr>
      <w:rPr>
        <w:rFonts w:cs="Times New Roman" w:hint="default"/>
      </w:rPr>
    </w:lvl>
    <w:lvl w:ilvl="3">
      <w:start w:val="1"/>
      <w:numFmt w:val="decimal"/>
      <w:lvlText w:val="%1.%2.%3.%4."/>
      <w:lvlJc w:val="left"/>
      <w:pPr>
        <w:tabs>
          <w:tab w:val="num" w:pos="3240"/>
        </w:tabs>
        <w:ind w:left="3168" w:hanging="648"/>
      </w:pPr>
      <w:rPr>
        <w:rFonts w:cs="Times New Roman" w:hint="default"/>
      </w:rPr>
    </w:lvl>
    <w:lvl w:ilvl="4">
      <w:start w:val="1"/>
      <w:numFmt w:val="decimal"/>
      <w:lvlText w:val="%1.%2.%3.%4.%5."/>
      <w:lvlJc w:val="left"/>
      <w:pPr>
        <w:tabs>
          <w:tab w:val="num" w:pos="3960"/>
        </w:tabs>
        <w:ind w:left="3672" w:hanging="792"/>
      </w:pPr>
      <w:rPr>
        <w:rFonts w:cs="Times New Roman" w:hint="default"/>
      </w:rPr>
    </w:lvl>
    <w:lvl w:ilvl="5">
      <w:numFmt w:val="none"/>
      <w:lvlText w:val=""/>
      <w:lvlJc w:val="left"/>
      <w:pPr>
        <w:tabs>
          <w:tab w:val="num" w:pos="360"/>
        </w:tabs>
      </w:pPr>
      <w:rPr>
        <w:rFonts w:cs="Times New Roman"/>
      </w:rPr>
    </w:lvl>
    <w:lvl w:ilvl="6">
      <w:start w:val="1"/>
      <w:numFmt w:val="decimal"/>
      <w:lvlText w:val="%1.%2.%3.%4.%5.%6.%7."/>
      <w:lvlJc w:val="left"/>
      <w:pPr>
        <w:tabs>
          <w:tab w:val="num" w:pos="5040"/>
        </w:tabs>
        <w:ind w:left="4680" w:hanging="1080"/>
      </w:pPr>
      <w:rPr>
        <w:rFonts w:cs="Times New Roman" w:hint="default"/>
      </w:rPr>
    </w:lvl>
    <w:lvl w:ilvl="7">
      <w:start w:val="1"/>
      <w:numFmt w:val="decimal"/>
      <w:lvlText w:val="%1.%2.%3.%4.%5.%6.%7.%8."/>
      <w:lvlJc w:val="left"/>
      <w:pPr>
        <w:tabs>
          <w:tab w:val="num" w:pos="5760"/>
        </w:tabs>
        <w:ind w:left="5184" w:hanging="1224"/>
      </w:pPr>
      <w:rPr>
        <w:rFonts w:cs="Times New Roman" w:hint="default"/>
      </w:rPr>
    </w:lvl>
    <w:lvl w:ilvl="8">
      <w:start w:val="1"/>
      <w:numFmt w:val="decimal"/>
      <w:lvlText w:val="%1.%2.%3.%4.%5.%6.%7.%8.%9."/>
      <w:lvlJc w:val="left"/>
      <w:pPr>
        <w:tabs>
          <w:tab w:val="num" w:pos="6120"/>
        </w:tabs>
        <w:ind w:left="5760" w:hanging="1440"/>
      </w:pPr>
      <w:rPr>
        <w:rFonts w:cs="Times New Roman" w:hint="default"/>
      </w:rPr>
    </w:lvl>
  </w:abstractNum>
  <w:abstractNum w:abstractNumId="24" w15:restartNumberingAfterBreak="0">
    <w:nsid w:val="708151E1"/>
    <w:multiLevelType w:val="multilevel"/>
    <w:tmpl w:val="FC4EF6E2"/>
    <w:lvl w:ilvl="0">
      <w:start w:val="3"/>
      <w:numFmt w:val="decimal"/>
      <w:lvlText w:val="%1"/>
      <w:lvlJc w:val="left"/>
      <w:pPr>
        <w:tabs>
          <w:tab w:val="num" w:pos="660"/>
        </w:tabs>
        <w:ind w:left="660" w:hanging="660"/>
      </w:pPr>
      <w:rPr>
        <w:rFonts w:cs="Times New Roman" w:hint="default"/>
      </w:rPr>
    </w:lvl>
    <w:lvl w:ilvl="1">
      <w:start w:val="4"/>
      <w:numFmt w:val="decimal"/>
      <w:lvlText w:val="%1.%2"/>
      <w:lvlJc w:val="left"/>
      <w:pPr>
        <w:tabs>
          <w:tab w:val="num" w:pos="1431"/>
        </w:tabs>
        <w:ind w:left="1431" w:hanging="660"/>
      </w:pPr>
      <w:rPr>
        <w:rFonts w:cs="Times New Roman" w:hint="default"/>
      </w:rPr>
    </w:lvl>
    <w:lvl w:ilvl="2">
      <w:start w:val="1"/>
      <w:numFmt w:val="decimal"/>
      <w:lvlText w:val="%1.%2.%3"/>
      <w:lvlJc w:val="left"/>
      <w:pPr>
        <w:tabs>
          <w:tab w:val="num" w:pos="2262"/>
        </w:tabs>
        <w:ind w:left="2262" w:hanging="720"/>
      </w:pPr>
      <w:rPr>
        <w:rFonts w:cs="Times New Roman" w:hint="default"/>
      </w:rPr>
    </w:lvl>
    <w:lvl w:ilvl="3">
      <w:start w:val="1"/>
      <w:numFmt w:val="decimal"/>
      <w:lvlText w:val="%1.%2.%3.%4"/>
      <w:lvlJc w:val="left"/>
      <w:pPr>
        <w:tabs>
          <w:tab w:val="num" w:pos="3033"/>
        </w:tabs>
        <w:ind w:left="3033" w:hanging="720"/>
      </w:pPr>
      <w:rPr>
        <w:rFonts w:cs="Times New Roman" w:hint="default"/>
      </w:rPr>
    </w:lvl>
    <w:lvl w:ilvl="4">
      <w:start w:val="1"/>
      <w:numFmt w:val="decimal"/>
      <w:lvlText w:val="%1.%2.%3.%4.%5"/>
      <w:lvlJc w:val="left"/>
      <w:pPr>
        <w:tabs>
          <w:tab w:val="num" w:pos="4164"/>
        </w:tabs>
        <w:ind w:left="4164" w:hanging="1080"/>
      </w:pPr>
      <w:rPr>
        <w:rFonts w:cs="Times New Roman" w:hint="default"/>
      </w:rPr>
    </w:lvl>
    <w:lvl w:ilvl="5">
      <w:start w:val="1"/>
      <w:numFmt w:val="decimal"/>
      <w:lvlText w:val="%1.%2.%3.%4.%5.%6"/>
      <w:lvlJc w:val="left"/>
      <w:pPr>
        <w:tabs>
          <w:tab w:val="num" w:pos="4935"/>
        </w:tabs>
        <w:ind w:left="4935" w:hanging="1080"/>
      </w:pPr>
      <w:rPr>
        <w:rFonts w:cs="Times New Roman" w:hint="default"/>
      </w:rPr>
    </w:lvl>
    <w:lvl w:ilvl="6">
      <w:start w:val="1"/>
      <w:numFmt w:val="decimal"/>
      <w:lvlText w:val="%1.%2.%3.%4.%5.%6.%7"/>
      <w:lvlJc w:val="left"/>
      <w:pPr>
        <w:tabs>
          <w:tab w:val="num" w:pos="6066"/>
        </w:tabs>
        <w:ind w:left="6066" w:hanging="1440"/>
      </w:pPr>
      <w:rPr>
        <w:rFonts w:cs="Times New Roman" w:hint="default"/>
      </w:rPr>
    </w:lvl>
    <w:lvl w:ilvl="7">
      <w:start w:val="1"/>
      <w:numFmt w:val="decimal"/>
      <w:lvlText w:val="%1.%2.%3.%4.%5.%6.%7.%8"/>
      <w:lvlJc w:val="left"/>
      <w:pPr>
        <w:tabs>
          <w:tab w:val="num" w:pos="6837"/>
        </w:tabs>
        <w:ind w:left="6837" w:hanging="1440"/>
      </w:pPr>
      <w:rPr>
        <w:rFonts w:cs="Times New Roman" w:hint="default"/>
      </w:rPr>
    </w:lvl>
    <w:lvl w:ilvl="8">
      <w:start w:val="1"/>
      <w:numFmt w:val="decimal"/>
      <w:lvlText w:val="%1.%2.%3.%4.%5.%6.%7.%8.%9"/>
      <w:lvlJc w:val="left"/>
      <w:pPr>
        <w:tabs>
          <w:tab w:val="num" w:pos="7608"/>
        </w:tabs>
        <w:ind w:left="7608" w:hanging="1440"/>
      </w:pPr>
      <w:rPr>
        <w:rFonts w:cs="Times New Roman" w:hint="default"/>
      </w:rPr>
    </w:lvl>
  </w:abstractNum>
  <w:num w:numId="1">
    <w:abstractNumId w:val="10"/>
  </w:num>
  <w:num w:numId="2">
    <w:abstractNumId w:val="9"/>
  </w:num>
  <w:num w:numId="3">
    <w:abstractNumId w:val="5"/>
  </w:num>
  <w:num w:numId="4">
    <w:abstractNumId w:val="12"/>
  </w:num>
  <w:num w:numId="5">
    <w:abstractNumId w:val="13"/>
  </w:num>
  <w:num w:numId="6">
    <w:abstractNumId w:val="17"/>
  </w:num>
  <w:num w:numId="7">
    <w:abstractNumId w:val="23"/>
  </w:num>
  <w:num w:numId="8">
    <w:abstractNumId w:val="15"/>
  </w:num>
  <w:num w:numId="9">
    <w:abstractNumId w:val="1"/>
  </w:num>
  <w:num w:numId="10">
    <w:abstractNumId w:val="5"/>
  </w:num>
  <w:num w:numId="11">
    <w:abstractNumId w:val="21"/>
  </w:num>
  <w:num w:numId="12">
    <w:abstractNumId w:val="17"/>
  </w:num>
  <w:num w:numId="13">
    <w:abstractNumId w:val="19"/>
  </w:num>
  <w:num w:numId="14">
    <w:abstractNumId w:val="9"/>
  </w:num>
  <w:num w:numId="15">
    <w:abstractNumId w:val="17"/>
  </w:num>
  <w:num w:numId="16">
    <w:abstractNumId w:val="13"/>
  </w:num>
  <w:num w:numId="17">
    <w:abstractNumId w:val="10"/>
  </w:num>
  <w:num w:numId="18">
    <w:abstractNumId w:val="24"/>
  </w:num>
  <w:num w:numId="19">
    <w:abstractNumId w:val="11"/>
  </w:num>
  <w:num w:numId="20">
    <w:abstractNumId w:val="17"/>
  </w:num>
  <w:num w:numId="21">
    <w:abstractNumId w:val="17"/>
  </w:num>
  <w:num w:numId="22">
    <w:abstractNumId w:val="17"/>
  </w:num>
  <w:num w:numId="23">
    <w:abstractNumId w:val="17"/>
  </w:num>
  <w:num w:numId="24">
    <w:abstractNumId w:val="0"/>
  </w:num>
  <w:num w:numId="25">
    <w:abstractNumId w:val="2"/>
  </w:num>
  <w:num w:numId="26">
    <w:abstractNumId w:val="7"/>
  </w:num>
  <w:num w:numId="27">
    <w:abstractNumId w:val="4"/>
  </w:num>
  <w:num w:numId="28">
    <w:abstractNumId w:val="18"/>
  </w:num>
  <w:num w:numId="29">
    <w:abstractNumId w:val="17"/>
  </w:num>
  <w:num w:numId="30">
    <w:abstractNumId w:val="17"/>
  </w:num>
  <w:num w:numId="31">
    <w:abstractNumId w:val="22"/>
  </w:num>
  <w:num w:numId="32">
    <w:abstractNumId w:val="3"/>
  </w:num>
  <w:num w:numId="33">
    <w:abstractNumId w:val="20"/>
  </w:num>
  <w:num w:numId="34">
    <w:abstractNumId w:val="16"/>
  </w:num>
  <w:num w:numId="35">
    <w:abstractNumId w:val="6"/>
  </w:num>
  <w:num w:numId="36">
    <w:abstractNumId w:val="8"/>
  </w:num>
  <w:num w:numId="3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5"/>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720"/>
  <w:doNotHyphenateCaps/>
  <w:evenAndOddHeaders/>
  <w:drawingGridHorizontalSpacing w:val="110"/>
  <w:drawingGridVerticalSpacing w:val="299"/>
  <w:displayHorizontalDrawingGridEvery w:val="2"/>
  <w:displayVerticalDrawingGridEvery w:val="0"/>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268A"/>
    <w:rsid w:val="00066A04"/>
    <w:rsid w:val="00066EE9"/>
    <w:rsid w:val="000A5388"/>
    <w:rsid w:val="000B099A"/>
    <w:rsid w:val="000B42E0"/>
    <w:rsid w:val="0013376A"/>
    <w:rsid w:val="0014440A"/>
    <w:rsid w:val="0017652F"/>
    <w:rsid w:val="001A18D7"/>
    <w:rsid w:val="001A4969"/>
    <w:rsid w:val="001C6AF5"/>
    <w:rsid w:val="001D28F7"/>
    <w:rsid w:val="001E7F85"/>
    <w:rsid w:val="001F268A"/>
    <w:rsid w:val="001F65C2"/>
    <w:rsid w:val="00220173"/>
    <w:rsid w:val="00220462"/>
    <w:rsid w:val="002473F7"/>
    <w:rsid w:val="0029567E"/>
    <w:rsid w:val="002A3359"/>
    <w:rsid w:val="002B4AAD"/>
    <w:rsid w:val="003150CB"/>
    <w:rsid w:val="00362B19"/>
    <w:rsid w:val="00362D85"/>
    <w:rsid w:val="00373C1D"/>
    <w:rsid w:val="003A57C0"/>
    <w:rsid w:val="003B5D1B"/>
    <w:rsid w:val="003D3E56"/>
    <w:rsid w:val="003E6ED3"/>
    <w:rsid w:val="00403279"/>
    <w:rsid w:val="004148C8"/>
    <w:rsid w:val="00450836"/>
    <w:rsid w:val="00474EF8"/>
    <w:rsid w:val="00495DEF"/>
    <w:rsid w:val="00497336"/>
    <w:rsid w:val="004C4203"/>
    <w:rsid w:val="00502FC2"/>
    <w:rsid w:val="005160B9"/>
    <w:rsid w:val="00526DA7"/>
    <w:rsid w:val="005465C3"/>
    <w:rsid w:val="00595CF6"/>
    <w:rsid w:val="005D02E8"/>
    <w:rsid w:val="005E0E93"/>
    <w:rsid w:val="005E4552"/>
    <w:rsid w:val="005E6475"/>
    <w:rsid w:val="00601E02"/>
    <w:rsid w:val="006154D2"/>
    <w:rsid w:val="00660A89"/>
    <w:rsid w:val="00666863"/>
    <w:rsid w:val="00685EBE"/>
    <w:rsid w:val="006D4125"/>
    <w:rsid w:val="006D67C0"/>
    <w:rsid w:val="006F0B8D"/>
    <w:rsid w:val="00720748"/>
    <w:rsid w:val="0079191A"/>
    <w:rsid w:val="007A74B4"/>
    <w:rsid w:val="007E192A"/>
    <w:rsid w:val="008027F1"/>
    <w:rsid w:val="00811302"/>
    <w:rsid w:val="00846267"/>
    <w:rsid w:val="00853EB8"/>
    <w:rsid w:val="008645B4"/>
    <w:rsid w:val="0086503B"/>
    <w:rsid w:val="00887F31"/>
    <w:rsid w:val="00897491"/>
    <w:rsid w:val="008B1503"/>
    <w:rsid w:val="00924E62"/>
    <w:rsid w:val="009410DC"/>
    <w:rsid w:val="00953C22"/>
    <w:rsid w:val="00955DEE"/>
    <w:rsid w:val="009658E0"/>
    <w:rsid w:val="00971F06"/>
    <w:rsid w:val="0098360A"/>
    <w:rsid w:val="009B7651"/>
    <w:rsid w:val="009C6CB5"/>
    <w:rsid w:val="009D2834"/>
    <w:rsid w:val="00A02171"/>
    <w:rsid w:val="00A05940"/>
    <w:rsid w:val="00A06782"/>
    <w:rsid w:val="00A17F8C"/>
    <w:rsid w:val="00A31CA6"/>
    <w:rsid w:val="00A43CB6"/>
    <w:rsid w:val="00A5550F"/>
    <w:rsid w:val="00A57DDC"/>
    <w:rsid w:val="00AA4091"/>
    <w:rsid w:val="00AA694D"/>
    <w:rsid w:val="00AD53FC"/>
    <w:rsid w:val="00AF2F1D"/>
    <w:rsid w:val="00B042A2"/>
    <w:rsid w:val="00B22565"/>
    <w:rsid w:val="00B36CBF"/>
    <w:rsid w:val="00B71117"/>
    <w:rsid w:val="00B92DD6"/>
    <w:rsid w:val="00C12149"/>
    <w:rsid w:val="00C161EB"/>
    <w:rsid w:val="00C23CC7"/>
    <w:rsid w:val="00C66174"/>
    <w:rsid w:val="00C744B4"/>
    <w:rsid w:val="00C7690F"/>
    <w:rsid w:val="00C9504B"/>
    <w:rsid w:val="00CA1A7A"/>
    <w:rsid w:val="00CA47C3"/>
    <w:rsid w:val="00CC5CE1"/>
    <w:rsid w:val="00CC7B35"/>
    <w:rsid w:val="00CD3ED2"/>
    <w:rsid w:val="00D132C7"/>
    <w:rsid w:val="00D44135"/>
    <w:rsid w:val="00D82E38"/>
    <w:rsid w:val="00D90F93"/>
    <w:rsid w:val="00DE4FF8"/>
    <w:rsid w:val="00DF7EF5"/>
    <w:rsid w:val="00E13B5C"/>
    <w:rsid w:val="00E33CA1"/>
    <w:rsid w:val="00E402B9"/>
    <w:rsid w:val="00E43F23"/>
    <w:rsid w:val="00E7190C"/>
    <w:rsid w:val="00E844E8"/>
    <w:rsid w:val="00EA78DB"/>
    <w:rsid w:val="00EC13B2"/>
    <w:rsid w:val="00EC5351"/>
    <w:rsid w:val="00EE4356"/>
    <w:rsid w:val="00EF36C9"/>
    <w:rsid w:val="00F27144"/>
    <w:rsid w:val="00F5045B"/>
    <w:rsid w:val="00F90E0F"/>
    <w:rsid w:val="00F92321"/>
    <w:rsid w:val="00FA727E"/>
    <w:rsid w:val="00FF196E"/>
  </w:rsids>
  <m:mathPr>
    <m:mathFont m:val="Cambria Math"/>
    <m:brkBin m:val="before"/>
    <m:brkBinSub m:val="--"/>
    <m:smallFrac m:val="0"/>
    <m:dispDef/>
    <m:lMargin m:val="0"/>
    <m:rMargin m:val="0"/>
    <m:defJc m:val="centerGroup"/>
    <m:wrapIndent m:val="1440"/>
    <m:intLim m:val="subSup"/>
    <m:naryLim m:val="undOvr"/>
  </m:mathPr>
  <w:attachedSchema w:val="http://schemas.microsoft.com/office/word/2003/wordmlhttp://schemas.microsoft.com/office/word/2003/wordmlurn:schemas-microsoft-com:office:smarttagsurn:schemas-microsoft-com:office:smarttag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3648B8EC-BC04-4255-9FEB-63E821D689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qFormat="1"/>
    <w:lsdException w:name="header" w:uiPriority="99"/>
    <w:lsdException w:name="caption" w:semiHidden="1" w:unhideWhenUsed="1" w:qFormat="1"/>
    <w:lsdException w:name="footnote reference"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rFonts w:cs="Angsana New"/>
      <w:sz w:val="22"/>
      <w:szCs w:val="24"/>
      <w:lang w:val="en-GB"/>
    </w:rPr>
  </w:style>
  <w:style w:type="paragraph" w:styleId="Heading1">
    <w:name w:val="heading 1"/>
    <w:basedOn w:val="Normal"/>
    <w:next w:val="Heading2"/>
    <w:qFormat/>
    <w:pPr>
      <w:keepNext/>
      <w:tabs>
        <w:tab w:val="left" w:pos="720"/>
      </w:tabs>
      <w:spacing w:before="240" w:after="120"/>
      <w:jc w:val="center"/>
      <w:outlineLvl w:val="0"/>
    </w:pPr>
    <w:rPr>
      <w:b/>
      <w:caps/>
    </w:rPr>
  </w:style>
  <w:style w:type="paragraph" w:styleId="Heading2">
    <w:name w:val="heading 2"/>
    <w:basedOn w:val="Normal"/>
    <w:next w:val="Normal"/>
    <w:qFormat/>
    <w:pPr>
      <w:keepNext/>
      <w:tabs>
        <w:tab w:val="left" w:pos="720"/>
      </w:tabs>
      <w:spacing w:before="120" w:after="120"/>
      <w:jc w:val="center"/>
      <w:outlineLvl w:val="1"/>
    </w:pPr>
    <w:rPr>
      <w:b/>
      <w:bCs/>
      <w:i/>
      <w:iCs/>
    </w:rPr>
  </w:style>
  <w:style w:type="paragraph" w:styleId="Heading3">
    <w:name w:val="heading 3"/>
    <w:basedOn w:val="Normal"/>
    <w:next w:val="Normal"/>
    <w:qFormat/>
    <w:pPr>
      <w:keepNext/>
      <w:tabs>
        <w:tab w:val="left" w:pos="567"/>
      </w:tabs>
      <w:spacing w:before="120" w:after="120"/>
      <w:jc w:val="center"/>
      <w:outlineLvl w:val="2"/>
    </w:pPr>
    <w:rPr>
      <w:i/>
      <w:iCs/>
    </w:rPr>
  </w:style>
  <w:style w:type="paragraph" w:styleId="Heading4">
    <w:name w:val="heading 4"/>
    <w:basedOn w:val="Normal"/>
    <w:qFormat/>
    <w:pPr>
      <w:keepNext/>
      <w:spacing w:before="120" w:after="120"/>
      <w:outlineLvl w:val="3"/>
    </w:pPr>
    <w:rPr>
      <w:rFonts w:eastAsia="Univers" w:cs="Arial"/>
      <w:b/>
      <w:bCs/>
      <w:i/>
      <w:iCs/>
    </w:rPr>
  </w:style>
  <w:style w:type="paragraph" w:styleId="Heading5">
    <w:name w:val="heading 5"/>
    <w:aliases w:val="Heading 5 - GTI"/>
    <w:basedOn w:val="Normal"/>
    <w:next w:val="Normal"/>
    <w:qFormat/>
    <w:pPr>
      <w:keepNext/>
      <w:numPr>
        <w:ilvl w:val="4"/>
        <w:numId w:val="10"/>
      </w:numPr>
      <w:spacing w:before="120" w:after="120"/>
      <w:jc w:val="left"/>
      <w:outlineLvl w:val="4"/>
    </w:pPr>
    <w:rPr>
      <w:bCs/>
      <w:i/>
      <w:szCs w:val="26"/>
      <w:lang w:val="en-CA"/>
    </w:rPr>
  </w:style>
  <w:style w:type="paragraph" w:styleId="Heading6">
    <w:name w:val="heading 6"/>
    <w:basedOn w:val="Normal"/>
    <w:next w:val="Normal"/>
    <w:qFormat/>
    <w:pPr>
      <w:keepNext/>
      <w:spacing w:after="240" w:line="240" w:lineRule="exact"/>
      <w:ind w:left="720"/>
      <w:outlineLvl w:val="5"/>
    </w:pPr>
    <w:rPr>
      <w:u w:val="single"/>
    </w:rPr>
  </w:style>
  <w:style w:type="paragraph" w:styleId="Heading7">
    <w:name w:val="heading 7"/>
    <w:basedOn w:val="Normal"/>
    <w:next w:val="Normal"/>
    <w:qFormat/>
    <w:pPr>
      <w:keepNext/>
      <w:jc w:val="right"/>
      <w:outlineLvl w:val="6"/>
    </w:pPr>
    <w:rPr>
      <w:rFonts w:ascii="Univers" w:hAnsi="Univers"/>
      <w:b/>
      <w:sz w:val="28"/>
    </w:rPr>
  </w:style>
  <w:style w:type="paragraph" w:styleId="Heading8">
    <w:name w:val="heading 8"/>
    <w:basedOn w:val="Normal"/>
    <w:next w:val="Normal"/>
    <w:qFormat/>
    <w:pPr>
      <w:keepNext/>
      <w:jc w:val="right"/>
      <w:outlineLvl w:val="7"/>
    </w:pPr>
    <w:rPr>
      <w:rFonts w:ascii="Univers" w:hAnsi="Univers"/>
      <w:b/>
      <w:sz w:val="32"/>
    </w:rPr>
  </w:style>
  <w:style w:type="paragraph" w:styleId="Heading9">
    <w:name w:val="heading 9"/>
    <w:basedOn w:val="Normal"/>
    <w:next w:val="Normal"/>
    <w:qFormat/>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Pr>
      <w:rFonts w:cs="Times New Roman"/>
      <w:sz w:val="16"/>
      <w:szCs w:val="16"/>
    </w:rPr>
  </w:style>
  <w:style w:type="character" w:customStyle="1" w:styleId="CharChar2">
    <w:name w:val="Char Char2"/>
    <w:semiHidden/>
    <w:locked/>
    <w:rPr>
      <w:rFonts w:ascii="Times New Roman" w:hAnsi="Times New Roman"/>
      <w:sz w:val="18"/>
    </w:rPr>
  </w:style>
  <w:style w:type="paragraph" w:styleId="BodyText">
    <w:name w:val="Body Text"/>
    <w:basedOn w:val="Normal"/>
    <w:pPr>
      <w:spacing w:before="120" w:after="120"/>
      <w:ind w:firstLine="720"/>
    </w:pPr>
    <w:rPr>
      <w:iCs/>
    </w:rPr>
  </w:style>
  <w:style w:type="paragraph" w:styleId="Footer">
    <w:name w:val="footer"/>
    <w:basedOn w:val="Normal"/>
    <w:pPr>
      <w:tabs>
        <w:tab w:val="center" w:pos="4320"/>
        <w:tab w:val="right" w:pos="8640"/>
      </w:tabs>
      <w:ind w:firstLine="720"/>
      <w:jc w:val="right"/>
    </w:pPr>
  </w:style>
  <w:style w:type="paragraph" w:customStyle="1" w:styleId="Para1">
    <w:name w:val="Para1"/>
    <w:basedOn w:val="Normal"/>
    <w:pPr>
      <w:numPr>
        <w:numId w:val="15"/>
      </w:numPr>
      <w:spacing w:after="120"/>
    </w:pPr>
    <w:rPr>
      <w:snapToGrid w:val="0"/>
      <w:szCs w:val="18"/>
    </w:rPr>
  </w:style>
  <w:style w:type="paragraph" w:customStyle="1" w:styleId="Para20">
    <w:name w:val="Para2"/>
    <w:basedOn w:val="Para1"/>
    <w:pPr>
      <w:numPr>
        <w:numId w:val="0"/>
      </w:numPr>
      <w:autoSpaceDE w:val="0"/>
      <w:autoSpaceDN w:val="0"/>
    </w:pPr>
  </w:style>
  <w:style w:type="paragraph" w:customStyle="1" w:styleId="Para3">
    <w:name w:val="Para3"/>
    <w:basedOn w:val="Normal"/>
    <w:pPr>
      <w:numPr>
        <w:ilvl w:val="2"/>
        <w:numId w:val="15"/>
      </w:numPr>
      <w:tabs>
        <w:tab w:val="left" w:pos="1980"/>
      </w:tabs>
      <w:spacing w:before="80" w:after="80"/>
    </w:pPr>
    <w:rPr>
      <w:szCs w:val="20"/>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qFormat/>
    <w:pPr>
      <w:keepLines/>
      <w:spacing w:after="60"/>
      <w:ind w:firstLine="720"/>
    </w:pPr>
    <w:rPr>
      <w:rFonts w:cs="Times New Roman"/>
      <w:sz w:val="18"/>
      <w:lang w:eastAsia="x-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qFormat/>
    <w:rPr>
      <w:rFonts w:cs="Times New Roman"/>
      <w:sz w:val="18"/>
      <w:u w:val="single"/>
      <w:vertAlign w:val="baseline"/>
    </w:rPr>
  </w:style>
  <w:style w:type="paragraph" w:customStyle="1" w:styleId="Cornernotation">
    <w:name w:val="Corner notation"/>
    <w:basedOn w:val="Normal"/>
    <w:pPr>
      <w:ind w:left="284" w:right="4398" w:hanging="284"/>
      <w:jc w:val="left"/>
    </w:pPr>
  </w:style>
  <w:style w:type="paragraph" w:customStyle="1" w:styleId="para2">
    <w:name w:val="para2"/>
    <w:basedOn w:val="Normal"/>
    <w:pPr>
      <w:numPr>
        <w:numId w:val="14"/>
      </w:numPr>
      <w:spacing w:before="120" w:after="120"/>
    </w:pPr>
    <w:rPr>
      <w:szCs w:val="20"/>
    </w:rPr>
  </w:style>
  <w:style w:type="paragraph" w:customStyle="1" w:styleId="Paranum">
    <w:name w:val="Paranum"/>
    <w:basedOn w:val="Para1"/>
    <w:pPr>
      <w:numPr>
        <w:numId w:val="17"/>
      </w:numPr>
      <w:spacing w:line="240" w:lineRule="exact"/>
    </w:pPr>
    <w:rPr>
      <w:snapToGrid/>
      <w:szCs w:val="20"/>
      <w:lang w:val="en-US"/>
    </w:rPr>
  </w:style>
  <w:style w:type="paragraph" w:styleId="EndnoteText">
    <w:name w:val="endnote text"/>
    <w:basedOn w:val="Normal"/>
    <w:semiHidden/>
    <w:pPr>
      <w:widowControl w:val="0"/>
      <w:tabs>
        <w:tab w:val="left" w:pos="-720"/>
      </w:tabs>
      <w:suppressAutoHyphens/>
    </w:pPr>
    <w:rPr>
      <w:rFonts w:ascii="Courier New" w:hAnsi="Courier New"/>
    </w:rPr>
  </w:style>
  <w:style w:type="character" w:styleId="EndnoteReference">
    <w:name w:val="endnote reference"/>
    <w:semiHidden/>
    <w:locked/>
    <w:rPr>
      <w:rFonts w:cs="Times New Roman"/>
      <w:vertAlign w:val="superscript"/>
    </w:rPr>
  </w:style>
  <w:style w:type="character" w:styleId="PageNumber">
    <w:name w:val="page number"/>
    <w:rPr>
      <w:rFonts w:ascii="Times New Roman" w:hAnsi="Times New Roman" w:cs="Times New Roman"/>
      <w:sz w:val="22"/>
    </w:rPr>
  </w:style>
  <w:style w:type="paragraph" w:customStyle="1" w:styleId="para4">
    <w:name w:val="para4"/>
    <w:basedOn w:val="Normal"/>
    <w:pPr>
      <w:numPr>
        <w:ilvl w:val="3"/>
        <w:numId w:val="16"/>
      </w:numPr>
      <w:overflowPunct w:val="0"/>
      <w:autoSpaceDE w:val="0"/>
      <w:autoSpaceDN w:val="0"/>
      <w:adjustRightInd w:val="0"/>
      <w:spacing w:after="120" w:line="240" w:lineRule="atLeast"/>
      <w:textAlignment w:val="baseline"/>
    </w:pPr>
    <w:rPr>
      <w:color w:val="000000"/>
      <w:sz w:val="20"/>
      <w:szCs w:val="20"/>
    </w:rPr>
  </w:style>
  <w:style w:type="paragraph" w:customStyle="1" w:styleId="Heading1multiline">
    <w:name w:val="Heading 1 (multiline)"/>
    <w:basedOn w:val="Heading1"/>
    <w:pPr>
      <w:ind w:left="1843" w:right="996" w:hanging="567"/>
      <w:jc w:val="left"/>
    </w:pPr>
  </w:style>
  <w:style w:type="paragraph" w:customStyle="1" w:styleId="Heading2multiline">
    <w:name w:val="Heading 2 (multiline)"/>
    <w:basedOn w:val="Heading1"/>
    <w:next w:val="Normal"/>
    <w:pPr>
      <w:spacing w:before="120"/>
      <w:ind w:left="1843" w:right="998" w:hanging="567"/>
      <w:jc w:val="left"/>
    </w:pPr>
    <w:rPr>
      <w:i/>
      <w:iCs/>
      <w:caps w:val="0"/>
    </w:rPr>
  </w:style>
  <w:style w:type="paragraph" w:customStyle="1" w:styleId="Heading3multiline">
    <w:name w:val="Heading 3 (multiline)"/>
    <w:basedOn w:val="Heading3"/>
    <w:next w:val="Normal"/>
    <w:pPr>
      <w:ind w:left="1418" w:hanging="425"/>
      <w:jc w:val="left"/>
    </w:pPr>
  </w:style>
  <w:style w:type="paragraph" w:customStyle="1" w:styleId="Heading2longmultiline">
    <w:name w:val="Heading 2 (long multiline)"/>
    <w:basedOn w:val="Heading2multiline"/>
    <w:pPr>
      <w:ind w:left="2127" w:hanging="1276"/>
    </w:pPr>
  </w:style>
  <w:style w:type="paragraph" w:customStyle="1" w:styleId="Heading1longmultiline">
    <w:name w:val="Heading 1 (long multiline)"/>
    <w:basedOn w:val="Heading1"/>
    <w:pPr>
      <w:ind w:left="1843" w:hanging="1134"/>
      <w:jc w:val="left"/>
    </w:pPr>
  </w:style>
  <w:style w:type="paragraph" w:styleId="BodyTextIndent">
    <w:name w:val="Body Text Indent"/>
    <w:basedOn w:val="Normal"/>
    <w:pPr>
      <w:spacing w:before="120" w:after="120"/>
      <w:ind w:left="1440" w:hanging="720"/>
      <w:jc w:val="left"/>
    </w:pPr>
  </w:style>
  <w:style w:type="paragraph" w:customStyle="1" w:styleId="Heading-plainbold">
    <w:name w:val="Heading-plain bold"/>
    <w:basedOn w:val="BodyText"/>
    <w:pPr>
      <w:ind w:firstLine="0"/>
      <w:jc w:val="center"/>
    </w:pPr>
    <w:rPr>
      <w:b/>
      <w:bCs/>
      <w:i/>
      <w:iCs w:val="0"/>
    </w:rPr>
  </w:style>
  <w:style w:type="paragraph" w:customStyle="1" w:styleId="Heading-plainitalic">
    <w:name w:val="Heading-plain italic"/>
    <w:basedOn w:val="Heading-plainbold"/>
    <w:rPr>
      <w:b w:val="0"/>
      <w:bCs w:val="0"/>
    </w:rPr>
  </w:style>
  <w:style w:type="paragraph" w:styleId="TOC1">
    <w:name w:val="toc 1"/>
    <w:basedOn w:val="Normal"/>
    <w:next w:val="Normal"/>
    <w:autoRedefine/>
    <w:semiHidden/>
    <w:pPr>
      <w:tabs>
        <w:tab w:val="left" w:pos="1440"/>
        <w:tab w:val="right" w:leader="dot" w:pos="9360"/>
      </w:tabs>
      <w:spacing w:after="120"/>
      <w:ind w:left="1440" w:right="540" w:hanging="1440"/>
      <w:jc w:val="left"/>
    </w:pPr>
    <w:rPr>
      <w:noProof/>
      <w:szCs w:val="22"/>
      <w:lang w:val="en-US"/>
    </w:rPr>
  </w:style>
  <w:style w:type="paragraph" w:styleId="TOC2">
    <w:name w:val="toc 2"/>
    <w:basedOn w:val="Normal"/>
    <w:next w:val="Normal"/>
    <w:autoRedefine/>
    <w:semiHidden/>
    <w:pPr>
      <w:tabs>
        <w:tab w:val="left" w:pos="2700"/>
        <w:tab w:val="right" w:leader="dot" w:pos="9360"/>
      </w:tabs>
      <w:ind w:left="2160" w:right="720" w:hanging="1260"/>
    </w:pPr>
    <w:rPr>
      <w:noProof/>
      <w:szCs w:val="22"/>
      <w:lang w:val="en-US"/>
    </w:rPr>
  </w:style>
  <w:style w:type="paragraph" w:styleId="TOC3">
    <w:name w:val="toc 3"/>
    <w:basedOn w:val="Normal"/>
    <w:next w:val="Normal"/>
    <w:autoRedefine/>
    <w:semiHidden/>
    <w:pPr>
      <w:ind w:left="2160" w:hanging="720"/>
    </w:pPr>
  </w:style>
  <w:style w:type="paragraph" w:styleId="Header">
    <w:name w:val="header"/>
    <w:basedOn w:val="Normal"/>
    <w:link w:val="HeaderChar"/>
    <w:uiPriority w:val="99"/>
    <w:pPr>
      <w:tabs>
        <w:tab w:val="center" w:pos="4320"/>
        <w:tab w:val="right" w:pos="8640"/>
      </w:tabs>
    </w:pPr>
    <w:rPr>
      <w:rFonts w:cs="Times New Roman"/>
      <w:lang w:eastAsia="x-none"/>
    </w:rPr>
  </w:style>
  <w:style w:type="paragraph" w:customStyle="1" w:styleId="HEADINGNOTFORTOC">
    <w:name w:val="HEADING (NOT FOR TOC)"/>
    <w:basedOn w:val="Heading1"/>
    <w:next w:val="Heading2"/>
  </w:style>
  <w:style w:type="character" w:customStyle="1" w:styleId="Document5">
    <w:name w:val="Document 5"/>
    <w:rPr>
      <w:rFonts w:cs="Times New Roman"/>
    </w:rPr>
  </w:style>
  <w:style w:type="paragraph" w:customStyle="1" w:styleId="Paragraph">
    <w:name w:val="Paragraph"/>
    <w:basedOn w:val="Normal"/>
    <w:pPr>
      <w:spacing w:before="120" w:after="120"/>
    </w:pPr>
  </w:style>
  <w:style w:type="character" w:styleId="Hyperlink">
    <w:name w:val="Hyperlink"/>
    <w:rPr>
      <w:rFonts w:cs="Times New Roman"/>
      <w:color w:val="0000FF"/>
      <w:u w:val="single"/>
    </w:rPr>
  </w:style>
  <w:style w:type="paragraph" w:styleId="BodyTextIndent2">
    <w:name w:val="Body Text Indent 2"/>
    <w:basedOn w:val="Normal"/>
    <w:pPr>
      <w:ind w:firstLine="720"/>
    </w:pPr>
  </w:style>
  <w:style w:type="paragraph" w:customStyle="1" w:styleId="bodytextnoindent">
    <w:name w:val="body text (no indent)"/>
    <w:basedOn w:val="Normal"/>
    <w:pPr>
      <w:widowControl w:val="0"/>
      <w:overflowPunct w:val="0"/>
      <w:autoSpaceDE w:val="0"/>
      <w:autoSpaceDN w:val="0"/>
      <w:adjustRightInd w:val="0"/>
      <w:spacing w:before="120" w:after="120"/>
      <w:textAlignment w:val="baseline"/>
    </w:pPr>
    <w:rPr>
      <w:szCs w:val="20"/>
    </w:rPr>
  </w:style>
  <w:style w:type="paragraph" w:styleId="BodyText2">
    <w:name w:val="Body Text 2"/>
    <w:basedOn w:val="Normal"/>
    <w:rPr>
      <w:i/>
      <w:iCs/>
    </w:rPr>
  </w:style>
  <w:style w:type="paragraph" w:styleId="BodyText3">
    <w:name w:val="Body Text 3"/>
    <w:basedOn w:val="Normal"/>
    <w:pPr>
      <w:jc w:val="center"/>
    </w:pPr>
    <w:rPr>
      <w:sz w:val="28"/>
    </w:rPr>
  </w:style>
  <w:style w:type="character" w:customStyle="1" w:styleId="BodyTextChar">
    <w:name w:val="Body Text Char"/>
    <w:rPr>
      <w:sz w:val="24"/>
      <w:lang w:val="en-GB"/>
    </w:rPr>
  </w:style>
  <w:style w:type="paragraph" w:customStyle="1" w:styleId="Bodytextitalic">
    <w:name w:val="Body text italic"/>
    <w:basedOn w:val="BodyText"/>
    <w:rPr>
      <w:i/>
      <w:iCs w:val="0"/>
    </w:rPr>
  </w:style>
  <w:style w:type="paragraph" w:customStyle="1" w:styleId="boxbody">
    <w:name w:val="boxbody"/>
    <w:basedOn w:val="Normal"/>
    <w:pPr>
      <w:spacing w:before="100" w:beforeAutospacing="1" w:after="100" w:afterAutospacing="1"/>
      <w:ind w:left="612" w:right="612"/>
    </w:pPr>
    <w:rPr>
      <w:rFonts w:eastAsia="Univers" w:cs="Times New Roman"/>
      <w:sz w:val="18"/>
      <w:szCs w:val="18"/>
    </w:rPr>
  </w:style>
  <w:style w:type="character" w:styleId="FollowedHyperlink">
    <w:name w:val="FollowedHyperlink"/>
    <w:rPr>
      <w:rFonts w:cs="Times New Roman"/>
      <w:color w:val="800080"/>
      <w:u w:val="single"/>
    </w:rPr>
  </w:style>
  <w:style w:type="paragraph" w:customStyle="1" w:styleId="HEADING">
    <w:name w:val="HEADING"/>
    <w:basedOn w:val="Normal"/>
    <w:pPr>
      <w:keepNext/>
      <w:tabs>
        <w:tab w:val="left" w:pos="426"/>
      </w:tabs>
      <w:spacing w:before="120" w:after="120"/>
      <w:jc w:val="center"/>
    </w:pPr>
    <w:rPr>
      <w:rFonts w:cs="Times New Roman"/>
      <w:b/>
      <w:bCs/>
      <w:caps/>
    </w:rPr>
  </w:style>
  <w:style w:type="paragraph" w:customStyle="1" w:styleId="Heading-plain">
    <w:name w:val="Heading - plain"/>
    <w:basedOn w:val="Heading2"/>
    <w:next w:val="BodyText"/>
    <w:pPr>
      <w:tabs>
        <w:tab w:val="clear" w:pos="720"/>
        <w:tab w:val="left" w:pos="900"/>
      </w:tabs>
    </w:pPr>
    <w:rPr>
      <w:rFonts w:eastAsia="Univers" w:cs="Times New Roman"/>
      <w:b w:val="0"/>
      <w:bCs w:val="0"/>
      <w:szCs w:val="20"/>
    </w:rPr>
  </w:style>
  <w:style w:type="paragraph" w:customStyle="1" w:styleId="Heading2noletter">
    <w:name w:val="Heading 2 (no letter)"/>
    <w:basedOn w:val="Heading2"/>
    <w:pPr>
      <w:tabs>
        <w:tab w:val="clear" w:pos="720"/>
      </w:tabs>
    </w:pPr>
    <w:rPr>
      <w:rFonts w:cs="Times New Roman"/>
    </w:rPr>
  </w:style>
  <w:style w:type="character" w:customStyle="1" w:styleId="Heading2CharChar">
    <w:name w:val="Heading 2 Char Char"/>
    <w:rPr>
      <w:rFonts w:ascii="Arial" w:hAnsi="Arial"/>
      <w:b/>
      <w:i/>
      <w:sz w:val="28"/>
      <w:lang w:val="en-US"/>
    </w:rPr>
  </w:style>
  <w:style w:type="paragraph" w:customStyle="1" w:styleId="Heading-plain0">
    <w:name w:val="Heading-plain"/>
    <w:basedOn w:val="Normal"/>
    <w:pPr>
      <w:spacing w:before="120" w:after="120"/>
      <w:jc w:val="center"/>
      <w:outlineLvl w:val="0"/>
    </w:pPr>
    <w:rPr>
      <w:i/>
      <w:szCs w:val="20"/>
    </w:rPr>
  </w:style>
  <w:style w:type="paragraph" w:styleId="NormalWeb">
    <w:name w:val="Normal (Web)"/>
    <w:basedOn w:val="Normal"/>
    <w:pPr>
      <w:spacing w:before="100" w:beforeAutospacing="1" w:after="100" w:afterAutospacing="1"/>
      <w:jc w:val="left"/>
    </w:pPr>
    <w:rPr>
      <w:color w:val="000000"/>
      <w:sz w:val="18"/>
      <w:szCs w:val="18"/>
      <w:lang w:val="en-US"/>
    </w:rPr>
  </w:style>
  <w:style w:type="paragraph" w:customStyle="1" w:styleId="Para10">
    <w:name w:val="Para 1"/>
    <w:basedOn w:val="BodyText"/>
    <w:pPr>
      <w:ind w:firstLine="0"/>
    </w:pPr>
    <w:rPr>
      <w:rFonts w:eastAsia="Univers"/>
      <w:bCs/>
      <w:iCs w:val="0"/>
      <w:szCs w:val="22"/>
    </w:rPr>
  </w:style>
  <w:style w:type="character" w:customStyle="1" w:styleId="Para1Char">
    <w:name w:val="Para 1 Char"/>
    <w:rPr>
      <w:rFonts w:eastAsia="Times New Roman"/>
      <w:sz w:val="22"/>
      <w:lang w:val="en-GB"/>
    </w:rPr>
  </w:style>
  <w:style w:type="paragraph" w:customStyle="1" w:styleId="Para2rev">
    <w:name w:val="Para 2 (rev)"/>
    <w:basedOn w:val="Normal"/>
    <w:pPr>
      <w:tabs>
        <w:tab w:val="num" w:pos="720"/>
      </w:tabs>
      <w:spacing w:after="120"/>
      <w:ind w:left="720" w:hanging="360"/>
    </w:pPr>
  </w:style>
  <w:style w:type="paragraph" w:customStyle="1" w:styleId="Paraofficial">
    <w:name w:val="Para official"/>
    <w:basedOn w:val="Normal"/>
    <w:pPr>
      <w:framePr w:hSpace="187" w:vSpace="187" w:wrap="notBeside" w:vAnchor="text" w:hAnchor="text" w:y="1"/>
      <w:numPr>
        <w:numId w:val="11"/>
      </w:numPr>
      <w:spacing w:before="240" w:after="240"/>
      <w:jc w:val="left"/>
    </w:pPr>
    <w:rPr>
      <w:szCs w:val="20"/>
    </w:rPr>
  </w:style>
  <w:style w:type="paragraph" w:customStyle="1" w:styleId="Para1Char0">
    <w:name w:val="Para1 Char"/>
    <w:basedOn w:val="Normal"/>
    <w:pPr>
      <w:tabs>
        <w:tab w:val="num" w:pos="720"/>
      </w:tabs>
      <w:spacing w:before="120" w:after="120"/>
      <w:ind w:left="360"/>
    </w:pPr>
    <w:rPr>
      <w:snapToGrid w:val="0"/>
      <w:szCs w:val="18"/>
    </w:rPr>
  </w:style>
  <w:style w:type="paragraph" w:customStyle="1" w:styleId="Para1-Annex">
    <w:name w:val="Para1-Annex"/>
    <w:basedOn w:val="Normal"/>
    <w:pPr>
      <w:numPr>
        <w:numId w:val="13"/>
      </w:numPr>
      <w:spacing w:after="120"/>
    </w:pPr>
    <w:rPr>
      <w:rFonts w:cs="Times New Roman"/>
      <w:szCs w:val="22"/>
      <w:lang w:val="en-US"/>
    </w:rPr>
  </w:style>
  <w:style w:type="paragraph" w:customStyle="1" w:styleId="Para40">
    <w:name w:val="Para4"/>
    <w:basedOn w:val="Para3"/>
    <w:pPr>
      <w:numPr>
        <w:ilvl w:val="0"/>
        <w:numId w:val="0"/>
      </w:numPr>
      <w:tabs>
        <w:tab w:val="clear" w:pos="1980"/>
        <w:tab w:val="left" w:pos="2552"/>
        <w:tab w:val="num" w:pos="3540"/>
      </w:tabs>
      <w:ind w:left="2552" w:hanging="567"/>
    </w:pPr>
    <w:rPr>
      <w:lang w:val="en-US"/>
    </w:rPr>
  </w:style>
  <w:style w:type="character" w:styleId="Strong">
    <w:name w:val="Strong"/>
    <w:qFormat/>
    <w:rPr>
      <w:rFonts w:cs="Times New Roman"/>
      <w:b/>
    </w:rPr>
  </w:style>
  <w:style w:type="paragraph" w:customStyle="1" w:styleId="StyleBodyTextTimesNewRoman11ptCharChar">
    <w:name w:val="Style Body Text + Times New Roman 11 pt Char Char"/>
    <w:basedOn w:val="BodyText"/>
    <w:rPr>
      <w:iCs w:val="0"/>
      <w:snapToGrid w:val="0"/>
      <w:color w:val="000000"/>
      <w:szCs w:val="22"/>
      <w:lang w:val="en-US"/>
    </w:rPr>
  </w:style>
  <w:style w:type="character" w:customStyle="1" w:styleId="StyleBodyTextTimesNewRoman11ptCharCharChar">
    <w:name w:val="Style Body Text + Times New Roman 11 pt Char Char Char"/>
    <w:rPr>
      <w:snapToGrid w:val="0"/>
      <w:color w:val="000000"/>
      <w:sz w:val="22"/>
      <w:lang w:val="en-US"/>
    </w:rPr>
  </w:style>
  <w:style w:type="paragraph" w:customStyle="1" w:styleId="StylePara1Firstline127cm">
    <w:name w:val="Style Para1 + First line:  1.27 cm"/>
    <w:basedOn w:val="Para1"/>
    <w:pPr>
      <w:numPr>
        <w:numId w:val="0"/>
      </w:numPr>
      <w:tabs>
        <w:tab w:val="num" w:pos="360"/>
      </w:tabs>
    </w:pPr>
    <w:rPr>
      <w:szCs w:val="20"/>
    </w:rPr>
  </w:style>
  <w:style w:type="paragraph" w:styleId="Title">
    <w:name w:val="Title"/>
    <w:basedOn w:val="Normal"/>
    <w:qFormat/>
    <w:pPr>
      <w:jc w:val="center"/>
    </w:pPr>
    <w:rPr>
      <w:i/>
      <w:iCs/>
    </w:rPr>
  </w:style>
  <w:style w:type="paragraph" w:styleId="TOC5">
    <w:name w:val="toc 5"/>
    <w:basedOn w:val="Normal"/>
    <w:next w:val="Normal"/>
    <w:autoRedefine/>
    <w:semiHidden/>
    <w:pPr>
      <w:ind w:left="880"/>
    </w:pPr>
  </w:style>
  <w:style w:type="character" w:styleId="CommentReference">
    <w:name w:val="annotation reference"/>
    <w:rPr>
      <w:rFonts w:cs="Times New Roman"/>
      <w:sz w:val="16"/>
    </w:rPr>
  </w:style>
  <w:style w:type="paragraph" w:styleId="CommentText">
    <w:name w:val="annotation text"/>
    <w:basedOn w:val="Normal"/>
    <w:rPr>
      <w:rFonts w:cs="Times New Roman"/>
      <w:sz w:val="20"/>
      <w:szCs w:val="20"/>
    </w:rPr>
  </w:style>
  <w:style w:type="character" w:customStyle="1" w:styleId="CharChar1">
    <w:name w:val="Char Char1"/>
    <w:locked/>
    <w:rPr>
      <w:lang w:val="en-GB"/>
    </w:rPr>
  </w:style>
  <w:style w:type="paragraph" w:styleId="ListParagraph">
    <w:name w:val="List Paragraph"/>
    <w:aliases w:val="Dot pt,Paragraphe de liste,List Paragraph12,MAIN CONTENT,List Paragraph2,Rec para,List Paragraph1,Recommendation,List Paragraph11,F5 List Paragraph,List Paragraph Char Char Char,Indicator Text,Colorful List - Accent 11"/>
    <w:basedOn w:val="Normal"/>
    <w:link w:val="ListParagraphChar"/>
    <w:uiPriority w:val="34"/>
    <w:qFormat/>
    <w:pPr>
      <w:ind w:left="720"/>
      <w:contextualSpacing/>
    </w:pPr>
  </w:style>
  <w:style w:type="paragraph" w:styleId="CommentSubject">
    <w:name w:val="annotation subject"/>
    <w:basedOn w:val="CommentText"/>
    <w:next w:val="CommentText"/>
    <w:rPr>
      <w:rFonts w:cs="Angsana New"/>
      <w:b/>
      <w:bCs/>
    </w:rPr>
  </w:style>
  <w:style w:type="character" w:customStyle="1" w:styleId="CharChar">
    <w:name w:val="Char Char"/>
    <w:locked/>
    <w:rPr>
      <w:b/>
      <w:lang w:val="en-GB"/>
    </w:rPr>
  </w:style>
  <w:style w:type="character" w:customStyle="1" w:styleId="tw4winMark">
    <w:name w:val="tw4winMark"/>
    <w:rPr>
      <w:rFonts w:ascii="Courier New" w:hAnsi="Courier New"/>
      <w:vanish/>
      <w:color w:val="800080"/>
      <w:sz w:val="24"/>
      <w:vertAlign w:val="subscript"/>
    </w:rPr>
  </w:style>
  <w:style w:type="character" w:customStyle="1" w:styleId="tw4winError">
    <w:name w:val="tw4winError"/>
    <w:rPr>
      <w:rFonts w:ascii="Courier New" w:hAnsi="Courier New"/>
      <w:color w:val="00FF00"/>
      <w:sz w:val="40"/>
    </w:rPr>
  </w:style>
  <w:style w:type="character" w:customStyle="1" w:styleId="tw4winTerm">
    <w:name w:val="tw4winTerm"/>
    <w:rPr>
      <w:color w:val="0000FF"/>
    </w:rPr>
  </w:style>
  <w:style w:type="character" w:customStyle="1" w:styleId="tw4winPopup">
    <w:name w:val="tw4winPopup"/>
    <w:rPr>
      <w:rFonts w:ascii="Courier New" w:hAnsi="Courier New"/>
      <w:noProof/>
      <w:color w:val="008000"/>
    </w:rPr>
  </w:style>
  <w:style w:type="character" w:customStyle="1" w:styleId="tw4winJump">
    <w:name w:val="tw4winJump"/>
    <w:rPr>
      <w:rFonts w:ascii="Courier New" w:hAnsi="Courier New"/>
      <w:noProof/>
      <w:color w:val="008080"/>
    </w:rPr>
  </w:style>
  <w:style w:type="character" w:customStyle="1" w:styleId="tw4winExternal">
    <w:name w:val="tw4winExternal"/>
    <w:rPr>
      <w:rFonts w:ascii="Courier New" w:hAnsi="Courier New"/>
      <w:noProof/>
      <w:color w:val="808080"/>
    </w:rPr>
  </w:style>
  <w:style w:type="character" w:customStyle="1" w:styleId="tw4winInternal">
    <w:name w:val="tw4winInternal"/>
    <w:rPr>
      <w:rFonts w:ascii="Courier New" w:hAnsi="Courier New"/>
      <w:noProof/>
      <w:color w:val="FF0000"/>
    </w:rPr>
  </w:style>
  <w:style w:type="character" w:customStyle="1" w:styleId="DONOTTRANSLATE">
    <w:name w:val="DO_NOT_TRANSLATE"/>
    <w:rPr>
      <w:rFonts w:ascii="Courier New" w:hAnsi="Courier New"/>
      <w:noProof/>
      <w:color w:val="800000"/>
    </w:rPr>
  </w:style>
  <w:style w:type="character" w:customStyle="1" w:styleId="HeaderChar">
    <w:name w:val="Header Char"/>
    <w:link w:val="Header"/>
    <w:uiPriority w:val="99"/>
    <w:rsid w:val="00660A89"/>
    <w:rPr>
      <w:rFonts w:cs="Angsana New"/>
      <w:sz w:val="22"/>
      <w:szCs w:val="24"/>
      <w:lang w:val="en-GB"/>
    </w:rPr>
  </w:style>
  <w:style w:type="paragraph" w:customStyle="1" w:styleId="Paraa">
    <w:name w:val="Para (a)"/>
    <w:basedOn w:val="Normal"/>
    <w:rsid w:val="005E6475"/>
    <w:pPr>
      <w:tabs>
        <w:tab w:val="num"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outlineLvl w:val="1"/>
    </w:pPr>
    <w:rPr>
      <w:rFonts w:cs="Times New Roman"/>
      <w:lang w:eastAsia="en-US"/>
    </w:rPr>
  </w:style>
  <w:style w:type="character" w:customStyle="1" w:styleId="shorttext">
    <w:name w:val="short_text"/>
    <w:rsid w:val="005E4552"/>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link w:val="FootnoteText"/>
    <w:rsid w:val="005E4552"/>
    <w:rPr>
      <w:rFonts w:cs="Angsana New"/>
      <w:sz w:val="18"/>
      <w:szCs w:val="24"/>
      <w:lang w:val="en-GB"/>
    </w:rPr>
  </w:style>
  <w:style w:type="character" w:customStyle="1" w:styleId="shorttext0">
    <w:name w:val="shorttext"/>
    <w:basedOn w:val="DefaultParagraphFont"/>
    <w:rsid w:val="009B7651"/>
  </w:style>
  <w:style w:type="character" w:customStyle="1" w:styleId="shorttext1">
    <w:name w:val="short_text1"/>
    <w:rsid w:val="009B7651"/>
    <w:rPr>
      <w:sz w:val="23"/>
      <w:szCs w:val="23"/>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rsid w:val="00495DEF"/>
    <w:pPr>
      <w:spacing w:after="160" w:line="240" w:lineRule="exact"/>
    </w:pPr>
    <w:rPr>
      <w:rFonts w:cs="Times New Roman"/>
      <w:sz w:val="18"/>
      <w:szCs w:val="20"/>
      <w:u w:val="single"/>
      <w:lang w:val="en-US"/>
    </w:rPr>
  </w:style>
  <w:style w:type="character" w:customStyle="1" w:styleId="ListParagraphChar">
    <w:name w:val="List Paragraph Char"/>
    <w:aliases w:val="Dot pt Char,Paragraphe de liste Char,List Paragraph12 Char,MAIN CONTENT Char,List Paragraph2 Char,Rec para Char,List Paragraph1 Char,Recommendation Char,List Paragraph11 Char,F5 List Paragraph Char,List Paragraph Char Char Char Char"/>
    <w:basedOn w:val="DefaultParagraphFont"/>
    <w:link w:val="ListParagraph"/>
    <w:uiPriority w:val="34"/>
    <w:qFormat/>
    <w:locked/>
    <w:rsid w:val="00495DEF"/>
    <w:rPr>
      <w:rFonts w:cs="Angsana New"/>
      <w:sz w:val="22"/>
      <w:szCs w:val="24"/>
      <w:lang w:val="en-GB"/>
    </w:rPr>
  </w:style>
  <w:style w:type="paragraph" w:customStyle="1" w:styleId="Default">
    <w:name w:val="Default"/>
    <w:rsid w:val="00495DEF"/>
    <w:pPr>
      <w:autoSpaceDE w:val="0"/>
      <w:autoSpaceDN w:val="0"/>
      <w:adjustRightInd w:val="0"/>
    </w:pPr>
    <w:rPr>
      <w:rFonts w:eastAsia="Times New Roman"/>
      <w:color w:val="000000"/>
      <w:sz w:val="24"/>
      <w:szCs w:val="24"/>
      <w:lang w:val="de-CH" w:eastAsia="de-CH"/>
    </w:rPr>
  </w:style>
  <w:style w:type="paragraph" w:customStyle="1" w:styleId="p1">
    <w:name w:val="p1"/>
    <w:basedOn w:val="Normal"/>
    <w:rsid w:val="00495DEF"/>
    <w:pPr>
      <w:jc w:val="left"/>
    </w:pPr>
    <w:rPr>
      <w:rFonts w:ascii="Helvetica" w:eastAsiaTheme="minorHAnsi" w:hAnsi="Helvetica" w:cs="Times New Roman"/>
      <w:color w:val="4E4D4C"/>
      <w:sz w:val="12"/>
      <w:szCs w:val="12"/>
      <w:lang w:val="en-US"/>
    </w:rPr>
  </w:style>
  <w:style w:type="character" w:customStyle="1" w:styleId="StyleFootnoteReferencenumberFootnoteReferenceSuperscript-EF1">
    <w:name w:val="Style Footnote ReferencenumberFootnote Reference Superscript-E F...1"/>
    <w:basedOn w:val="FootnoteReference"/>
    <w:rsid w:val="00495DEF"/>
    <w:rPr>
      <w:rFonts w:cs="Times New Roman"/>
      <w:kern w:val="22"/>
      <w:sz w:val="22"/>
      <w:u w:val="none"/>
      <w:vertAlign w:val="superscript"/>
    </w:rPr>
  </w:style>
  <w:style w:type="character" w:customStyle="1" w:styleId="st">
    <w:name w:val="st"/>
    <w:qFormat/>
    <w:rsid w:val="00495DEF"/>
  </w:style>
  <w:style w:type="character" w:customStyle="1" w:styleId="ng-binding">
    <w:name w:val="ng-binding"/>
    <w:rsid w:val="00495D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
      <w:marLeft w:val="0"/>
      <w:marRight w:val="0"/>
      <w:marTop w:val="0"/>
      <w:marBottom w:val="0"/>
      <w:divBdr>
        <w:top w:val="none" w:sz="0" w:space="0" w:color="auto"/>
        <w:left w:val="none" w:sz="0" w:space="0" w:color="auto"/>
        <w:bottom w:val="none" w:sz="0" w:space="0" w:color="auto"/>
        <w:right w:val="none" w:sz="0" w:space="0" w:color="auto"/>
      </w:divBdr>
      <w:divsChild>
        <w:div w:id="16">
          <w:marLeft w:val="0"/>
          <w:marRight w:val="0"/>
          <w:marTop w:val="0"/>
          <w:marBottom w:val="0"/>
          <w:divBdr>
            <w:top w:val="none" w:sz="0" w:space="0" w:color="auto"/>
            <w:left w:val="none" w:sz="0" w:space="0" w:color="auto"/>
            <w:bottom w:val="none" w:sz="0" w:space="0" w:color="auto"/>
            <w:right w:val="none" w:sz="0" w:space="0" w:color="auto"/>
          </w:divBdr>
          <w:divsChild>
            <w:div w:id="5">
              <w:marLeft w:val="0"/>
              <w:marRight w:val="0"/>
              <w:marTop w:val="0"/>
              <w:marBottom w:val="0"/>
              <w:divBdr>
                <w:top w:val="none" w:sz="0" w:space="0" w:color="auto"/>
                <w:left w:val="none" w:sz="0" w:space="0" w:color="auto"/>
                <w:bottom w:val="none" w:sz="0" w:space="0" w:color="auto"/>
                <w:right w:val="none" w:sz="0" w:space="0" w:color="auto"/>
              </w:divBdr>
              <w:divsChild>
                <w:div w:id="2">
                  <w:marLeft w:val="0"/>
                  <w:marRight w:val="0"/>
                  <w:marTop w:val="0"/>
                  <w:marBottom w:val="0"/>
                  <w:divBdr>
                    <w:top w:val="none" w:sz="0" w:space="0" w:color="auto"/>
                    <w:left w:val="none" w:sz="0" w:space="0" w:color="auto"/>
                    <w:bottom w:val="none" w:sz="0" w:space="0" w:color="auto"/>
                    <w:right w:val="none" w:sz="0" w:space="0" w:color="auto"/>
                  </w:divBdr>
                  <w:divsChild>
                    <w:div w:id="1">
                      <w:marLeft w:val="0"/>
                      <w:marRight w:val="0"/>
                      <w:marTop w:val="0"/>
                      <w:marBottom w:val="0"/>
                      <w:divBdr>
                        <w:top w:val="none" w:sz="0" w:space="0" w:color="auto"/>
                        <w:left w:val="none" w:sz="0" w:space="0" w:color="auto"/>
                        <w:bottom w:val="none" w:sz="0" w:space="0" w:color="auto"/>
                        <w:right w:val="none" w:sz="0" w:space="0" w:color="auto"/>
                      </w:divBdr>
                      <w:divsChild>
                        <w:div w:id="22">
                          <w:marLeft w:val="0"/>
                          <w:marRight w:val="0"/>
                          <w:marTop w:val="0"/>
                          <w:marBottom w:val="0"/>
                          <w:divBdr>
                            <w:top w:val="none" w:sz="0" w:space="0" w:color="auto"/>
                            <w:left w:val="none" w:sz="0" w:space="0" w:color="auto"/>
                            <w:bottom w:val="none" w:sz="0" w:space="0" w:color="auto"/>
                            <w:right w:val="none" w:sz="0" w:space="0" w:color="auto"/>
                          </w:divBdr>
                          <w:divsChild>
                            <w:div w:id="4">
                              <w:marLeft w:val="0"/>
                              <w:marRight w:val="0"/>
                              <w:marTop w:val="0"/>
                              <w:marBottom w:val="0"/>
                              <w:divBdr>
                                <w:top w:val="none" w:sz="0" w:space="0" w:color="auto"/>
                                <w:left w:val="none" w:sz="0" w:space="0" w:color="auto"/>
                                <w:bottom w:val="none" w:sz="0" w:space="0" w:color="auto"/>
                                <w:right w:val="none" w:sz="0" w:space="0" w:color="auto"/>
                              </w:divBdr>
                              <w:divsChild>
                                <w:div w:id="10">
                                  <w:marLeft w:val="0"/>
                                  <w:marRight w:val="0"/>
                                  <w:marTop w:val="0"/>
                                  <w:marBottom w:val="0"/>
                                  <w:divBdr>
                                    <w:top w:val="none" w:sz="0" w:space="0" w:color="auto"/>
                                    <w:left w:val="none" w:sz="0" w:space="0" w:color="auto"/>
                                    <w:bottom w:val="none" w:sz="0" w:space="0" w:color="auto"/>
                                    <w:right w:val="none" w:sz="0" w:space="0" w:color="auto"/>
                                  </w:divBdr>
                                  <w:divsChild>
                                    <w:div w:id="20">
                                      <w:marLeft w:val="0"/>
                                      <w:marRight w:val="0"/>
                                      <w:marTop w:val="0"/>
                                      <w:marBottom w:val="0"/>
                                      <w:divBdr>
                                        <w:top w:val="none" w:sz="0" w:space="0" w:color="auto"/>
                                        <w:left w:val="none" w:sz="0" w:space="0" w:color="auto"/>
                                        <w:bottom w:val="none" w:sz="0" w:space="0" w:color="auto"/>
                                        <w:right w:val="none" w:sz="0" w:space="0" w:color="auto"/>
                                      </w:divBdr>
                                      <w:divsChild>
                                        <w:div w:id="8">
                                          <w:marLeft w:val="0"/>
                                          <w:marRight w:val="0"/>
                                          <w:marTop w:val="0"/>
                                          <w:marBottom w:val="0"/>
                                          <w:divBdr>
                                            <w:top w:val="none" w:sz="0" w:space="0" w:color="auto"/>
                                            <w:left w:val="none" w:sz="0" w:space="0" w:color="auto"/>
                                            <w:bottom w:val="none" w:sz="0" w:space="0" w:color="auto"/>
                                            <w:right w:val="none" w:sz="0" w:space="0" w:color="auto"/>
                                          </w:divBdr>
                                          <w:divsChild>
                                            <w:div w:id="18">
                                              <w:marLeft w:val="0"/>
                                              <w:marRight w:val="0"/>
                                              <w:marTop w:val="0"/>
                                              <w:marBottom w:val="0"/>
                                              <w:divBdr>
                                                <w:top w:val="none" w:sz="0" w:space="0" w:color="auto"/>
                                                <w:left w:val="none" w:sz="0" w:space="0" w:color="auto"/>
                                                <w:bottom w:val="none" w:sz="0" w:space="0" w:color="auto"/>
                                                <w:right w:val="none" w:sz="0" w:space="0" w:color="auto"/>
                                              </w:divBdr>
                                              <w:divsChild>
                                                <w:div w:id="27">
                                                  <w:marLeft w:val="0"/>
                                                  <w:marRight w:val="0"/>
                                                  <w:marTop w:val="0"/>
                                                  <w:marBottom w:val="0"/>
                                                  <w:divBdr>
                                                    <w:top w:val="none" w:sz="0" w:space="0" w:color="auto"/>
                                                    <w:left w:val="none" w:sz="0" w:space="0" w:color="auto"/>
                                                    <w:bottom w:val="none" w:sz="0" w:space="0" w:color="auto"/>
                                                    <w:right w:val="none" w:sz="0" w:space="0" w:color="auto"/>
                                                  </w:divBdr>
                                                  <w:divsChild>
                                                    <w:div w:id="26">
                                                      <w:marLeft w:val="0"/>
                                                      <w:marRight w:val="0"/>
                                                      <w:marTop w:val="0"/>
                                                      <w:marBottom w:val="0"/>
                                                      <w:divBdr>
                                                        <w:top w:val="none" w:sz="0" w:space="0" w:color="auto"/>
                                                        <w:left w:val="none" w:sz="0" w:space="0" w:color="auto"/>
                                                        <w:bottom w:val="none" w:sz="0" w:space="0" w:color="auto"/>
                                                        <w:right w:val="none" w:sz="0" w:space="0" w:color="auto"/>
                                                      </w:divBdr>
                                                      <w:divsChild>
                                                        <w:div w:id="3">
                                                          <w:marLeft w:val="0"/>
                                                          <w:marRight w:val="0"/>
                                                          <w:marTop w:val="0"/>
                                                          <w:marBottom w:val="0"/>
                                                          <w:divBdr>
                                                            <w:top w:val="none" w:sz="0" w:space="0" w:color="auto"/>
                                                            <w:left w:val="none" w:sz="0" w:space="0" w:color="auto"/>
                                                            <w:bottom w:val="none" w:sz="0" w:space="0" w:color="auto"/>
                                                            <w:right w:val="none" w:sz="0" w:space="0" w:color="auto"/>
                                                          </w:divBdr>
                                                          <w:divsChild>
                                                            <w:div w:id="29">
                                                              <w:marLeft w:val="0"/>
                                                              <w:marRight w:val="150"/>
                                                              <w:marTop w:val="0"/>
                                                              <w:marBottom w:val="150"/>
                                                              <w:divBdr>
                                                                <w:top w:val="none" w:sz="0" w:space="0" w:color="auto"/>
                                                                <w:left w:val="none" w:sz="0" w:space="0" w:color="auto"/>
                                                                <w:bottom w:val="none" w:sz="0" w:space="0" w:color="auto"/>
                                                                <w:right w:val="none" w:sz="0" w:space="0" w:color="auto"/>
                                                              </w:divBdr>
                                                              <w:divsChild>
                                                                <w:div w:id="24">
                                                                  <w:marLeft w:val="0"/>
                                                                  <w:marRight w:val="0"/>
                                                                  <w:marTop w:val="0"/>
                                                                  <w:marBottom w:val="0"/>
                                                                  <w:divBdr>
                                                                    <w:top w:val="none" w:sz="0" w:space="0" w:color="auto"/>
                                                                    <w:left w:val="none" w:sz="0" w:space="0" w:color="auto"/>
                                                                    <w:bottom w:val="none" w:sz="0" w:space="0" w:color="auto"/>
                                                                    <w:right w:val="none" w:sz="0" w:space="0" w:color="auto"/>
                                                                  </w:divBdr>
                                                                  <w:divsChild>
                                                                    <w:div w:id="32">
                                                                      <w:marLeft w:val="0"/>
                                                                      <w:marRight w:val="0"/>
                                                                      <w:marTop w:val="0"/>
                                                                      <w:marBottom w:val="0"/>
                                                                      <w:divBdr>
                                                                        <w:top w:val="none" w:sz="0" w:space="0" w:color="auto"/>
                                                                        <w:left w:val="none" w:sz="0" w:space="0" w:color="auto"/>
                                                                        <w:bottom w:val="none" w:sz="0" w:space="0" w:color="auto"/>
                                                                        <w:right w:val="none" w:sz="0" w:space="0" w:color="auto"/>
                                                                      </w:divBdr>
                                                                      <w:divsChild>
                                                                        <w:div w:id="43">
                                                                          <w:marLeft w:val="0"/>
                                                                          <w:marRight w:val="0"/>
                                                                          <w:marTop w:val="0"/>
                                                                          <w:marBottom w:val="0"/>
                                                                          <w:divBdr>
                                                                            <w:top w:val="none" w:sz="0" w:space="0" w:color="auto"/>
                                                                            <w:left w:val="none" w:sz="0" w:space="0" w:color="auto"/>
                                                                            <w:bottom w:val="none" w:sz="0" w:space="0" w:color="auto"/>
                                                                            <w:right w:val="none" w:sz="0" w:space="0" w:color="auto"/>
                                                                          </w:divBdr>
                                                                          <w:divsChild>
                                                                            <w:div w:id="42">
                                                                              <w:marLeft w:val="0"/>
                                                                              <w:marRight w:val="0"/>
                                                                              <w:marTop w:val="0"/>
                                                                              <w:marBottom w:val="0"/>
                                                                              <w:divBdr>
                                                                                <w:top w:val="none" w:sz="0" w:space="0" w:color="auto"/>
                                                                                <w:left w:val="none" w:sz="0" w:space="0" w:color="auto"/>
                                                                                <w:bottom w:val="none" w:sz="0" w:space="0" w:color="auto"/>
                                                                                <w:right w:val="none" w:sz="0" w:space="0" w:color="auto"/>
                                                                              </w:divBdr>
                                                                              <w:divsChild>
                                                                                <w:div w:id="12">
                                                                                  <w:marLeft w:val="0"/>
                                                                                  <w:marRight w:val="0"/>
                                                                                  <w:marTop w:val="0"/>
                                                                                  <w:marBottom w:val="0"/>
                                                                                  <w:divBdr>
                                                                                    <w:top w:val="none" w:sz="0" w:space="0" w:color="auto"/>
                                                                                    <w:left w:val="none" w:sz="0" w:space="0" w:color="auto"/>
                                                                                    <w:bottom w:val="none" w:sz="0" w:space="0" w:color="auto"/>
                                                                                    <w:right w:val="none" w:sz="0" w:space="0" w:color="auto"/>
                                                                                  </w:divBdr>
                                                                                </w:div>
                                                                                <w:div w:id="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1">
      <w:marLeft w:val="0"/>
      <w:marRight w:val="0"/>
      <w:marTop w:val="0"/>
      <w:marBottom w:val="0"/>
      <w:divBdr>
        <w:top w:val="none" w:sz="0" w:space="0" w:color="auto"/>
        <w:left w:val="none" w:sz="0" w:space="0" w:color="auto"/>
        <w:bottom w:val="none" w:sz="0" w:space="0" w:color="auto"/>
        <w:right w:val="none" w:sz="0" w:space="0" w:color="auto"/>
      </w:divBdr>
      <w:divsChild>
        <w:div w:id="19">
          <w:marLeft w:val="0"/>
          <w:marRight w:val="0"/>
          <w:marTop w:val="0"/>
          <w:marBottom w:val="0"/>
          <w:divBdr>
            <w:top w:val="none" w:sz="0" w:space="0" w:color="auto"/>
            <w:left w:val="none" w:sz="0" w:space="0" w:color="auto"/>
            <w:bottom w:val="none" w:sz="0" w:space="0" w:color="auto"/>
            <w:right w:val="none" w:sz="0" w:space="0" w:color="auto"/>
          </w:divBdr>
          <w:divsChild>
            <w:div w:id="17">
              <w:marLeft w:val="0"/>
              <w:marRight w:val="0"/>
              <w:marTop w:val="0"/>
              <w:marBottom w:val="0"/>
              <w:divBdr>
                <w:top w:val="none" w:sz="0" w:space="0" w:color="auto"/>
                <w:left w:val="none" w:sz="0" w:space="0" w:color="auto"/>
                <w:bottom w:val="none" w:sz="0" w:space="0" w:color="auto"/>
                <w:right w:val="none" w:sz="0" w:space="0" w:color="auto"/>
              </w:divBdr>
              <w:divsChild>
                <w:div w:id="13">
                  <w:marLeft w:val="0"/>
                  <w:marRight w:val="0"/>
                  <w:marTop w:val="0"/>
                  <w:marBottom w:val="0"/>
                  <w:divBdr>
                    <w:top w:val="none" w:sz="0" w:space="0" w:color="auto"/>
                    <w:left w:val="none" w:sz="0" w:space="0" w:color="auto"/>
                    <w:bottom w:val="none" w:sz="0" w:space="0" w:color="auto"/>
                    <w:right w:val="none" w:sz="0" w:space="0" w:color="auto"/>
                  </w:divBdr>
                  <w:divsChild>
                    <w:div w:id="9">
                      <w:marLeft w:val="0"/>
                      <w:marRight w:val="0"/>
                      <w:marTop w:val="0"/>
                      <w:marBottom w:val="0"/>
                      <w:divBdr>
                        <w:top w:val="none" w:sz="0" w:space="0" w:color="auto"/>
                        <w:left w:val="none" w:sz="0" w:space="0" w:color="auto"/>
                        <w:bottom w:val="none" w:sz="0" w:space="0" w:color="auto"/>
                        <w:right w:val="none" w:sz="0" w:space="0" w:color="auto"/>
                      </w:divBdr>
                      <w:divsChild>
                        <w:div w:id="33">
                          <w:marLeft w:val="0"/>
                          <w:marRight w:val="0"/>
                          <w:marTop w:val="0"/>
                          <w:marBottom w:val="0"/>
                          <w:divBdr>
                            <w:top w:val="none" w:sz="0" w:space="0" w:color="auto"/>
                            <w:left w:val="none" w:sz="0" w:space="0" w:color="auto"/>
                            <w:bottom w:val="none" w:sz="0" w:space="0" w:color="auto"/>
                            <w:right w:val="none" w:sz="0" w:space="0" w:color="auto"/>
                          </w:divBdr>
                          <w:divsChild>
                            <w:div w:id="6">
                              <w:marLeft w:val="0"/>
                              <w:marRight w:val="0"/>
                              <w:marTop w:val="0"/>
                              <w:marBottom w:val="0"/>
                              <w:divBdr>
                                <w:top w:val="none" w:sz="0" w:space="0" w:color="auto"/>
                                <w:left w:val="none" w:sz="0" w:space="0" w:color="auto"/>
                                <w:bottom w:val="none" w:sz="0" w:space="0" w:color="auto"/>
                                <w:right w:val="none" w:sz="0" w:space="0" w:color="auto"/>
                              </w:divBdr>
                              <w:divsChild>
                                <w:div w:id="25">
                                  <w:marLeft w:val="0"/>
                                  <w:marRight w:val="0"/>
                                  <w:marTop w:val="0"/>
                                  <w:marBottom w:val="0"/>
                                  <w:divBdr>
                                    <w:top w:val="none" w:sz="0" w:space="0" w:color="auto"/>
                                    <w:left w:val="none" w:sz="0" w:space="0" w:color="auto"/>
                                    <w:bottom w:val="none" w:sz="0" w:space="0" w:color="auto"/>
                                    <w:right w:val="none" w:sz="0" w:space="0" w:color="auto"/>
                                  </w:divBdr>
                                  <w:divsChild>
                                    <w:div w:id="21">
                                      <w:marLeft w:val="0"/>
                                      <w:marRight w:val="0"/>
                                      <w:marTop w:val="0"/>
                                      <w:marBottom w:val="0"/>
                                      <w:divBdr>
                                        <w:top w:val="none" w:sz="0" w:space="0" w:color="auto"/>
                                        <w:left w:val="none" w:sz="0" w:space="0" w:color="auto"/>
                                        <w:bottom w:val="none" w:sz="0" w:space="0" w:color="auto"/>
                                        <w:right w:val="none" w:sz="0" w:space="0" w:color="auto"/>
                                      </w:divBdr>
                                      <w:divsChild>
                                        <w:div w:id="7">
                                          <w:marLeft w:val="0"/>
                                          <w:marRight w:val="0"/>
                                          <w:marTop w:val="0"/>
                                          <w:marBottom w:val="0"/>
                                          <w:divBdr>
                                            <w:top w:val="none" w:sz="0" w:space="0" w:color="auto"/>
                                            <w:left w:val="none" w:sz="0" w:space="0" w:color="auto"/>
                                            <w:bottom w:val="none" w:sz="0" w:space="0" w:color="auto"/>
                                            <w:right w:val="none" w:sz="0" w:space="0" w:color="auto"/>
                                          </w:divBdr>
                                          <w:divsChild>
                                            <w:div w:id="23">
                                              <w:marLeft w:val="0"/>
                                              <w:marRight w:val="0"/>
                                              <w:marTop w:val="0"/>
                                              <w:marBottom w:val="0"/>
                                              <w:divBdr>
                                                <w:top w:val="none" w:sz="0" w:space="0" w:color="auto"/>
                                                <w:left w:val="none" w:sz="0" w:space="0" w:color="auto"/>
                                                <w:bottom w:val="none" w:sz="0" w:space="0" w:color="auto"/>
                                                <w:right w:val="none" w:sz="0" w:space="0" w:color="auto"/>
                                              </w:divBdr>
                                              <w:divsChild>
                                                <w:div w:id="37">
                                                  <w:marLeft w:val="0"/>
                                                  <w:marRight w:val="0"/>
                                                  <w:marTop w:val="0"/>
                                                  <w:marBottom w:val="0"/>
                                                  <w:divBdr>
                                                    <w:top w:val="none" w:sz="0" w:space="0" w:color="auto"/>
                                                    <w:left w:val="none" w:sz="0" w:space="0" w:color="auto"/>
                                                    <w:bottom w:val="none" w:sz="0" w:space="0" w:color="auto"/>
                                                    <w:right w:val="none" w:sz="0" w:space="0" w:color="auto"/>
                                                  </w:divBdr>
                                                  <w:divsChild>
                                                    <w:div w:id="14">
                                                      <w:marLeft w:val="0"/>
                                                      <w:marRight w:val="0"/>
                                                      <w:marTop w:val="0"/>
                                                      <w:marBottom w:val="0"/>
                                                      <w:divBdr>
                                                        <w:top w:val="none" w:sz="0" w:space="0" w:color="auto"/>
                                                        <w:left w:val="none" w:sz="0" w:space="0" w:color="auto"/>
                                                        <w:bottom w:val="none" w:sz="0" w:space="0" w:color="auto"/>
                                                        <w:right w:val="none" w:sz="0" w:space="0" w:color="auto"/>
                                                      </w:divBdr>
                                                      <w:divsChild>
                                                        <w:div w:id="28">
                                                          <w:marLeft w:val="0"/>
                                                          <w:marRight w:val="0"/>
                                                          <w:marTop w:val="0"/>
                                                          <w:marBottom w:val="0"/>
                                                          <w:divBdr>
                                                            <w:top w:val="none" w:sz="0" w:space="0" w:color="auto"/>
                                                            <w:left w:val="none" w:sz="0" w:space="0" w:color="auto"/>
                                                            <w:bottom w:val="none" w:sz="0" w:space="0" w:color="auto"/>
                                                            <w:right w:val="none" w:sz="0" w:space="0" w:color="auto"/>
                                                          </w:divBdr>
                                                          <w:divsChild>
                                                            <w:div w:id="35">
                                                              <w:marLeft w:val="0"/>
                                                              <w:marRight w:val="150"/>
                                                              <w:marTop w:val="0"/>
                                                              <w:marBottom w:val="150"/>
                                                              <w:divBdr>
                                                                <w:top w:val="none" w:sz="0" w:space="0" w:color="auto"/>
                                                                <w:left w:val="none" w:sz="0" w:space="0" w:color="auto"/>
                                                                <w:bottom w:val="none" w:sz="0" w:space="0" w:color="auto"/>
                                                                <w:right w:val="none" w:sz="0" w:space="0" w:color="auto"/>
                                                              </w:divBdr>
                                                              <w:divsChild>
                                                                <w:div w:id="34">
                                                                  <w:marLeft w:val="0"/>
                                                                  <w:marRight w:val="0"/>
                                                                  <w:marTop w:val="0"/>
                                                                  <w:marBottom w:val="0"/>
                                                                  <w:divBdr>
                                                                    <w:top w:val="none" w:sz="0" w:space="0" w:color="auto"/>
                                                                    <w:left w:val="none" w:sz="0" w:space="0" w:color="auto"/>
                                                                    <w:bottom w:val="none" w:sz="0" w:space="0" w:color="auto"/>
                                                                    <w:right w:val="none" w:sz="0" w:space="0" w:color="auto"/>
                                                                  </w:divBdr>
                                                                  <w:divsChild>
                                                                    <w:div w:id="39">
                                                                      <w:marLeft w:val="0"/>
                                                                      <w:marRight w:val="0"/>
                                                                      <w:marTop w:val="0"/>
                                                                      <w:marBottom w:val="0"/>
                                                                      <w:divBdr>
                                                                        <w:top w:val="none" w:sz="0" w:space="0" w:color="auto"/>
                                                                        <w:left w:val="none" w:sz="0" w:space="0" w:color="auto"/>
                                                                        <w:bottom w:val="none" w:sz="0" w:space="0" w:color="auto"/>
                                                                        <w:right w:val="none" w:sz="0" w:space="0" w:color="auto"/>
                                                                      </w:divBdr>
                                                                      <w:divsChild>
                                                                        <w:div w:id="40">
                                                                          <w:marLeft w:val="0"/>
                                                                          <w:marRight w:val="0"/>
                                                                          <w:marTop w:val="0"/>
                                                                          <w:marBottom w:val="0"/>
                                                                          <w:divBdr>
                                                                            <w:top w:val="none" w:sz="0" w:space="0" w:color="auto"/>
                                                                            <w:left w:val="none" w:sz="0" w:space="0" w:color="auto"/>
                                                                            <w:bottom w:val="none" w:sz="0" w:space="0" w:color="auto"/>
                                                                            <w:right w:val="none" w:sz="0" w:space="0" w:color="auto"/>
                                                                          </w:divBdr>
                                                                          <w:divsChild>
                                                                            <w:div w:id="30">
                                                                              <w:marLeft w:val="0"/>
                                                                              <w:marRight w:val="0"/>
                                                                              <w:marTop w:val="0"/>
                                                                              <w:marBottom w:val="0"/>
                                                                              <w:divBdr>
                                                                                <w:top w:val="none" w:sz="0" w:space="0" w:color="auto"/>
                                                                                <w:left w:val="none" w:sz="0" w:space="0" w:color="auto"/>
                                                                                <w:bottom w:val="none" w:sz="0" w:space="0" w:color="auto"/>
                                                                                <w:right w:val="none" w:sz="0" w:space="0" w:color="auto"/>
                                                                              </w:divBdr>
                                                                              <w:divsChild>
                                                                                <w:div w:id="15">
                                                                                  <w:marLeft w:val="0"/>
                                                                                  <w:marRight w:val="0"/>
                                                                                  <w:marTop w:val="0"/>
                                                                                  <w:marBottom w:val="0"/>
                                                                                  <w:divBdr>
                                                                                    <w:top w:val="none" w:sz="0" w:space="0" w:color="auto"/>
                                                                                    <w:left w:val="none" w:sz="0" w:space="0" w:color="auto"/>
                                                                                    <w:bottom w:val="none" w:sz="0" w:space="0" w:color="auto"/>
                                                                                    <w:right w:val="none" w:sz="0" w:space="0" w:color="auto"/>
                                                                                  </w:divBdr>
                                                                                </w:div>
                                                                                <w:div w:id="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1">
      <w:marLeft w:val="0"/>
      <w:marRight w:val="0"/>
      <w:marTop w:val="0"/>
      <w:marBottom w:val="0"/>
      <w:divBdr>
        <w:top w:val="none" w:sz="0" w:space="0" w:color="auto"/>
        <w:left w:val="none" w:sz="0" w:space="0" w:color="auto"/>
        <w:bottom w:val="none" w:sz="0" w:space="0" w:color="auto"/>
        <w:right w:val="none" w:sz="0" w:space="0" w:color="auto"/>
      </w:divBdr>
    </w:div>
    <w:div w:id="39136042">
      <w:bodyDiv w:val="1"/>
      <w:marLeft w:val="0"/>
      <w:marRight w:val="0"/>
      <w:marTop w:val="0"/>
      <w:marBottom w:val="0"/>
      <w:divBdr>
        <w:top w:val="none" w:sz="0" w:space="0" w:color="auto"/>
        <w:left w:val="none" w:sz="0" w:space="0" w:color="auto"/>
        <w:bottom w:val="none" w:sz="0" w:space="0" w:color="auto"/>
        <w:right w:val="none" w:sz="0" w:space="0" w:color="auto"/>
      </w:divBdr>
      <w:divsChild>
        <w:div w:id="1838376493">
          <w:marLeft w:val="0"/>
          <w:marRight w:val="0"/>
          <w:marTop w:val="50"/>
          <w:marBottom w:val="0"/>
          <w:divBdr>
            <w:top w:val="none" w:sz="0" w:space="0" w:color="auto"/>
            <w:left w:val="none" w:sz="0" w:space="0" w:color="auto"/>
            <w:bottom w:val="none" w:sz="0" w:space="0" w:color="auto"/>
            <w:right w:val="none" w:sz="0" w:space="0" w:color="auto"/>
          </w:divBdr>
        </w:div>
        <w:div w:id="1879277250">
          <w:marLeft w:val="0"/>
          <w:marRight w:val="0"/>
          <w:marTop w:val="50"/>
          <w:marBottom w:val="0"/>
          <w:divBdr>
            <w:top w:val="none" w:sz="0" w:space="0" w:color="auto"/>
            <w:left w:val="none" w:sz="0" w:space="0" w:color="auto"/>
            <w:bottom w:val="none" w:sz="0" w:space="0" w:color="auto"/>
            <w:right w:val="none" w:sz="0" w:space="0" w:color="auto"/>
          </w:divBdr>
        </w:div>
      </w:divsChild>
    </w:div>
    <w:div w:id="904225146">
      <w:bodyDiv w:val="1"/>
      <w:marLeft w:val="0"/>
      <w:marRight w:val="0"/>
      <w:marTop w:val="0"/>
      <w:marBottom w:val="0"/>
      <w:divBdr>
        <w:top w:val="none" w:sz="0" w:space="0" w:color="auto"/>
        <w:left w:val="none" w:sz="0" w:space="0" w:color="auto"/>
        <w:bottom w:val="none" w:sz="0" w:space="0" w:color="auto"/>
        <w:right w:val="none" w:sz="0" w:space="0" w:color="auto"/>
      </w:divBdr>
      <w:divsChild>
        <w:div w:id="524757373">
          <w:marLeft w:val="0"/>
          <w:marRight w:val="0"/>
          <w:marTop w:val="50"/>
          <w:marBottom w:val="0"/>
          <w:divBdr>
            <w:top w:val="none" w:sz="0" w:space="0" w:color="auto"/>
            <w:left w:val="none" w:sz="0" w:space="0" w:color="auto"/>
            <w:bottom w:val="none" w:sz="0" w:space="0" w:color="auto"/>
            <w:right w:val="none" w:sz="0" w:space="0" w:color="auto"/>
          </w:divBdr>
        </w:div>
        <w:div w:id="1994601453">
          <w:marLeft w:val="0"/>
          <w:marRight w:val="0"/>
          <w:marTop w:val="50"/>
          <w:marBottom w:val="0"/>
          <w:divBdr>
            <w:top w:val="none" w:sz="0" w:space="0" w:color="auto"/>
            <w:left w:val="none" w:sz="0" w:space="0" w:color="auto"/>
            <w:bottom w:val="none" w:sz="0" w:space="0" w:color="auto"/>
            <w:right w:val="none" w:sz="0" w:space="0" w:color="auto"/>
          </w:divBdr>
        </w:div>
      </w:divsChild>
    </w:div>
    <w:div w:id="1013456821">
      <w:bodyDiv w:val="1"/>
      <w:marLeft w:val="0"/>
      <w:marRight w:val="0"/>
      <w:marTop w:val="0"/>
      <w:marBottom w:val="0"/>
      <w:divBdr>
        <w:top w:val="none" w:sz="0" w:space="0" w:color="auto"/>
        <w:left w:val="none" w:sz="0" w:space="0" w:color="auto"/>
        <w:bottom w:val="none" w:sz="0" w:space="0" w:color="auto"/>
        <w:right w:val="none" w:sz="0" w:space="0" w:color="auto"/>
      </w:divBdr>
      <w:divsChild>
        <w:div w:id="483740146">
          <w:marLeft w:val="0"/>
          <w:marRight w:val="0"/>
          <w:marTop w:val="50"/>
          <w:marBottom w:val="0"/>
          <w:divBdr>
            <w:top w:val="none" w:sz="0" w:space="0" w:color="auto"/>
            <w:left w:val="none" w:sz="0" w:space="0" w:color="auto"/>
            <w:bottom w:val="none" w:sz="0" w:space="0" w:color="auto"/>
            <w:right w:val="none" w:sz="0" w:space="0" w:color="auto"/>
          </w:divBdr>
        </w:div>
        <w:div w:id="777525219">
          <w:marLeft w:val="0"/>
          <w:marRight w:val="0"/>
          <w:marTop w:val="50"/>
          <w:marBottom w:val="0"/>
          <w:divBdr>
            <w:top w:val="none" w:sz="0" w:space="0" w:color="auto"/>
            <w:left w:val="none" w:sz="0" w:space="0" w:color="auto"/>
            <w:bottom w:val="none" w:sz="0" w:space="0" w:color="auto"/>
            <w:right w:val="none" w:sz="0" w:space="0" w:color="auto"/>
          </w:divBdr>
        </w:div>
        <w:div w:id="875197557">
          <w:marLeft w:val="0"/>
          <w:marRight w:val="0"/>
          <w:marTop w:val="50"/>
          <w:marBottom w:val="0"/>
          <w:divBdr>
            <w:top w:val="none" w:sz="0" w:space="0" w:color="auto"/>
            <w:left w:val="none" w:sz="0" w:space="0" w:color="auto"/>
            <w:bottom w:val="none" w:sz="0" w:space="0" w:color="auto"/>
            <w:right w:val="none" w:sz="0" w:space="0" w:color="auto"/>
          </w:divBdr>
        </w:div>
        <w:div w:id="1047097377">
          <w:marLeft w:val="0"/>
          <w:marRight w:val="0"/>
          <w:marTop w:val="50"/>
          <w:marBottom w:val="0"/>
          <w:divBdr>
            <w:top w:val="none" w:sz="0" w:space="0" w:color="auto"/>
            <w:left w:val="none" w:sz="0" w:space="0" w:color="auto"/>
            <w:bottom w:val="none" w:sz="0" w:space="0" w:color="auto"/>
            <w:right w:val="none" w:sz="0" w:space="0" w:color="auto"/>
          </w:divBdr>
        </w:div>
        <w:div w:id="1194810825">
          <w:marLeft w:val="0"/>
          <w:marRight w:val="0"/>
          <w:marTop w:val="50"/>
          <w:marBottom w:val="0"/>
          <w:divBdr>
            <w:top w:val="none" w:sz="0" w:space="0" w:color="auto"/>
            <w:left w:val="none" w:sz="0" w:space="0" w:color="auto"/>
            <w:bottom w:val="none" w:sz="0" w:space="0" w:color="auto"/>
            <w:right w:val="none" w:sz="0" w:space="0" w:color="auto"/>
          </w:divBdr>
        </w:div>
        <w:div w:id="1641379760">
          <w:marLeft w:val="0"/>
          <w:marRight w:val="0"/>
          <w:marTop w:val="50"/>
          <w:marBottom w:val="0"/>
          <w:divBdr>
            <w:top w:val="none" w:sz="0" w:space="0" w:color="auto"/>
            <w:left w:val="none" w:sz="0" w:space="0" w:color="auto"/>
            <w:bottom w:val="none" w:sz="0" w:space="0" w:color="auto"/>
            <w:right w:val="none" w:sz="0" w:space="0" w:color="auto"/>
          </w:divBdr>
        </w:div>
        <w:div w:id="1832020494">
          <w:marLeft w:val="0"/>
          <w:marRight w:val="0"/>
          <w:marTop w:val="50"/>
          <w:marBottom w:val="0"/>
          <w:divBdr>
            <w:top w:val="none" w:sz="0" w:space="0" w:color="auto"/>
            <w:left w:val="none" w:sz="0" w:space="0" w:color="auto"/>
            <w:bottom w:val="none" w:sz="0" w:space="0" w:color="auto"/>
            <w:right w:val="none" w:sz="0" w:space="0" w:color="auto"/>
          </w:divBdr>
        </w:div>
        <w:div w:id="1968201966">
          <w:marLeft w:val="0"/>
          <w:marRight w:val="0"/>
          <w:marTop w:val="0"/>
          <w:marBottom w:val="0"/>
          <w:divBdr>
            <w:top w:val="none" w:sz="0" w:space="0" w:color="auto"/>
            <w:left w:val="none" w:sz="0" w:space="0" w:color="auto"/>
            <w:bottom w:val="none" w:sz="0" w:space="0" w:color="auto"/>
            <w:right w:val="none" w:sz="0" w:space="0" w:color="auto"/>
          </w:divBdr>
          <w:divsChild>
            <w:div w:id="1522470182">
              <w:marLeft w:val="0"/>
              <w:marRight w:val="0"/>
              <w:marTop w:val="0"/>
              <w:marBottom w:val="0"/>
              <w:divBdr>
                <w:top w:val="none" w:sz="0" w:space="0" w:color="auto"/>
                <w:left w:val="none" w:sz="0" w:space="0" w:color="auto"/>
                <w:bottom w:val="none" w:sz="0" w:space="0" w:color="auto"/>
                <w:right w:val="none" w:sz="0" w:space="0" w:color="auto"/>
              </w:divBdr>
              <w:divsChild>
                <w:div w:id="1421948787">
                  <w:marLeft w:val="0"/>
                  <w:marRight w:val="0"/>
                  <w:marTop w:val="50"/>
                  <w:marBottom w:val="0"/>
                  <w:divBdr>
                    <w:top w:val="none" w:sz="0" w:space="0" w:color="auto"/>
                    <w:left w:val="none" w:sz="0" w:space="0" w:color="auto"/>
                    <w:bottom w:val="none" w:sz="0" w:space="0" w:color="auto"/>
                    <w:right w:val="none" w:sz="0" w:space="0" w:color="auto"/>
                  </w:divBdr>
                </w:div>
              </w:divsChild>
            </w:div>
          </w:divsChild>
        </w:div>
        <w:div w:id="1968392790">
          <w:marLeft w:val="0"/>
          <w:marRight w:val="0"/>
          <w:marTop w:val="5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cbd.int/doc/decisions/cop-13/cop-13-dec-15-zh.pdf"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ecision/cop/default.shtml?id=7107"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3" Type="http://schemas.openxmlformats.org/officeDocument/2006/relationships/hyperlink" Target="http://www.mma.gov.br/biomas/mata-atl%C3%A2ntica_emdesenvolvimento" TargetMode="External"/><Relationship Id="rId2" Type="http://schemas.openxmlformats.org/officeDocument/2006/relationships/hyperlink" Target="http://www.apimondia.com/" TargetMode="External"/><Relationship Id="rId1" Type="http://schemas.openxmlformats.org/officeDocument/2006/relationships/hyperlink" Target="http://undocs.org/a/res/72/23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CFF4AA-EE8F-4B8B-981E-18EFAC6739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15</Pages>
  <Words>2331</Words>
  <Characters>13290</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agenda</vt:lpstr>
    </vt:vector>
  </TitlesOfParts>
  <Company>SCBD</Company>
  <LinksUpToDate>false</LinksUpToDate>
  <CharactersWithSpaces>15590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agenda</dc:title>
  <dc:subject>UNEP/CBD/COP/13/CRP.</dc:subject>
  <dc:creator>SCBD</dc:creator>
  <cp:keywords/>
  <cp:lastModifiedBy>Chuansheng Li</cp:lastModifiedBy>
  <cp:revision>10</cp:revision>
  <cp:lastPrinted>2014-10-12T14:43:00Z</cp:lastPrinted>
  <dcterms:created xsi:type="dcterms:W3CDTF">2018-11-28T12:29:00Z</dcterms:created>
  <dcterms:modified xsi:type="dcterms:W3CDTF">2018-11-28T12:58:00Z</dcterms:modified>
</cp:coreProperties>
</file>