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1BFABBAB" w14:textId="77777777" w:rsidTr="008A1499">
        <w:trPr>
          <w:trHeight w:val="850"/>
        </w:trPr>
        <w:tc>
          <w:tcPr>
            <w:tcW w:w="975" w:type="dxa"/>
            <w:vAlign w:val="bottom"/>
          </w:tcPr>
          <w:p w14:paraId="2645F95C" w14:textId="77777777" w:rsidR="008A1499" w:rsidRPr="003F1A75" w:rsidRDefault="008A1499" w:rsidP="008A1499">
            <w:pPr>
              <w:pStyle w:val="AASmallLogo"/>
            </w:pPr>
            <w:r>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657BFD82" w14:textId="77777777" w:rsidR="008A1499" w:rsidRPr="003F1A75" w:rsidRDefault="008A1499" w:rsidP="008A1499">
            <w:pPr>
              <w:pStyle w:val="AASmallLogo"/>
            </w:pPr>
          </w:p>
        </w:tc>
        <w:tc>
          <w:tcPr>
            <w:tcW w:w="1434" w:type="dxa"/>
            <w:noWrap/>
            <w:vAlign w:val="bottom"/>
          </w:tcPr>
          <w:p w14:paraId="60B9622E" w14:textId="1E5FFB2B" w:rsidR="008A1499" w:rsidRPr="003F1A75" w:rsidRDefault="00496420" w:rsidP="008A1499">
            <w:pPr>
              <w:pStyle w:val="AASmallLogo"/>
            </w:pPr>
            <w:r w:rsidRPr="00765EC7">
              <w:rPr>
                <w:noProof/>
                <w:lang w:eastAsia="fr-FR"/>
              </w:rPr>
              <w:drawing>
                <wp:inline distT="0" distB="0" distL="0" distR="0" wp14:anchorId="633374B0" wp14:editId="48107C7F">
                  <wp:extent cx="593725" cy="340995"/>
                  <wp:effectExtent l="0" t="0" r="0" b="1905"/>
                  <wp:docPr id="278728325" name="Image 278728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8A1499">
              <w:t xml:space="preserve"> </w:t>
            </w:r>
          </w:p>
          <w:p w14:paraId="42F86583" w14:textId="77777777" w:rsidR="008A1499" w:rsidRPr="003F1A75" w:rsidRDefault="008A1499" w:rsidP="008A1499">
            <w:pPr>
              <w:pStyle w:val="AASmallLogo"/>
            </w:pPr>
          </w:p>
        </w:tc>
        <w:tc>
          <w:tcPr>
            <w:tcW w:w="8073" w:type="dxa"/>
            <w:vAlign w:val="bottom"/>
          </w:tcPr>
          <w:p w14:paraId="4E5B3485" w14:textId="65995CA2" w:rsidR="008A1499" w:rsidRPr="003F1A75" w:rsidRDefault="008A1499" w:rsidP="003F1A75">
            <w:pPr>
              <w:pStyle w:val="ABSymbol"/>
            </w:pPr>
            <w:r>
              <w:rPr>
                <w:sz w:val="40"/>
              </w:rPr>
              <w:t>CBD</w:t>
            </w:r>
            <w:r>
              <w:t>/NP/MOP/6/10</w:t>
            </w:r>
          </w:p>
        </w:tc>
      </w:tr>
    </w:tbl>
    <w:p w14:paraId="7CFE516E"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CF899BB" w14:textId="77777777" w:rsidTr="008A1499">
        <w:trPr>
          <w:trHeight w:val="1814"/>
        </w:trPr>
        <w:tc>
          <w:tcPr>
            <w:tcW w:w="7370" w:type="dxa"/>
          </w:tcPr>
          <w:p w14:paraId="4386DFA6" w14:textId="7D9873F6" w:rsidR="008A1499" w:rsidRPr="003F1A75" w:rsidRDefault="00496420" w:rsidP="008A1499">
            <w:pPr>
              <w:pStyle w:val="ACLargeLogo"/>
            </w:pPr>
            <w:r w:rsidRPr="00124D03">
              <w:rPr>
                <w:noProof/>
              </w:rPr>
              <w:drawing>
                <wp:inline distT="0" distB="0" distL="0" distR="0" wp14:anchorId="5CA5A82A" wp14:editId="5A314094">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t xml:space="preserve"> </w:t>
            </w:r>
          </w:p>
          <w:p w14:paraId="283EB25B" w14:textId="77777777" w:rsidR="008A1499" w:rsidRPr="003F1A75" w:rsidRDefault="008A1499" w:rsidP="008A1499">
            <w:pPr>
              <w:pStyle w:val="ACLargeLogo"/>
            </w:pPr>
          </w:p>
        </w:tc>
        <w:tc>
          <w:tcPr>
            <w:tcW w:w="3112" w:type="dxa"/>
          </w:tcPr>
          <w:p w14:paraId="084D18BD" w14:textId="34EBDE45" w:rsidR="008A1499" w:rsidRPr="003F1A75" w:rsidRDefault="008A1499" w:rsidP="008A1499">
            <w:pPr>
              <w:pStyle w:val="AEDistrNormal"/>
            </w:pPr>
            <w:r>
              <w:t>Distr.</w:t>
            </w:r>
            <w:r w:rsidR="008B288D">
              <w:t> :</w:t>
            </w:r>
            <w:r>
              <w:t xml:space="preserve"> générale </w:t>
            </w:r>
          </w:p>
          <w:p w14:paraId="10BACFAC" w14:textId="19E4D239" w:rsidR="008A1499" w:rsidRPr="003F1A75" w:rsidRDefault="0071398A" w:rsidP="008A1499">
            <w:pPr>
              <w:pStyle w:val="AEDistrNormal"/>
            </w:pPr>
            <w:r>
              <w:t>14 septembre 2026</w:t>
            </w:r>
          </w:p>
          <w:p w14:paraId="7D29400D" w14:textId="77777777" w:rsidR="006147E8" w:rsidRDefault="006147E8" w:rsidP="006147E8">
            <w:pPr>
              <w:pStyle w:val="AEDistrNormal6pt"/>
              <w:spacing w:before="0"/>
            </w:pPr>
            <w:r>
              <w:t>Français</w:t>
            </w:r>
          </w:p>
          <w:p w14:paraId="69BDB81F" w14:textId="36913EF6" w:rsidR="008A1499" w:rsidRPr="003F1A75" w:rsidRDefault="008A1499" w:rsidP="006147E8">
            <w:pPr>
              <w:pStyle w:val="AEDistrNormal6pt"/>
              <w:spacing w:before="0"/>
            </w:pPr>
            <w:r>
              <w:t xml:space="preserve">Original : anglais </w:t>
            </w:r>
          </w:p>
          <w:p w14:paraId="2E4D77C5" w14:textId="77777777" w:rsidR="008A1499" w:rsidRPr="003F1A75" w:rsidRDefault="008A1499" w:rsidP="008A1499">
            <w:pPr>
              <w:pStyle w:val="AEDistrNormal6pt"/>
            </w:pPr>
          </w:p>
        </w:tc>
      </w:tr>
    </w:tbl>
    <w:p w14:paraId="182E7A9F"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EA44BCF" w14:textId="77777777" w:rsidTr="008A1499">
        <w:trPr>
          <w:trHeight w:val="57"/>
        </w:trPr>
        <w:tc>
          <w:tcPr>
            <w:tcW w:w="6094" w:type="dxa"/>
          </w:tcPr>
          <w:p w14:paraId="4A22D797" w14:textId="77777777" w:rsidR="008A1499" w:rsidRPr="003F1A75" w:rsidRDefault="00975047" w:rsidP="008A1499">
            <w:pPr>
              <w:pStyle w:val="AFCorN12Bold"/>
            </w:pPr>
            <w:r>
              <w:t>Conférence des Parties à la Convention sur la diversité biologique siégeant en tant que réunion des Parties au Protocole de Nagoya sur l’accès aux ressources génétiques et le partage juste et équitable des avantages découlant de leur utilisation</w:t>
            </w:r>
          </w:p>
          <w:p w14:paraId="35B58DAE" w14:textId="77777777" w:rsidR="008A1499" w:rsidRPr="003F1A75" w:rsidRDefault="00975047" w:rsidP="008A1499">
            <w:pPr>
              <w:pStyle w:val="AFCorNBold"/>
            </w:pPr>
            <w:r>
              <w:t xml:space="preserve">Sixième réunion </w:t>
            </w:r>
          </w:p>
          <w:p w14:paraId="11090D2D" w14:textId="65E33578" w:rsidR="008A1499" w:rsidRPr="003F1A75" w:rsidRDefault="00975047" w:rsidP="008A1499">
            <w:pPr>
              <w:pStyle w:val="AFCorNNormal"/>
            </w:pPr>
            <w:r>
              <w:t>Erevan, 19</w:t>
            </w:r>
            <w:r w:rsidR="008B288D" w:rsidRPr="008B288D">
              <w:t>–</w:t>
            </w:r>
            <w:r>
              <w:t>30 octobre 2026</w:t>
            </w:r>
          </w:p>
          <w:p w14:paraId="234B3D55" w14:textId="2B5024A1" w:rsidR="008A1499" w:rsidRPr="003F1A75" w:rsidRDefault="008A1499" w:rsidP="008A1499">
            <w:pPr>
              <w:pStyle w:val="AFCorNNormal"/>
            </w:pPr>
            <w:r>
              <w:t>Point 12 de l’ordre du jour provisoire</w:t>
            </w:r>
            <w:r>
              <w:rPr>
                <w:rStyle w:val="FootnoteReference"/>
              </w:rPr>
              <w:footnoteReference w:customMarkFollows="1" w:id="1"/>
              <w:t>*</w:t>
            </w:r>
            <w:r>
              <w:t xml:space="preserve"> </w:t>
            </w:r>
          </w:p>
          <w:p w14:paraId="187CB262" w14:textId="1942209C" w:rsidR="008A1499" w:rsidRPr="003F1A75" w:rsidRDefault="0071221D" w:rsidP="008A1499">
            <w:pPr>
              <w:pStyle w:val="AFCorNBold"/>
            </w:pPr>
            <w:r>
              <w:t xml:space="preserve">Mécanisme multilatéral mondial de partage des avantages  </w:t>
            </w:r>
          </w:p>
        </w:tc>
        <w:tc>
          <w:tcPr>
            <w:tcW w:w="4388" w:type="dxa"/>
          </w:tcPr>
          <w:p w14:paraId="02D41E8A" w14:textId="77777777" w:rsidR="008A1499" w:rsidRPr="003F1A75" w:rsidRDefault="008A1499" w:rsidP="008A1499">
            <w:pPr>
              <w:pStyle w:val="CBDNormal"/>
              <w:jc w:val="left"/>
            </w:pPr>
          </w:p>
        </w:tc>
      </w:tr>
    </w:tbl>
    <w:p w14:paraId="1FFCF61B" w14:textId="13032F93" w:rsidR="00C9161D" w:rsidRPr="003F1A75" w:rsidRDefault="003A0C90" w:rsidP="00A111D1">
      <w:pPr>
        <w:pStyle w:val="CBDTitle"/>
        <w:rPr>
          <w:caps/>
        </w:rPr>
      </w:pPr>
      <w:sdt>
        <w:sdtPr>
          <w:alias w:val="Title"/>
          <w:tag w:val=""/>
          <w:id w:val="772832786"/>
          <w:placeholder>
            <w:docPart w:val="40EC2248A5B14DDD9BB0718D4EF8A48B"/>
          </w:placeholder>
          <w:dataBinding w:prefixMappings="xmlns:ns0='http://purl.org/dc/elements/1.1/' xmlns:ns1='http://schemas.openxmlformats.org/package/2006/metadata/core-properties' " w:xpath="/ns1:coreProperties[1]/ns0:title[1]" w:storeItemID="{6C3C8BC8-F283-45AE-878A-BAB7291924A1}"/>
          <w:text/>
        </w:sdtPr>
        <w:sdtEndPr/>
        <w:sdtContent>
          <w:r w:rsidR="00A968C5">
            <w:t>Mécanisme multilatéral mondial de partage des avantages</w:t>
          </w:r>
        </w:sdtContent>
      </w:sdt>
      <w:r w:rsidR="00A968C5">
        <w:rPr>
          <w:caps/>
        </w:rPr>
        <w:t xml:space="preserve"> </w:t>
      </w:r>
    </w:p>
    <w:p w14:paraId="467A333D" w14:textId="77777777" w:rsidR="00F6586C" w:rsidRPr="003F1A75" w:rsidRDefault="0030169D" w:rsidP="00A111D1">
      <w:pPr>
        <w:pStyle w:val="CBDSubTitle"/>
      </w:pPr>
      <w:r>
        <w:t>Note du Secrétariat</w:t>
      </w:r>
    </w:p>
    <w:p w14:paraId="590C854C" w14:textId="025D622F" w:rsidR="00C9161D" w:rsidRPr="003F1A75" w:rsidRDefault="00A111D1" w:rsidP="00A111D1">
      <w:pPr>
        <w:pStyle w:val="CBDH1"/>
      </w:pPr>
      <w:r>
        <w:t>I.</w:t>
      </w:r>
      <w:r>
        <w:tab/>
        <w:t>Introduction</w:t>
      </w:r>
    </w:p>
    <w:p w14:paraId="34ACF980" w14:textId="71CB0A07" w:rsidR="003E65D8" w:rsidRDefault="003E65D8" w:rsidP="00A111D1">
      <w:pPr>
        <w:pStyle w:val="CBDNormalNumber"/>
      </w:pPr>
      <w:r>
        <w:t xml:space="preserve">L’article 10 du Protocole de Nagoya sur l’accès aux ressources génétiques et le partage juste et équitable des avantages découlant de leur utilisation dispose que les Parties examinent la nécessité et les modalités d’un mécanisme multilatéral mondial de partage </w:t>
      </w:r>
      <w:r w:rsidR="00FA788B">
        <w:t xml:space="preserve">juste et équitable </w:t>
      </w:r>
      <w:r>
        <w:t xml:space="preserve">des avantages découlant de </w:t>
      </w:r>
      <w:r w:rsidRPr="00D52615">
        <w:t>l’utilisation des ressources génétiques et des connaissances traditionnelles associées aux ressources génétiques dans des situations transfrontières ou pour lesquelles il n’est pas possible d’</w:t>
      </w:r>
      <w:r w:rsidR="00FA788B" w:rsidRPr="00D52615">
        <w:t>accorder</w:t>
      </w:r>
      <w:r w:rsidRPr="00D52615">
        <w:t xml:space="preserve"> ou d’obtenir </w:t>
      </w:r>
      <w:r w:rsidR="00FA788B" w:rsidRPr="00D52615">
        <w:t>le</w:t>
      </w:r>
      <w:r w:rsidRPr="00D52615">
        <w:t xml:space="preserve"> consentement préalable donné en connaissance de cause. L’article</w:t>
      </w:r>
      <w:r>
        <w:t xml:space="preserve"> 10 dispose en outre que les </w:t>
      </w:r>
      <w:r w:rsidRPr="009D029C">
        <w:t xml:space="preserve">avantages partagés </w:t>
      </w:r>
      <w:r w:rsidR="009D029C" w:rsidRPr="009D029C">
        <w:t xml:space="preserve">au moyen de ce mécanisme </w:t>
      </w:r>
      <w:r w:rsidRPr="009D029C">
        <w:t>par les utilisateurs de ressources génétiques et de connaissances</w:t>
      </w:r>
      <w:r>
        <w:t xml:space="preserve"> traditionnelles associées aux ressources génétiques sont utilisés pour favoriser la conservation de la diversité biologique et l’utilisation durable de ses éléments constitutifs à l’échelle mondiale.</w:t>
      </w:r>
    </w:p>
    <w:p w14:paraId="5062A227" w14:textId="325DF18D" w:rsidR="007F718D" w:rsidRPr="003F1A75" w:rsidRDefault="00690594" w:rsidP="00A111D1">
      <w:pPr>
        <w:pStyle w:val="CBDNormalNumber"/>
      </w:pPr>
      <w:r>
        <w:t xml:space="preserve">Dans sa décision </w:t>
      </w:r>
      <w:hyperlink r:id="rId15" w:history="1">
        <w:r>
          <w:rPr>
            <w:rStyle w:val="Hyperlink"/>
          </w:rPr>
          <w:t>NP-5/7</w:t>
        </w:r>
      </w:hyperlink>
      <w:r>
        <w:t>, la Conférence des Parties siégeant en tant que réunion des Parties au Protocole de Nagoya a décidé de réexaminer à sa sixième réunion la question de la nécessité et des modalités d’un mécanisme multilatéral mondial de partage des avantages,</w:t>
      </w:r>
      <w:r w:rsidR="00686CEA">
        <w:t xml:space="preserve"> tel que</w:t>
      </w:r>
      <w:r>
        <w:t xml:space="preserve"> prévu à l’article 10 du Protocole, en tenant compte de l’analyse et de la synthèse des informations</w:t>
      </w:r>
      <w:r w:rsidR="00570DB2">
        <w:t xml:space="preserve"> fournies pour l</w:t>
      </w:r>
      <w:r w:rsidR="00AD6C67">
        <w:t xml:space="preserve">e </w:t>
      </w:r>
      <w:r w:rsidR="000A1BA0">
        <w:t>deuxième exercice d’évaluation et d’examen</w:t>
      </w:r>
      <w:r>
        <w:t xml:space="preserve"> du Protocole. Le présent document a été établi pour faciliter les débats sur cette question.</w:t>
      </w:r>
    </w:p>
    <w:p w14:paraId="0C210431" w14:textId="40487B79" w:rsidR="00F45954" w:rsidRPr="003F1A75" w:rsidRDefault="00F45954" w:rsidP="00F45954">
      <w:pPr>
        <w:pStyle w:val="CBDH1"/>
      </w:pPr>
      <w:r>
        <w:t>II.</w:t>
      </w:r>
      <w:r>
        <w:tab/>
        <w:t>Examen antérieur de l’article 10 et mandats pertinents</w:t>
      </w:r>
    </w:p>
    <w:p w14:paraId="3B5461D1" w14:textId="73DFAF30" w:rsidR="00CF63D9" w:rsidRDefault="004A366B" w:rsidP="00A111D1">
      <w:pPr>
        <w:pStyle w:val="CBDNormalNumber"/>
        <w:sectPr w:rsidR="00CF63D9" w:rsidSect="00A946E2">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pPr>
      <w:r>
        <w:t>L’article 10 du Protocole de Nagoya est à l’examen depuis peu après l’adoption du Protocole en 2010. Au fil des ans, des travaux considérables ont été menés sur la question de la nécessité et des modalités d’un mécanisme multilatéral mondial de partage des avantages, notamment la communication de points de vue, des discussions en ligne, des réunions de groupes d’experts et la commande d’études, comme résumé dans le tableau ci-dessous.</w:t>
      </w:r>
    </w:p>
    <w:p w14:paraId="3850A9DF" w14:textId="1FECBE08" w:rsidR="00DB3831" w:rsidRDefault="00BE634D" w:rsidP="00A52140">
      <w:pPr>
        <w:pStyle w:val="CBDNormalNumber"/>
        <w:keepNext/>
        <w:keepLines/>
        <w:numPr>
          <w:ilvl w:val="0"/>
          <w:numId w:val="0"/>
        </w:numPr>
        <w:ind w:left="567"/>
        <w:rPr>
          <w:b/>
          <w:bCs/>
        </w:rPr>
      </w:pPr>
      <w:r>
        <w:rPr>
          <w:b/>
          <w:bCs/>
        </w:rPr>
        <w:lastRenderedPageBreak/>
        <w:t>Récapitulatif des travaux menés sur l’article 10 du Protocole de Nagoya</w:t>
      </w:r>
    </w:p>
    <w:tbl>
      <w:tblPr>
        <w:tblStyle w:val="TableGrid"/>
        <w:tblW w:w="0" w:type="auto"/>
        <w:tblInd w:w="567" w:type="dxa"/>
        <w:tblLook w:val="04A0" w:firstRow="1" w:lastRow="0" w:firstColumn="1" w:lastColumn="0" w:noHBand="0" w:noVBand="1"/>
      </w:tblPr>
      <w:tblGrid>
        <w:gridCol w:w="1948"/>
        <w:gridCol w:w="6835"/>
      </w:tblGrid>
      <w:tr w:rsidR="00BE634D" w:rsidRPr="0051412F" w14:paraId="2905BE07" w14:textId="77777777" w:rsidTr="005F11EB">
        <w:tc>
          <w:tcPr>
            <w:tcW w:w="1948" w:type="dxa"/>
          </w:tcPr>
          <w:p w14:paraId="1939EEBB" w14:textId="22AD8136" w:rsidR="00BE634D" w:rsidRPr="00381692" w:rsidRDefault="00BF3E81" w:rsidP="00A52140">
            <w:pPr>
              <w:pStyle w:val="CBDNormalNumber"/>
              <w:keepNext/>
              <w:keepLines/>
              <w:numPr>
                <w:ilvl w:val="0"/>
                <w:numId w:val="0"/>
              </w:numPr>
              <w:rPr>
                <w:i/>
                <w:iCs/>
                <w:sz w:val="20"/>
                <w:szCs w:val="20"/>
              </w:rPr>
            </w:pPr>
            <w:r>
              <w:rPr>
                <w:i/>
                <w:iCs/>
                <w:sz w:val="20"/>
                <w:szCs w:val="20"/>
              </w:rPr>
              <w:t>Année</w:t>
            </w:r>
          </w:p>
        </w:tc>
        <w:tc>
          <w:tcPr>
            <w:tcW w:w="6835" w:type="dxa"/>
          </w:tcPr>
          <w:p w14:paraId="5E882BD0" w14:textId="610982BA" w:rsidR="00BE634D" w:rsidRPr="00381692" w:rsidRDefault="00BF3E81" w:rsidP="00A52140">
            <w:pPr>
              <w:pStyle w:val="CBDNormalNumber"/>
              <w:keepNext/>
              <w:keepLines/>
              <w:numPr>
                <w:ilvl w:val="0"/>
                <w:numId w:val="0"/>
              </w:numPr>
              <w:rPr>
                <w:i/>
                <w:iCs/>
                <w:sz w:val="20"/>
                <w:szCs w:val="20"/>
              </w:rPr>
            </w:pPr>
            <w:r>
              <w:rPr>
                <w:i/>
                <w:iCs/>
                <w:sz w:val="20"/>
                <w:szCs w:val="20"/>
              </w:rPr>
              <w:t>Activité</w:t>
            </w:r>
          </w:p>
        </w:tc>
      </w:tr>
      <w:tr w:rsidR="00BE634D" w14:paraId="48920EF5" w14:textId="77777777" w:rsidTr="005F11EB">
        <w:tc>
          <w:tcPr>
            <w:tcW w:w="1948" w:type="dxa"/>
          </w:tcPr>
          <w:p w14:paraId="5C57E8DC" w14:textId="0E2F29ED" w:rsidR="00BE634D" w:rsidRPr="00381692" w:rsidRDefault="00BF3E81" w:rsidP="00A52140">
            <w:pPr>
              <w:pStyle w:val="CBDNormalNumber"/>
              <w:keepNext/>
              <w:keepLines/>
              <w:numPr>
                <w:ilvl w:val="0"/>
                <w:numId w:val="0"/>
              </w:numPr>
              <w:rPr>
                <w:sz w:val="20"/>
                <w:szCs w:val="20"/>
              </w:rPr>
            </w:pPr>
            <w:r>
              <w:rPr>
                <w:sz w:val="20"/>
                <w:szCs w:val="20"/>
              </w:rPr>
              <w:t>2011</w:t>
            </w:r>
          </w:p>
        </w:tc>
        <w:tc>
          <w:tcPr>
            <w:tcW w:w="6835" w:type="dxa"/>
          </w:tcPr>
          <w:p w14:paraId="338D235A" w14:textId="1C56278D" w:rsidR="00BE634D" w:rsidRPr="00381692" w:rsidRDefault="000D7DF2" w:rsidP="00381692">
            <w:pPr>
              <w:pStyle w:val="CBDNormalNumber"/>
              <w:keepNext/>
              <w:keepLines/>
              <w:numPr>
                <w:ilvl w:val="0"/>
                <w:numId w:val="0"/>
              </w:numPr>
              <w:jc w:val="left"/>
              <w:rPr>
                <w:sz w:val="20"/>
                <w:szCs w:val="20"/>
              </w:rPr>
            </w:pPr>
            <w:r>
              <w:rPr>
                <w:sz w:val="20"/>
                <w:szCs w:val="20"/>
              </w:rPr>
              <w:t xml:space="preserve">Communication de points de vue sur l’article 10 (voir </w:t>
            </w:r>
            <w:hyperlink r:id="rId20" w:history="1">
              <w:r>
                <w:rPr>
                  <w:rStyle w:val="Hyperlink"/>
                  <w:sz w:val="20"/>
                  <w:szCs w:val="20"/>
                </w:rPr>
                <w:t>www.cbd.int/icnp2/submissions</w:t>
              </w:r>
            </w:hyperlink>
            <w:r>
              <w:rPr>
                <w:sz w:val="20"/>
                <w:szCs w:val="20"/>
              </w:rPr>
              <w:t xml:space="preserve">). </w:t>
            </w:r>
          </w:p>
        </w:tc>
      </w:tr>
      <w:tr w:rsidR="00BE634D" w14:paraId="2E2F7B21" w14:textId="77777777" w:rsidTr="005F11EB">
        <w:tc>
          <w:tcPr>
            <w:tcW w:w="1948" w:type="dxa"/>
          </w:tcPr>
          <w:p w14:paraId="2654AFFC" w14:textId="4374DF66" w:rsidR="00BE634D" w:rsidRPr="00381692" w:rsidRDefault="00BF3E81" w:rsidP="00DB3831">
            <w:pPr>
              <w:pStyle w:val="CBDNormalNumber"/>
              <w:numPr>
                <w:ilvl w:val="0"/>
                <w:numId w:val="0"/>
              </w:numPr>
              <w:rPr>
                <w:sz w:val="20"/>
                <w:szCs w:val="20"/>
              </w:rPr>
            </w:pPr>
            <w:r>
              <w:rPr>
                <w:sz w:val="20"/>
                <w:szCs w:val="20"/>
              </w:rPr>
              <w:t>Juillet 2012</w:t>
            </w:r>
          </w:p>
        </w:tc>
        <w:tc>
          <w:tcPr>
            <w:tcW w:w="6835" w:type="dxa"/>
          </w:tcPr>
          <w:p w14:paraId="19F02E5E" w14:textId="4A897B2F" w:rsidR="00BE634D" w:rsidRPr="00381692" w:rsidRDefault="001C4E35" w:rsidP="00381692">
            <w:pPr>
              <w:pStyle w:val="CBDNormalNumber"/>
              <w:numPr>
                <w:ilvl w:val="0"/>
                <w:numId w:val="0"/>
              </w:numPr>
              <w:jc w:val="left"/>
              <w:rPr>
                <w:sz w:val="20"/>
                <w:szCs w:val="20"/>
              </w:rPr>
            </w:pPr>
            <w:r>
              <w:rPr>
                <w:sz w:val="20"/>
                <w:szCs w:val="20"/>
              </w:rPr>
              <w:t>Une synthèse des points de vue communiqués</w:t>
            </w:r>
            <w:r>
              <w:rPr>
                <w:i/>
                <w:iCs/>
                <w:vertAlign w:val="superscript"/>
              </w:rPr>
              <w:t>a</w:t>
            </w:r>
            <w:r>
              <w:rPr>
                <w:sz w:val="20"/>
                <w:szCs w:val="20"/>
              </w:rPr>
              <w:t xml:space="preserve"> a été examinée par le Comité intergouvernemental spécial à composition non limitée pour le Protocole de Nagoya à sa deuxième réunion et un projet de décision a été recommandé pour adoption par la Conférence des Parties à sa onzième réunion (voir la </w:t>
            </w:r>
            <w:hyperlink r:id="rId21" w:history="1">
              <w:r>
                <w:rPr>
                  <w:rStyle w:val="Hyperlink"/>
                  <w:color w:val="auto"/>
                  <w:sz w:val="20"/>
                  <w:szCs w:val="20"/>
                  <w:u w:val="none"/>
                </w:rPr>
                <w:t xml:space="preserve">recommandation </w:t>
              </w:r>
              <w:r>
                <w:rPr>
                  <w:rStyle w:val="Hyperlink"/>
                  <w:sz w:val="20"/>
                  <w:szCs w:val="20"/>
                </w:rPr>
                <w:t>2/3</w:t>
              </w:r>
            </w:hyperlink>
            <w:r>
              <w:rPr>
                <w:sz w:val="20"/>
                <w:szCs w:val="20"/>
              </w:rPr>
              <w:t xml:space="preserve"> du Comité intergouvernemental).</w:t>
            </w:r>
          </w:p>
        </w:tc>
      </w:tr>
      <w:tr w:rsidR="00BE634D" w14:paraId="43CCEDA2" w14:textId="77777777" w:rsidTr="005F11EB">
        <w:tc>
          <w:tcPr>
            <w:tcW w:w="1948" w:type="dxa"/>
          </w:tcPr>
          <w:p w14:paraId="6E93768E" w14:textId="5D89885F" w:rsidR="00BE634D" w:rsidRPr="00381692" w:rsidRDefault="00BF3E81" w:rsidP="00DB3831">
            <w:pPr>
              <w:pStyle w:val="CBDNormalNumber"/>
              <w:numPr>
                <w:ilvl w:val="0"/>
                <w:numId w:val="0"/>
              </w:numPr>
              <w:rPr>
                <w:sz w:val="20"/>
                <w:szCs w:val="20"/>
              </w:rPr>
            </w:pPr>
            <w:r>
              <w:rPr>
                <w:sz w:val="20"/>
                <w:szCs w:val="20"/>
              </w:rPr>
              <w:t>Octobre 2012</w:t>
            </w:r>
          </w:p>
        </w:tc>
        <w:tc>
          <w:tcPr>
            <w:tcW w:w="6835" w:type="dxa"/>
          </w:tcPr>
          <w:p w14:paraId="56C9F3A4" w14:textId="7A8FABA8" w:rsidR="003E761C" w:rsidRPr="00381692" w:rsidRDefault="003E761C" w:rsidP="003E761C">
            <w:pPr>
              <w:rPr>
                <w:sz w:val="20"/>
                <w:szCs w:val="20"/>
              </w:rPr>
            </w:pPr>
            <w:r>
              <w:rPr>
                <w:sz w:val="20"/>
                <w:szCs w:val="20"/>
              </w:rPr>
              <w:t xml:space="preserve">À sa onzième réunion, la Conférence des Parties a adopté la </w:t>
            </w:r>
            <w:hyperlink r:id="rId22" w:history="1">
              <w:r>
                <w:rPr>
                  <w:rStyle w:val="Hyperlink"/>
                  <w:color w:val="auto"/>
                  <w:sz w:val="20"/>
                  <w:szCs w:val="20"/>
                  <w:u w:val="none"/>
                </w:rPr>
                <w:t xml:space="preserve">décision </w:t>
              </w:r>
              <w:r>
                <w:rPr>
                  <w:rStyle w:val="Hyperlink"/>
                  <w:sz w:val="20"/>
                  <w:szCs w:val="20"/>
                </w:rPr>
                <w:t>XI/1 B</w:t>
              </w:r>
            </w:hyperlink>
            <w:r>
              <w:rPr>
                <w:sz w:val="20"/>
                <w:szCs w:val="20"/>
              </w:rPr>
              <w:t>, dans laquelle elle :</w:t>
            </w:r>
          </w:p>
          <w:p w14:paraId="1C94ABBA" w14:textId="1C46BDC1" w:rsidR="003E761C" w:rsidRPr="00381692" w:rsidRDefault="00F26B81" w:rsidP="003E761C">
            <w:pPr>
              <w:pStyle w:val="ListParagraph"/>
              <w:numPr>
                <w:ilvl w:val="0"/>
                <w:numId w:val="8"/>
              </w:numPr>
              <w:tabs>
                <w:tab w:val="clear" w:pos="567"/>
                <w:tab w:val="clear" w:pos="1134"/>
                <w:tab w:val="clear" w:pos="1701"/>
                <w:tab w:val="clear" w:pos="2268"/>
              </w:tabs>
              <w:ind w:left="616"/>
              <w:jc w:val="left"/>
              <w:rPr>
                <w:sz w:val="20"/>
                <w:szCs w:val="20"/>
              </w:rPr>
            </w:pPr>
            <w:r w:rsidRPr="00F26B81">
              <w:rPr>
                <w:sz w:val="20"/>
                <w:szCs w:val="20"/>
              </w:rPr>
              <w:t xml:space="preserve">A prié le Secrétaire exécutif d'organiser une vaste consultation sur l'article 10 et a invité les Parties et les parties prenantes à y contribuer en communiquant leurs </w:t>
            </w:r>
            <w:r>
              <w:rPr>
                <w:sz w:val="20"/>
                <w:szCs w:val="20"/>
              </w:rPr>
              <w:t>points de v</w:t>
            </w:r>
            <w:r w:rsidRPr="00F26B81">
              <w:rPr>
                <w:sz w:val="20"/>
                <w:szCs w:val="20"/>
              </w:rPr>
              <w:t>ue, en tenant compte de la liste de questions figurant dans la partie A de l'annexe I de la décision, ainsi que d'autres points de vue sur le sujet, notamment les questions figurant dans la partie B de cette annexe ;</w:t>
            </w:r>
          </w:p>
          <w:p w14:paraId="2A381010" w14:textId="56F6B7A2" w:rsidR="00BE634D" w:rsidRPr="00381692" w:rsidRDefault="008901EC" w:rsidP="003E761C">
            <w:pPr>
              <w:pStyle w:val="ListParagraph"/>
              <w:numPr>
                <w:ilvl w:val="0"/>
                <w:numId w:val="8"/>
              </w:numPr>
              <w:tabs>
                <w:tab w:val="clear" w:pos="567"/>
                <w:tab w:val="clear" w:pos="1134"/>
                <w:tab w:val="clear" w:pos="1701"/>
                <w:tab w:val="clear" w:pos="2268"/>
              </w:tabs>
              <w:ind w:left="616"/>
              <w:jc w:val="left"/>
              <w:rPr>
                <w:sz w:val="20"/>
                <w:szCs w:val="20"/>
              </w:rPr>
            </w:pPr>
            <w:r>
              <w:rPr>
                <w:sz w:val="20"/>
                <w:szCs w:val="20"/>
              </w:rPr>
              <w:t>A également prié le Secrétaire exécutif de faire la synthèse des points de vue reçus pour examen par un groupe d’experts chargé de soumettre les résultats de ses travaux pour examen à la troisième réunion du Comité intergouvernemental.</w:t>
            </w:r>
          </w:p>
        </w:tc>
      </w:tr>
      <w:tr w:rsidR="00BE634D" w14:paraId="3EB7C5CE" w14:textId="77777777" w:rsidTr="005F11EB">
        <w:tc>
          <w:tcPr>
            <w:tcW w:w="1948" w:type="dxa"/>
          </w:tcPr>
          <w:p w14:paraId="27C5460E" w14:textId="76AFB2FA" w:rsidR="00BE634D" w:rsidRPr="00381692" w:rsidRDefault="00BF3E81" w:rsidP="00DB3831">
            <w:pPr>
              <w:pStyle w:val="CBDNormalNumber"/>
              <w:numPr>
                <w:ilvl w:val="0"/>
                <w:numId w:val="0"/>
              </w:numPr>
              <w:rPr>
                <w:sz w:val="20"/>
                <w:szCs w:val="20"/>
              </w:rPr>
            </w:pPr>
            <w:r>
              <w:rPr>
                <w:sz w:val="20"/>
                <w:szCs w:val="20"/>
              </w:rPr>
              <w:t>2013</w:t>
            </w:r>
          </w:p>
        </w:tc>
        <w:tc>
          <w:tcPr>
            <w:tcW w:w="6835" w:type="dxa"/>
          </w:tcPr>
          <w:p w14:paraId="68A215E0" w14:textId="51EFB46B" w:rsidR="00BE634D" w:rsidRPr="00381692" w:rsidRDefault="00B822BF" w:rsidP="00381692">
            <w:pPr>
              <w:pStyle w:val="CBDNormalNumber"/>
              <w:numPr>
                <w:ilvl w:val="0"/>
                <w:numId w:val="0"/>
              </w:numPr>
              <w:jc w:val="left"/>
              <w:rPr>
                <w:sz w:val="20"/>
                <w:szCs w:val="20"/>
              </w:rPr>
            </w:pPr>
            <w:r>
              <w:rPr>
                <w:sz w:val="20"/>
                <w:szCs w:val="20"/>
              </w:rPr>
              <w:t xml:space="preserve">La vaste consultation a été menée au moyen de discussions en ligne structurées autour des questions figurant dans l’annexe I de la décision XI/1 (voir </w:t>
            </w:r>
            <w:hyperlink r:id="rId23" w:history="1">
              <w:r>
                <w:rPr>
                  <w:rStyle w:val="Hyperlink"/>
                  <w:sz w:val="20"/>
                  <w:szCs w:val="20"/>
                </w:rPr>
                <w:t>https://absch.cbd.int/fr/portals/forums/article-10-forum</w:t>
              </w:r>
            </w:hyperlink>
            <w:r>
              <w:rPr>
                <w:sz w:val="20"/>
                <w:szCs w:val="20"/>
              </w:rPr>
              <w:t>).</w:t>
            </w:r>
          </w:p>
          <w:p w14:paraId="561D57A2" w14:textId="477431F6" w:rsidR="00B822BF" w:rsidRPr="00381692" w:rsidRDefault="000E08B2" w:rsidP="00381692">
            <w:pPr>
              <w:pStyle w:val="CBDNormalNumber"/>
              <w:numPr>
                <w:ilvl w:val="0"/>
                <w:numId w:val="0"/>
              </w:numPr>
              <w:jc w:val="left"/>
              <w:rPr>
                <w:sz w:val="20"/>
                <w:szCs w:val="20"/>
              </w:rPr>
            </w:pPr>
            <w:r w:rsidRPr="000E08B2">
              <w:rPr>
                <w:sz w:val="20"/>
                <w:szCs w:val="20"/>
              </w:rPr>
              <w:t xml:space="preserve">Une synthèse des points de vue exprimés dans le cadre de </w:t>
            </w:r>
            <w:r w:rsidR="00911401">
              <w:rPr>
                <w:sz w:val="20"/>
                <w:szCs w:val="20"/>
              </w:rPr>
              <w:t>cette</w:t>
            </w:r>
            <w:r w:rsidRPr="000E08B2">
              <w:rPr>
                <w:sz w:val="20"/>
                <w:szCs w:val="20"/>
              </w:rPr>
              <w:t xml:space="preserve"> consultation a été établie, et une réunion d'un groupe d</w:t>
            </w:r>
            <w:r w:rsidR="0086763F">
              <w:rPr>
                <w:sz w:val="20"/>
                <w:szCs w:val="20"/>
              </w:rPr>
              <w:t>’</w:t>
            </w:r>
            <w:r w:rsidRPr="000E08B2">
              <w:rPr>
                <w:sz w:val="20"/>
                <w:szCs w:val="20"/>
              </w:rPr>
              <w:t>experts a été organisée pour examiner cette synthèse, recenser les domaines d</w:t>
            </w:r>
            <w:r w:rsidR="0086763F">
              <w:rPr>
                <w:sz w:val="20"/>
                <w:szCs w:val="20"/>
              </w:rPr>
              <w:t>’</w:t>
            </w:r>
            <w:r w:rsidRPr="000E08B2">
              <w:rPr>
                <w:sz w:val="20"/>
                <w:szCs w:val="20"/>
              </w:rPr>
              <w:t>entente possibles concernant l</w:t>
            </w:r>
            <w:r w:rsidR="0086763F">
              <w:rPr>
                <w:sz w:val="20"/>
                <w:szCs w:val="20"/>
              </w:rPr>
              <w:t>’</w:t>
            </w:r>
            <w:r w:rsidRPr="000E08B2">
              <w:rPr>
                <w:sz w:val="20"/>
                <w:szCs w:val="20"/>
              </w:rPr>
              <w:t>article 10 et recenser les domaines qui pourraient faire l</w:t>
            </w:r>
            <w:r w:rsidR="0086763F">
              <w:rPr>
                <w:sz w:val="20"/>
                <w:szCs w:val="20"/>
              </w:rPr>
              <w:t>’</w:t>
            </w:r>
            <w:r w:rsidRPr="000E08B2">
              <w:rPr>
                <w:sz w:val="20"/>
                <w:szCs w:val="20"/>
              </w:rPr>
              <w:t>objet d</w:t>
            </w:r>
            <w:r w:rsidR="0086763F">
              <w:rPr>
                <w:sz w:val="20"/>
                <w:szCs w:val="20"/>
              </w:rPr>
              <w:t>’</w:t>
            </w:r>
            <w:r w:rsidRPr="000E08B2">
              <w:rPr>
                <w:sz w:val="20"/>
                <w:szCs w:val="20"/>
              </w:rPr>
              <w:t xml:space="preserve">un examen plus approfondi </w:t>
            </w:r>
            <w:r w:rsidR="00364075">
              <w:rPr>
                <w:sz w:val="20"/>
                <w:szCs w:val="20"/>
              </w:rPr>
              <w:t>(voir UNEP/CBD/ABSEM-A10/1/2 et UNEP/CBD/ABSEM-A10/1/3, respectivement).</w:t>
            </w:r>
          </w:p>
        </w:tc>
      </w:tr>
      <w:tr w:rsidR="00BE634D" w14:paraId="5687796E" w14:textId="77777777" w:rsidTr="005F11EB">
        <w:tc>
          <w:tcPr>
            <w:tcW w:w="1948" w:type="dxa"/>
          </w:tcPr>
          <w:p w14:paraId="2B2C5584" w14:textId="24AF82EC" w:rsidR="00BE634D" w:rsidRPr="00381692" w:rsidRDefault="00E80955" w:rsidP="00DB3831">
            <w:pPr>
              <w:pStyle w:val="CBDNormalNumber"/>
              <w:numPr>
                <w:ilvl w:val="0"/>
                <w:numId w:val="0"/>
              </w:numPr>
              <w:rPr>
                <w:sz w:val="20"/>
                <w:szCs w:val="20"/>
              </w:rPr>
            </w:pPr>
            <w:r>
              <w:rPr>
                <w:sz w:val="20"/>
                <w:szCs w:val="20"/>
              </w:rPr>
              <w:t>Février 2014</w:t>
            </w:r>
          </w:p>
        </w:tc>
        <w:tc>
          <w:tcPr>
            <w:tcW w:w="6835" w:type="dxa"/>
          </w:tcPr>
          <w:p w14:paraId="5ED96F16" w14:textId="37F0C339" w:rsidR="00BE634D" w:rsidRPr="00381692" w:rsidRDefault="00D83A1D" w:rsidP="00381692">
            <w:pPr>
              <w:pStyle w:val="CBDNormalNumber"/>
              <w:numPr>
                <w:ilvl w:val="0"/>
                <w:numId w:val="0"/>
              </w:numPr>
              <w:jc w:val="left"/>
              <w:rPr>
                <w:sz w:val="20"/>
                <w:szCs w:val="20"/>
              </w:rPr>
            </w:pPr>
            <w:r>
              <w:rPr>
                <w:sz w:val="20"/>
                <w:szCs w:val="20"/>
              </w:rPr>
              <w:t>À sa troisième réunion, le Comité intergouvernemental a examiné le rapport de la réunion du groupe d</w:t>
            </w:r>
            <w:r w:rsidR="0086763F">
              <w:rPr>
                <w:sz w:val="20"/>
                <w:szCs w:val="20"/>
              </w:rPr>
              <w:t>’</w:t>
            </w:r>
            <w:r>
              <w:rPr>
                <w:sz w:val="20"/>
                <w:szCs w:val="20"/>
              </w:rPr>
              <w:t>experts</w:t>
            </w:r>
            <w:r>
              <w:rPr>
                <w:i/>
                <w:iCs/>
                <w:vertAlign w:val="superscript"/>
              </w:rPr>
              <w:t>b</w:t>
            </w:r>
            <w:r>
              <w:rPr>
                <w:sz w:val="20"/>
                <w:szCs w:val="20"/>
              </w:rPr>
              <w:t xml:space="preserve"> et a recommandé un projet de décision pour adoption par la Conférence des Parties siégeant en tant que réunion des Parties au Protocole à sa première réunion (voir la </w:t>
            </w:r>
            <w:hyperlink r:id="rId24" w:history="1">
              <w:r>
                <w:rPr>
                  <w:rStyle w:val="Hyperlink"/>
                  <w:color w:val="auto"/>
                  <w:sz w:val="20"/>
                  <w:szCs w:val="20"/>
                  <w:u w:val="none"/>
                </w:rPr>
                <w:t xml:space="preserve">recommandation </w:t>
              </w:r>
              <w:r>
                <w:rPr>
                  <w:rStyle w:val="Hyperlink"/>
                  <w:sz w:val="20"/>
                  <w:szCs w:val="20"/>
                </w:rPr>
                <w:t>ICNP-3/3</w:t>
              </w:r>
            </w:hyperlink>
            <w:r>
              <w:rPr>
                <w:sz w:val="20"/>
                <w:szCs w:val="20"/>
              </w:rPr>
              <w:t>).</w:t>
            </w:r>
          </w:p>
        </w:tc>
      </w:tr>
      <w:tr w:rsidR="00E80955" w14:paraId="519BE2B7" w14:textId="77777777" w:rsidTr="005F11EB">
        <w:tc>
          <w:tcPr>
            <w:tcW w:w="1948" w:type="dxa"/>
          </w:tcPr>
          <w:p w14:paraId="56045E9F" w14:textId="24EB56B5" w:rsidR="00E80955" w:rsidRPr="00381692" w:rsidRDefault="005F11EB" w:rsidP="00DB3831">
            <w:pPr>
              <w:pStyle w:val="CBDNormalNumber"/>
              <w:numPr>
                <w:ilvl w:val="0"/>
                <w:numId w:val="0"/>
              </w:numPr>
              <w:rPr>
                <w:sz w:val="20"/>
                <w:szCs w:val="20"/>
              </w:rPr>
            </w:pPr>
            <w:r>
              <w:rPr>
                <w:sz w:val="20"/>
                <w:szCs w:val="20"/>
              </w:rPr>
              <w:t>Octobre 2014</w:t>
            </w:r>
          </w:p>
        </w:tc>
        <w:tc>
          <w:tcPr>
            <w:tcW w:w="6835" w:type="dxa"/>
          </w:tcPr>
          <w:p w14:paraId="00AEEBE2" w14:textId="7F12D737" w:rsidR="00E80955" w:rsidRPr="00381692" w:rsidRDefault="002353AB" w:rsidP="00381692">
            <w:pPr>
              <w:pStyle w:val="CBDNormalNumber"/>
              <w:numPr>
                <w:ilvl w:val="0"/>
                <w:numId w:val="0"/>
              </w:numPr>
              <w:jc w:val="left"/>
              <w:rPr>
                <w:sz w:val="20"/>
                <w:szCs w:val="20"/>
              </w:rPr>
            </w:pPr>
            <w:r>
              <w:rPr>
                <w:sz w:val="20"/>
                <w:szCs w:val="20"/>
              </w:rPr>
              <w:t xml:space="preserve">À sa première réunion, la Conférence des Parties siégeant en tant que réunion des Parties au Protocole a adopté la </w:t>
            </w:r>
            <w:hyperlink r:id="rId25" w:history="1">
              <w:r>
                <w:rPr>
                  <w:rStyle w:val="Hyperlink"/>
                  <w:color w:val="auto"/>
                  <w:sz w:val="20"/>
                  <w:szCs w:val="20"/>
                  <w:u w:val="none"/>
                </w:rPr>
                <w:t xml:space="preserve">décision </w:t>
              </w:r>
              <w:r>
                <w:rPr>
                  <w:rStyle w:val="Hyperlink"/>
                  <w:sz w:val="20"/>
                  <w:szCs w:val="20"/>
                </w:rPr>
                <w:t>NP-1/10</w:t>
              </w:r>
            </w:hyperlink>
            <w:r>
              <w:rPr>
                <w:sz w:val="20"/>
                <w:szCs w:val="20"/>
              </w:rPr>
              <w:t>, dans laquelle elle a invité à communiquer des points de vue sur un certain nombre de sujets relatifs à l</w:t>
            </w:r>
            <w:r w:rsidR="0086763F">
              <w:rPr>
                <w:sz w:val="20"/>
                <w:szCs w:val="20"/>
              </w:rPr>
              <w:t>’</w:t>
            </w:r>
            <w:r>
              <w:rPr>
                <w:sz w:val="20"/>
                <w:szCs w:val="20"/>
              </w:rPr>
              <w:t>article 10 du Protocole et a prié le Secrétaire exécutif de commander une étude. La Conférence des Parties siégeant en tant que réunion des Parties au Protocole a également prié le Secrétaire exécutif de convoquer une réunion d</w:t>
            </w:r>
            <w:r w:rsidR="0086763F">
              <w:rPr>
                <w:sz w:val="20"/>
                <w:szCs w:val="20"/>
              </w:rPr>
              <w:t>’</w:t>
            </w:r>
            <w:r>
              <w:rPr>
                <w:sz w:val="20"/>
                <w:szCs w:val="20"/>
              </w:rPr>
              <w:t>un groupe d</w:t>
            </w:r>
            <w:r w:rsidR="0086763F">
              <w:rPr>
                <w:sz w:val="20"/>
                <w:szCs w:val="20"/>
              </w:rPr>
              <w:t>’</w:t>
            </w:r>
            <w:r>
              <w:rPr>
                <w:sz w:val="20"/>
                <w:szCs w:val="20"/>
              </w:rPr>
              <w:t>experts chargé d</w:t>
            </w:r>
            <w:r w:rsidR="0086763F">
              <w:rPr>
                <w:sz w:val="20"/>
                <w:szCs w:val="20"/>
              </w:rPr>
              <w:t>’</w:t>
            </w:r>
            <w:r>
              <w:rPr>
                <w:sz w:val="20"/>
                <w:szCs w:val="20"/>
              </w:rPr>
              <w:t>examiner la synthèse des points de vue communiqués et l</w:t>
            </w:r>
            <w:r w:rsidR="0086763F">
              <w:rPr>
                <w:sz w:val="20"/>
                <w:szCs w:val="20"/>
              </w:rPr>
              <w:t>’</w:t>
            </w:r>
            <w:r>
              <w:rPr>
                <w:sz w:val="20"/>
                <w:szCs w:val="20"/>
              </w:rPr>
              <w:t>étude commandée, en vue de parvenir à une compréhension commune des domaines nécessitant un examen plus approfondi, tels que recensés dans le rapport de la réunion du groupe d</w:t>
            </w:r>
            <w:r w:rsidR="0086763F">
              <w:rPr>
                <w:sz w:val="20"/>
                <w:szCs w:val="20"/>
              </w:rPr>
              <w:t>’</w:t>
            </w:r>
            <w:r>
              <w:rPr>
                <w:sz w:val="20"/>
                <w:szCs w:val="20"/>
              </w:rPr>
              <w:t>experts tenue en septembre 2013.</w:t>
            </w:r>
          </w:p>
        </w:tc>
      </w:tr>
      <w:tr w:rsidR="00E80955" w14:paraId="2EB3F35A" w14:textId="77777777" w:rsidTr="005F11EB">
        <w:tc>
          <w:tcPr>
            <w:tcW w:w="1948" w:type="dxa"/>
          </w:tcPr>
          <w:p w14:paraId="1BBA6532" w14:textId="1E4560CC" w:rsidR="00E80955" w:rsidRPr="00381692" w:rsidRDefault="005F11EB" w:rsidP="00DB3831">
            <w:pPr>
              <w:pStyle w:val="CBDNormalNumber"/>
              <w:numPr>
                <w:ilvl w:val="0"/>
                <w:numId w:val="0"/>
              </w:numPr>
              <w:rPr>
                <w:sz w:val="20"/>
                <w:szCs w:val="20"/>
              </w:rPr>
            </w:pPr>
            <w:r>
              <w:rPr>
                <w:sz w:val="20"/>
                <w:szCs w:val="20"/>
              </w:rPr>
              <w:t>Février 2016</w:t>
            </w:r>
          </w:p>
        </w:tc>
        <w:tc>
          <w:tcPr>
            <w:tcW w:w="6835" w:type="dxa"/>
          </w:tcPr>
          <w:p w14:paraId="58C8E988" w14:textId="117D1F4B" w:rsidR="00E80955" w:rsidRPr="00381692" w:rsidRDefault="008F03F8" w:rsidP="00381692">
            <w:pPr>
              <w:pStyle w:val="CBDNormalNumber"/>
              <w:numPr>
                <w:ilvl w:val="0"/>
                <w:numId w:val="0"/>
              </w:numPr>
              <w:jc w:val="left"/>
              <w:rPr>
                <w:sz w:val="20"/>
                <w:szCs w:val="20"/>
              </w:rPr>
            </w:pPr>
            <w:r>
              <w:rPr>
                <w:sz w:val="20"/>
                <w:szCs w:val="20"/>
              </w:rPr>
              <w:t>Le groupe d</w:t>
            </w:r>
            <w:r w:rsidR="0086763F">
              <w:rPr>
                <w:sz w:val="20"/>
                <w:szCs w:val="20"/>
              </w:rPr>
              <w:t>’</w:t>
            </w:r>
            <w:r>
              <w:rPr>
                <w:sz w:val="20"/>
                <w:szCs w:val="20"/>
              </w:rPr>
              <w:t>experts s</w:t>
            </w:r>
            <w:r w:rsidR="0086763F">
              <w:rPr>
                <w:sz w:val="20"/>
                <w:szCs w:val="20"/>
              </w:rPr>
              <w:t>’</w:t>
            </w:r>
            <w:r>
              <w:rPr>
                <w:sz w:val="20"/>
                <w:szCs w:val="20"/>
              </w:rPr>
              <w:t>est réuni et a examiné une étude sur l</w:t>
            </w:r>
            <w:r w:rsidR="0086763F">
              <w:rPr>
                <w:sz w:val="20"/>
                <w:szCs w:val="20"/>
              </w:rPr>
              <w:t>’</w:t>
            </w:r>
            <w:r>
              <w:rPr>
                <w:sz w:val="20"/>
                <w:szCs w:val="20"/>
              </w:rPr>
              <w:t>expérience acquise dans l</w:t>
            </w:r>
            <w:r w:rsidR="0086763F">
              <w:rPr>
                <w:sz w:val="20"/>
                <w:szCs w:val="20"/>
              </w:rPr>
              <w:t>’</w:t>
            </w:r>
            <w:r>
              <w:rPr>
                <w:sz w:val="20"/>
                <w:szCs w:val="20"/>
              </w:rPr>
              <w:t>élaboration et la mise en œuvre du Protocole de Nagoya et d</w:t>
            </w:r>
            <w:r w:rsidR="0086763F">
              <w:rPr>
                <w:sz w:val="20"/>
                <w:szCs w:val="20"/>
              </w:rPr>
              <w:t>’</w:t>
            </w:r>
            <w:r>
              <w:rPr>
                <w:sz w:val="20"/>
                <w:szCs w:val="20"/>
              </w:rPr>
              <w:t>autres mécanismes et processus multilatéraux</w:t>
            </w:r>
            <w:r>
              <w:rPr>
                <w:i/>
                <w:iCs/>
                <w:vertAlign w:val="superscript"/>
              </w:rPr>
              <w:t xml:space="preserve">c </w:t>
            </w:r>
            <w:r>
              <w:rPr>
                <w:sz w:val="20"/>
                <w:szCs w:val="20"/>
              </w:rPr>
              <w:t xml:space="preserve">ainsi que la synthèse des points de vue communiqués conformément à la décision </w:t>
            </w:r>
            <w:hyperlink r:id="rId26" w:history="1">
              <w:r>
                <w:rPr>
                  <w:rStyle w:val="Hyperlink"/>
                  <w:sz w:val="20"/>
                  <w:szCs w:val="20"/>
                </w:rPr>
                <w:t>NP-1/10</w:t>
              </w:r>
            </w:hyperlink>
            <w:r>
              <w:rPr>
                <w:i/>
                <w:iCs/>
                <w:vertAlign w:val="superscript"/>
              </w:rPr>
              <w:t>d</w:t>
            </w:r>
            <w:r>
              <w:rPr>
                <w:sz w:val="20"/>
                <w:szCs w:val="20"/>
              </w:rPr>
              <w:t xml:space="preserve">. Au cours de </w:t>
            </w:r>
            <w:r w:rsidRPr="0006633F">
              <w:rPr>
                <w:sz w:val="20"/>
                <w:szCs w:val="20"/>
              </w:rPr>
              <w:t>ses discussions</w:t>
            </w:r>
            <w:r w:rsidR="00AD6C67">
              <w:rPr>
                <w:sz w:val="20"/>
                <w:szCs w:val="20"/>
              </w:rPr>
              <w:t xml:space="preserve">, </w:t>
            </w:r>
            <w:r>
              <w:rPr>
                <w:sz w:val="20"/>
                <w:szCs w:val="20"/>
              </w:rPr>
              <w:t>le groupe d</w:t>
            </w:r>
            <w:r w:rsidR="0086763F">
              <w:rPr>
                <w:sz w:val="20"/>
                <w:szCs w:val="20"/>
              </w:rPr>
              <w:t>’</w:t>
            </w:r>
            <w:r>
              <w:rPr>
                <w:sz w:val="20"/>
                <w:szCs w:val="20"/>
              </w:rPr>
              <w:t xml:space="preserve">experts est parvenu à un certain nombre de conclusions et a défini de </w:t>
            </w:r>
            <w:r>
              <w:rPr>
                <w:sz w:val="20"/>
                <w:szCs w:val="20"/>
              </w:rPr>
              <w:lastRenderedPageBreak/>
              <w:t>possibles prochaines étapes pour examen par la Conférence des Parties siégeant en tant que réunion des Parties au Protocole à sa deuxième réunion.</w:t>
            </w:r>
          </w:p>
        </w:tc>
      </w:tr>
      <w:tr w:rsidR="00E80955" w14:paraId="3A3F7879" w14:textId="77777777" w:rsidTr="005F11EB">
        <w:tc>
          <w:tcPr>
            <w:tcW w:w="1948" w:type="dxa"/>
          </w:tcPr>
          <w:p w14:paraId="57D2B889" w14:textId="1C8647C4" w:rsidR="00E80955" w:rsidRPr="00381692" w:rsidRDefault="005F11EB" w:rsidP="00DB3831">
            <w:pPr>
              <w:pStyle w:val="CBDNormalNumber"/>
              <w:numPr>
                <w:ilvl w:val="0"/>
                <w:numId w:val="0"/>
              </w:numPr>
              <w:rPr>
                <w:sz w:val="20"/>
                <w:szCs w:val="20"/>
              </w:rPr>
            </w:pPr>
            <w:r>
              <w:rPr>
                <w:sz w:val="20"/>
                <w:szCs w:val="20"/>
              </w:rPr>
              <w:lastRenderedPageBreak/>
              <w:t>Décembre 2016</w:t>
            </w:r>
          </w:p>
        </w:tc>
        <w:tc>
          <w:tcPr>
            <w:tcW w:w="6835" w:type="dxa"/>
          </w:tcPr>
          <w:p w14:paraId="49FE423A" w14:textId="25C0CFD8" w:rsidR="00E80955" w:rsidRPr="00381692" w:rsidRDefault="008C5E06" w:rsidP="00381692">
            <w:pPr>
              <w:pStyle w:val="CBDNormalNumber"/>
              <w:numPr>
                <w:ilvl w:val="0"/>
                <w:numId w:val="0"/>
              </w:numPr>
              <w:jc w:val="left"/>
              <w:rPr>
                <w:sz w:val="20"/>
                <w:szCs w:val="20"/>
              </w:rPr>
            </w:pPr>
            <w:r>
              <w:rPr>
                <w:sz w:val="20"/>
                <w:szCs w:val="20"/>
              </w:rPr>
              <w:t>À sa deuxième réunion, la Conférence des Parties siégeant en tant que réunion des Parties au Protocole a examiné le rapport de la réunion du groupe d</w:t>
            </w:r>
            <w:r w:rsidR="0086763F">
              <w:rPr>
                <w:sz w:val="20"/>
                <w:szCs w:val="20"/>
              </w:rPr>
              <w:t>’</w:t>
            </w:r>
            <w:r>
              <w:rPr>
                <w:sz w:val="20"/>
                <w:szCs w:val="20"/>
              </w:rPr>
              <w:t>experts</w:t>
            </w:r>
            <w:r>
              <w:rPr>
                <w:i/>
                <w:iCs/>
                <w:vertAlign w:val="superscript"/>
              </w:rPr>
              <w:t>e</w:t>
            </w:r>
            <w:r>
              <w:rPr>
                <w:sz w:val="20"/>
                <w:szCs w:val="20"/>
              </w:rPr>
              <w:t xml:space="preserve"> et a adopté la </w:t>
            </w:r>
            <w:hyperlink r:id="rId27" w:history="1">
              <w:r>
                <w:rPr>
                  <w:rStyle w:val="Hyperlink"/>
                  <w:color w:val="auto"/>
                  <w:sz w:val="20"/>
                  <w:szCs w:val="20"/>
                  <w:u w:val="none"/>
                </w:rPr>
                <w:t xml:space="preserve">décision </w:t>
              </w:r>
              <w:r>
                <w:rPr>
                  <w:rStyle w:val="Hyperlink"/>
                  <w:sz w:val="20"/>
                  <w:szCs w:val="20"/>
                </w:rPr>
                <w:t>NP-2/10</w:t>
              </w:r>
            </w:hyperlink>
            <w:r>
              <w:rPr>
                <w:sz w:val="20"/>
                <w:szCs w:val="20"/>
              </w:rPr>
              <w:t>. Dans cette décision, la Conférence des Parties siégeant en tant que réunion des Parties au Protocole a invité à communiquer des informations sur différents aspects de l</w:t>
            </w:r>
            <w:r w:rsidR="0086763F">
              <w:rPr>
                <w:sz w:val="20"/>
                <w:szCs w:val="20"/>
              </w:rPr>
              <w:t>’</w:t>
            </w:r>
            <w:r>
              <w:rPr>
                <w:sz w:val="20"/>
                <w:szCs w:val="20"/>
              </w:rPr>
              <w:t>article 10 ainsi que des points de vue sur la voie à suivre concernant l</w:t>
            </w:r>
            <w:r w:rsidR="0086763F">
              <w:rPr>
                <w:sz w:val="20"/>
                <w:szCs w:val="20"/>
              </w:rPr>
              <w:t>’</w:t>
            </w:r>
            <w:r>
              <w:rPr>
                <w:sz w:val="20"/>
                <w:szCs w:val="20"/>
              </w:rPr>
              <w:t xml:space="preserve">article 10. </w:t>
            </w:r>
          </w:p>
        </w:tc>
      </w:tr>
      <w:tr w:rsidR="00E80955" w14:paraId="7CD3BA50" w14:textId="77777777" w:rsidTr="005F11EB">
        <w:tc>
          <w:tcPr>
            <w:tcW w:w="1948" w:type="dxa"/>
          </w:tcPr>
          <w:p w14:paraId="6DCFDA7D" w14:textId="7C8826F7" w:rsidR="00E80955" w:rsidRPr="00381692" w:rsidRDefault="005F11EB" w:rsidP="00DB3831">
            <w:pPr>
              <w:pStyle w:val="CBDNormalNumber"/>
              <w:numPr>
                <w:ilvl w:val="0"/>
                <w:numId w:val="0"/>
              </w:numPr>
              <w:rPr>
                <w:sz w:val="20"/>
                <w:szCs w:val="20"/>
              </w:rPr>
            </w:pPr>
            <w:r>
              <w:rPr>
                <w:sz w:val="20"/>
                <w:szCs w:val="20"/>
              </w:rPr>
              <w:t>2017</w:t>
            </w:r>
          </w:p>
        </w:tc>
        <w:tc>
          <w:tcPr>
            <w:tcW w:w="6835" w:type="dxa"/>
          </w:tcPr>
          <w:p w14:paraId="59FDE8AA" w14:textId="386F0861" w:rsidR="00E80955" w:rsidRPr="00381692" w:rsidRDefault="00993C66" w:rsidP="00381692">
            <w:pPr>
              <w:pStyle w:val="CBDNormalNumber"/>
              <w:numPr>
                <w:ilvl w:val="0"/>
                <w:numId w:val="0"/>
              </w:numPr>
              <w:jc w:val="left"/>
              <w:rPr>
                <w:sz w:val="20"/>
                <w:szCs w:val="20"/>
              </w:rPr>
            </w:pPr>
            <w:r>
              <w:rPr>
                <w:sz w:val="20"/>
                <w:szCs w:val="20"/>
              </w:rPr>
              <w:t xml:space="preserve">Communication </w:t>
            </w:r>
            <w:r w:rsidR="00FF60CC">
              <w:rPr>
                <w:sz w:val="20"/>
                <w:szCs w:val="20"/>
              </w:rPr>
              <w:t>des points de vue et des informations suite à la décision</w:t>
            </w:r>
            <w:r w:rsidR="00275AD8">
              <w:rPr>
                <w:sz w:val="20"/>
                <w:szCs w:val="20"/>
              </w:rPr>
              <w:t xml:space="preserve"> </w:t>
            </w:r>
            <w:hyperlink r:id="rId28" w:history="1">
              <w:r w:rsidR="00275AD8">
                <w:rPr>
                  <w:rStyle w:val="Hyperlink"/>
                  <w:sz w:val="20"/>
                  <w:szCs w:val="20"/>
                </w:rPr>
                <w:t>NP-2/10</w:t>
              </w:r>
            </w:hyperlink>
            <w:r w:rsidR="00275AD8">
              <w:rPr>
                <w:sz w:val="20"/>
                <w:szCs w:val="20"/>
              </w:rPr>
              <w:t xml:space="preserve"> (voir </w:t>
            </w:r>
            <w:hyperlink r:id="rId29" w:anchor="tab=4" w:history="1">
              <w:r w:rsidR="00275AD8">
                <w:rPr>
                  <w:rStyle w:val="Hyperlink"/>
                  <w:sz w:val="20"/>
                  <w:szCs w:val="20"/>
                </w:rPr>
                <w:t>www.cbd.int/abs/art10.shtml#tab=4</w:t>
              </w:r>
            </w:hyperlink>
            <w:r w:rsidR="00275AD8">
              <w:rPr>
                <w:sz w:val="20"/>
                <w:szCs w:val="20"/>
              </w:rPr>
              <w:t>).</w:t>
            </w:r>
          </w:p>
        </w:tc>
      </w:tr>
      <w:tr w:rsidR="00E80955" w14:paraId="624C854A" w14:textId="77777777" w:rsidTr="005F11EB">
        <w:tc>
          <w:tcPr>
            <w:tcW w:w="1948" w:type="dxa"/>
          </w:tcPr>
          <w:p w14:paraId="4B3240B9" w14:textId="7776F760" w:rsidR="00E80955" w:rsidRPr="00381692" w:rsidRDefault="005F11EB" w:rsidP="00DB3831">
            <w:pPr>
              <w:pStyle w:val="CBDNormalNumber"/>
              <w:numPr>
                <w:ilvl w:val="0"/>
                <w:numId w:val="0"/>
              </w:numPr>
              <w:rPr>
                <w:sz w:val="20"/>
                <w:szCs w:val="20"/>
              </w:rPr>
            </w:pPr>
            <w:r>
              <w:rPr>
                <w:sz w:val="20"/>
                <w:szCs w:val="20"/>
              </w:rPr>
              <w:t>Juillet 2018</w:t>
            </w:r>
          </w:p>
        </w:tc>
        <w:tc>
          <w:tcPr>
            <w:tcW w:w="6835" w:type="dxa"/>
          </w:tcPr>
          <w:p w14:paraId="61E9D2E5" w14:textId="28335AC4" w:rsidR="00E80955" w:rsidRPr="00381692" w:rsidRDefault="00B21590" w:rsidP="00381692">
            <w:pPr>
              <w:pStyle w:val="CBDNormalNumber"/>
              <w:numPr>
                <w:ilvl w:val="0"/>
                <w:numId w:val="0"/>
              </w:numPr>
              <w:jc w:val="left"/>
              <w:rPr>
                <w:sz w:val="20"/>
                <w:szCs w:val="20"/>
              </w:rPr>
            </w:pPr>
            <w:r>
              <w:rPr>
                <w:sz w:val="20"/>
                <w:szCs w:val="20"/>
              </w:rPr>
              <w:t>À sa deuxième réunion, l</w:t>
            </w:r>
            <w:r w:rsidR="0086763F">
              <w:rPr>
                <w:sz w:val="20"/>
                <w:szCs w:val="20"/>
              </w:rPr>
              <w:t>’</w:t>
            </w:r>
            <w:r>
              <w:rPr>
                <w:sz w:val="20"/>
                <w:szCs w:val="20"/>
              </w:rPr>
              <w:t>Organe subsidiaire chargé de l</w:t>
            </w:r>
            <w:r w:rsidR="0086763F">
              <w:rPr>
                <w:sz w:val="20"/>
                <w:szCs w:val="20"/>
              </w:rPr>
              <w:t>’</w:t>
            </w:r>
            <w:r>
              <w:rPr>
                <w:sz w:val="20"/>
                <w:szCs w:val="20"/>
              </w:rPr>
              <w:t>application a examiné une note de la Secrétaire exécutive résumant les informations relatives à l</w:t>
            </w:r>
            <w:r w:rsidR="0086763F">
              <w:rPr>
                <w:sz w:val="20"/>
                <w:szCs w:val="20"/>
              </w:rPr>
              <w:t>’</w:t>
            </w:r>
            <w:r>
              <w:rPr>
                <w:sz w:val="20"/>
                <w:szCs w:val="20"/>
              </w:rPr>
              <w:t>article 10 du Protocole de Nagoya, notamment les points de vue communiqués ainsi que les informations tirées des rapports nationaux intérimaires</w:t>
            </w:r>
            <w:r>
              <w:rPr>
                <w:i/>
                <w:iCs/>
                <w:vertAlign w:val="superscript"/>
              </w:rPr>
              <w:t>f</w:t>
            </w:r>
            <w:r>
              <w:rPr>
                <w:sz w:val="20"/>
                <w:szCs w:val="20"/>
              </w:rPr>
              <w:t>. L</w:t>
            </w:r>
            <w:r w:rsidR="0086763F">
              <w:rPr>
                <w:sz w:val="20"/>
                <w:szCs w:val="20"/>
              </w:rPr>
              <w:t>’</w:t>
            </w:r>
            <w:r>
              <w:rPr>
                <w:sz w:val="20"/>
                <w:szCs w:val="20"/>
              </w:rPr>
              <w:t xml:space="preserve">Organe subsidiaire a recommandé un projet de décision pour examen par la Conférence des Parties siégeant en tant que réunion des Parties au Protocole à sa troisième réunion (voir la </w:t>
            </w:r>
            <w:hyperlink r:id="rId30" w:history="1">
              <w:r>
                <w:rPr>
                  <w:rStyle w:val="Hyperlink"/>
                  <w:color w:val="auto"/>
                  <w:sz w:val="20"/>
                  <w:szCs w:val="20"/>
                  <w:u w:val="none"/>
                </w:rPr>
                <w:t xml:space="preserve">recommandation </w:t>
              </w:r>
              <w:r>
                <w:rPr>
                  <w:rStyle w:val="Hyperlink"/>
                  <w:sz w:val="20"/>
                  <w:szCs w:val="20"/>
                </w:rPr>
                <w:t>2/4</w:t>
              </w:r>
            </w:hyperlink>
            <w:r>
              <w:rPr>
                <w:sz w:val="20"/>
                <w:szCs w:val="20"/>
              </w:rPr>
              <w:t>).</w:t>
            </w:r>
          </w:p>
        </w:tc>
      </w:tr>
      <w:tr w:rsidR="00E80955" w14:paraId="7634E41B" w14:textId="77777777" w:rsidTr="005F11EB">
        <w:tc>
          <w:tcPr>
            <w:tcW w:w="1948" w:type="dxa"/>
          </w:tcPr>
          <w:p w14:paraId="1E61C0C2" w14:textId="5CA5F213" w:rsidR="00E80955" w:rsidRPr="00381692" w:rsidRDefault="005F11EB" w:rsidP="00DB3831">
            <w:pPr>
              <w:pStyle w:val="CBDNormalNumber"/>
              <w:numPr>
                <w:ilvl w:val="0"/>
                <w:numId w:val="0"/>
              </w:numPr>
              <w:rPr>
                <w:sz w:val="20"/>
                <w:szCs w:val="20"/>
              </w:rPr>
            </w:pPr>
            <w:r>
              <w:rPr>
                <w:sz w:val="20"/>
                <w:szCs w:val="20"/>
              </w:rPr>
              <w:t>Novembre 2018</w:t>
            </w:r>
          </w:p>
        </w:tc>
        <w:tc>
          <w:tcPr>
            <w:tcW w:w="6835" w:type="dxa"/>
          </w:tcPr>
          <w:p w14:paraId="0FC2D746" w14:textId="229911AB" w:rsidR="009F4AB9" w:rsidRPr="00381692" w:rsidRDefault="00F254D7" w:rsidP="00381692">
            <w:pPr>
              <w:pStyle w:val="CBDNormalNumber"/>
              <w:numPr>
                <w:ilvl w:val="0"/>
                <w:numId w:val="0"/>
              </w:numPr>
              <w:jc w:val="left"/>
              <w:rPr>
                <w:sz w:val="20"/>
                <w:szCs w:val="20"/>
              </w:rPr>
            </w:pPr>
            <w:r>
              <w:rPr>
                <w:sz w:val="20"/>
                <w:szCs w:val="20"/>
              </w:rPr>
              <w:t xml:space="preserve">À sa troisième réunion, la Conférence des Parties siégeant en tant que réunion des Parties au Protocole a adopté la </w:t>
            </w:r>
            <w:hyperlink r:id="rId31" w:history="1">
              <w:r>
                <w:rPr>
                  <w:rStyle w:val="Hyperlink"/>
                  <w:color w:val="auto"/>
                  <w:sz w:val="20"/>
                  <w:szCs w:val="20"/>
                  <w:u w:val="none"/>
                </w:rPr>
                <w:t xml:space="preserve">décision </w:t>
              </w:r>
              <w:r>
                <w:rPr>
                  <w:rStyle w:val="Hyperlink"/>
                  <w:sz w:val="20"/>
                  <w:szCs w:val="20"/>
                </w:rPr>
                <w:t>NP-3/13</w:t>
              </w:r>
            </w:hyperlink>
            <w:r>
              <w:rPr>
                <w:sz w:val="20"/>
                <w:szCs w:val="20"/>
              </w:rPr>
              <w:t>, dans laquelle elle a estimé qu</w:t>
            </w:r>
            <w:r w:rsidR="0086763F">
              <w:rPr>
                <w:sz w:val="20"/>
                <w:szCs w:val="20"/>
              </w:rPr>
              <w:t>’</w:t>
            </w:r>
            <w:r>
              <w:rPr>
                <w:sz w:val="20"/>
                <w:szCs w:val="20"/>
              </w:rPr>
              <w:t>un complément d</w:t>
            </w:r>
            <w:r w:rsidR="0086763F">
              <w:rPr>
                <w:sz w:val="20"/>
                <w:szCs w:val="20"/>
              </w:rPr>
              <w:t>’</w:t>
            </w:r>
            <w:r>
              <w:rPr>
                <w:sz w:val="20"/>
                <w:szCs w:val="20"/>
              </w:rPr>
              <w:t>information faciliterait l</w:t>
            </w:r>
            <w:r w:rsidR="0086763F">
              <w:rPr>
                <w:sz w:val="20"/>
                <w:szCs w:val="20"/>
              </w:rPr>
              <w:t>’</w:t>
            </w:r>
            <w:r>
              <w:rPr>
                <w:sz w:val="20"/>
                <w:szCs w:val="20"/>
              </w:rPr>
              <w:t>examen de l</w:t>
            </w:r>
            <w:r w:rsidR="0086763F">
              <w:rPr>
                <w:sz w:val="20"/>
                <w:szCs w:val="20"/>
              </w:rPr>
              <w:t>’</w:t>
            </w:r>
            <w:r>
              <w:rPr>
                <w:sz w:val="20"/>
                <w:szCs w:val="20"/>
              </w:rPr>
              <w:t xml:space="preserve">article 10. Dans la même décision, la Conférence des Parties siégeant en tant que réunion des Parties au Protocole a prié la Secrétaire exécutive de commander une étude évaluée par des pairs </w:t>
            </w:r>
            <w:r w:rsidR="00FF60CC">
              <w:rPr>
                <w:sz w:val="20"/>
                <w:szCs w:val="20"/>
              </w:rPr>
              <w:t>visant à</w:t>
            </w:r>
            <w:r>
              <w:rPr>
                <w:sz w:val="20"/>
                <w:szCs w:val="20"/>
              </w:rPr>
              <w:t xml:space="preserve"> recenser des cas </w:t>
            </w:r>
            <w:r w:rsidR="00FF60CC">
              <w:rPr>
                <w:sz w:val="20"/>
                <w:szCs w:val="20"/>
              </w:rPr>
              <w:t xml:space="preserve">spécifiques à des </w:t>
            </w:r>
            <w:r>
              <w:rPr>
                <w:sz w:val="20"/>
                <w:szCs w:val="20"/>
              </w:rPr>
              <w:t xml:space="preserve">ressources génétiques et </w:t>
            </w:r>
            <w:r w:rsidR="00FF60CC">
              <w:rPr>
                <w:sz w:val="20"/>
                <w:szCs w:val="20"/>
              </w:rPr>
              <w:t xml:space="preserve">aux </w:t>
            </w:r>
            <w:r>
              <w:rPr>
                <w:sz w:val="20"/>
                <w:szCs w:val="20"/>
              </w:rPr>
              <w:t xml:space="preserve">connaissances traditionnelles associées aux ressources génétiques </w:t>
            </w:r>
            <w:r w:rsidR="00FF60CC">
              <w:rPr>
                <w:sz w:val="20"/>
                <w:szCs w:val="20"/>
              </w:rPr>
              <w:t>dans des</w:t>
            </w:r>
            <w:r>
              <w:rPr>
                <w:sz w:val="20"/>
                <w:szCs w:val="20"/>
              </w:rPr>
              <w:t xml:space="preserve"> situations transfrontières ou pour lesquelles il n</w:t>
            </w:r>
            <w:r w:rsidR="0086763F">
              <w:rPr>
                <w:sz w:val="20"/>
                <w:szCs w:val="20"/>
              </w:rPr>
              <w:t>’</w:t>
            </w:r>
            <w:r>
              <w:rPr>
                <w:sz w:val="20"/>
                <w:szCs w:val="20"/>
              </w:rPr>
              <w:t>était pas possible d</w:t>
            </w:r>
            <w:r w:rsidR="0086763F">
              <w:rPr>
                <w:sz w:val="20"/>
                <w:szCs w:val="20"/>
              </w:rPr>
              <w:t>’</w:t>
            </w:r>
            <w:r w:rsidR="00FF60CC">
              <w:rPr>
                <w:sz w:val="20"/>
                <w:szCs w:val="20"/>
              </w:rPr>
              <w:t xml:space="preserve">accorder </w:t>
            </w:r>
            <w:r>
              <w:rPr>
                <w:sz w:val="20"/>
                <w:szCs w:val="20"/>
              </w:rPr>
              <w:t>ou d</w:t>
            </w:r>
            <w:r w:rsidR="0086763F">
              <w:rPr>
                <w:sz w:val="20"/>
                <w:szCs w:val="20"/>
              </w:rPr>
              <w:t>’</w:t>
            </w:r>
            <w:r>
              <w:rPr>
                <w:sz w:val="20"/>
                <w:szCs w:val="20"/>
              </w:rPr>
              <w:t xml:space="preserve">obtenir </w:t>
            </w:r>
            <w:r w:rsidR="00FF60CC" w:rsidRPr="00FF60CC">
              <w:rPr>
                <w:sz w:val="20"/>
                <w:szCs w:val="20"/>
              </w:rPr>
              <w:t>le consentement préalable donné en connaissance de cause.</w:t>
            </w:r>
            <w:r w:rsidR="00FF60CC">
              <w:rPr>
                <w:sz w:val="20"/>
                <w:szCs w:val="20"/>
              </w:rPr>
              <w:t xml:space="preserve"> </w:t>
            </w:r>
            <w:r>
              <w:rPr>
                <w:sz w:val="20"/>
                <w:szCs w:val="20"/>
              </w:rPr>
              <w:t xml:space="preserve">Toujours dans la décision NP-3/13, la Conférence des Parties siégeant en tant que réunion des Parties au Protocole a invité à communiquer : </w:t>
            </w:r>
          </w:p>
          <w:p w14:paraId="2981755A" w14:textId="56938371" w:rsidR="00194850" w:rsidRDefault="005B5E3F" w:rsidP="00194850">
            <w:pPr>
              <w:pStyle w:val="CBDNormalNumber"/>
              <w:numPr>
                <w:ilvl w:val="0"/>
                <w:numId w:val="8"/>
              </w:numPr>
              <w:tabs>
                <w:tab w:val="clear" w:pos="567"/>
                <w:tab w:val="left" w:pos="775"/>
              </w:tabs>
              <w:rPr>
                <w:sz w:val="20"/>
                <w:szCs w:val="20"/>
              </w:rPr>
            </w:pPr>
            <w:r>
              <w:rPr>
                <w:sz w:val="20"/>
                <w:szCs w:val="20"/>
              </w:rPr>
              <w:t xml:space="preserve">Des informations sur des cas </w:t>
            </w:r>
            <w:r w:rsidR="00FD04E2">
              <w:rPr>
                <w:sz w:val="20"/>
                <w:szCs w:val="20"/>
              </w:rPr>
              <w:t>spécifiques qui pourraient appuyer le besoin d</w:t>
            </w:r>
            <w:r w:rsidR="0086763F">
              <w:rPr>
                <w:sz w:val="20"/>
                <w:szCs w:val="20"/>
              </w:rPr>
              <w:t>’</w:t>
            </w:r>
            <w:r w:rsidR="00FD04E2">
              <w:rPr>
                <w:sz w:val="20"/>
                <w:szCs w:val="20"/>
              </w:rPr>
              <w:t xml:space="preserve">un </w:t>
            </w:r>
            <w:r>
              <w:rPr>
                <w:sz w:val="20"/>
                <w:szCs w:val="20"/>
              </w:rPr>
              <w:t xml:space="preserve">mécanisme multilatéral mondial de partage des avantages, qui ne seraient pas couverts </w:t>
            </w:r>
            <w:r w:rsidR="00FD04E2">
              <w:rPr>
                <w:sz w:val="20"/>
                <w:szCs w:val="20"/>
              </w:rPr>
              <w:t xml:space="preserve">au titre de </w:t>
            </w:r>
            <w:r>
              <w:rPr>
                <w:sz w:val="20"/>
                <w:szCs w:val="20"/>
              </w:rPr>
              <w:t>l</w:t>
            </w:r>
            <w:r w:rsidR="0086763F">
              <w:rPr>
                <w:sz w:val="20"/>
                <w:szCs w:val="20"/>
              </w:rPr>
              <w:t>’</w:t>
            </w:r>
            <w:r>
              <w:rPr>
                <w:sz w:val="20"/>
                <w:szCs w:val="20"/>
              </w:rPr>
              <w:t xml:space="preserve">approche bilatérale, accompagnées </w:t>
            </w:r>
            <w:r w:rsidR="00FD04E2">
              <w:rPr>
                <w:sz w:val="20"/>
                <w:szCs w:val="20"/>
              </w:rPr>
              <w:t>des raisons pour lesquelles ces cas ne peuvent pas être couverts au titre de l</w:t>
            </w:r>
            <w:r w:rsidR="0086763F">
              <w:rPr>
                <w:sz w:val="20"/>
                <w:szCs w:val="20"/>
              </w:rPr>
              <w:t>’</w:t>
            </w:r>
            <w:r w:rsidR="00FD04E2">
              <w:rPr>
                <w:sz w:val="20"/>
                <w:szCs w:val="20"/>
              </w:rPr>
              <w:t xml:space="preserve">approche bilatérale établie </w:t>
            </w:r>
            <w:r>
              <w:rPr>
                <w:sz w:val="20"/>
                <w:szCs w:val="20"/>
              </w:rPr>
              <w:t xml:space="preserve">dans le Protocole de Nagoya ; et </w:t>
            </w:r>
          </w:p>
          <w:p w14:paraId="272CA14E" w14:textId="7FAF5A32" w:rsidR="00E80955" w:rsidRPr="00381692" w:rsidRDefault="00133FFF" w:rsidP="00194850">
            <w:pPr>
              <w:pStyle w:val="CBDNormalNumber"/>
              <w:numPr>
                <w:ilvl w:val="0"/>
                <w:numId w:val="8"/>
              </w:numPr>
              <w:tabs>
                <w:tab w:val="clear" w:pos="567"/>
                <w:tab w:val="left" w:pos="775"/>
              </w:tabs>
              <w:rPr>
                <w:sz w:val="20"/>
                <w:szCs w:val="20"/>
              </w:rPr>
            </w:pPr>
            <w:r>
              <w:rPr>
                <w:sz w:val="20"/>
                <w:szCs w:val="20"/>
              </w:rPr>
              <w:t xml:space="preserve">Des options </w:t>
            </w:r>
            <w:r w:rsidR="001F5F40">
              <w:rPr>
                <w:sz w:val="20"/>
                <w:szCs w:val="20"/>
              </w:rPr>
              <w:t xml:space="preserve">pour de possibles modalités pour aborder ce cas, </w:t>
            </w:r>
            <w:r>
              <w:rPr>
                <w:sz w:val="20"/>
                <w:szCs w:val="20"/>
              </w:rPr>
              <w:t xml:space="preserve">y compris </w:t>
            </w:r>
            <w:r w:rsidR="001F5F40">
              <w:rPr>
                <w:sz w:val="20"/>
                <w:szCs w:val="20"/>
              </w:rPr>
              <w:t>par le biais d</w:t>
            </w:r>
            <w:r w:rsidR="0086763F">
              <w:rPr>
                <w:sz w:val="20"/>
                <w:szCs w:val="20"/>
              </w:rPr>
              <w:t>’</w:t>
            </w:r>
            <w:r w:rsidR="001F5F40">
              <w:rPr>
                <w:sz w:val="20"/>
                <w:szCs w:val="20"/>
              </w:rPr>
              <w:t xml:space="preserve">un mécanisme </w:t>
            </w:r>
            <w:r>
              <w:rPr>
                <w:sz w:val="20"/>
                <w:szCs w:val="20"/>
              </w:rPr>
              <w:t xml:space="preserve">multilatéral mondial de partage des avantages. </w:t>
            </w:r>
          </w:p>
        </w:tc>
      </w:tr>
      <w:tr w:rsidR="00E80955" w14:paraId="36FAB599" w14:textId="77777777" w:rsidTr="005F11EB">
        <w:tc>
          <w:tcPr>
            <w:tcW w:w="1948" w:type="dxa"/>
          </w:tcPr>
          <w:p w14:paraId="116BA854" w14:textId="40D106AF" w:rsidR="00E80955" w:rsidRPr="00381692" w:rsidRDefault="005F11EB" w:rsidP="00DB3831">
            <w:pPr>
              <w:pStyle w:val="CBDNormalNumber"/>
              <w:numPr>
                <w:ilvl w:val="0"/>
                <w:numId w:val="0"/>
              </w:numPr>
              <w:rPr>
                <w:sz w:val="20"/>
                <w:szCs w:val="20"/>
              </w:rPr>
            </w:pPr>
            <w:r>
              <w:rPr>
                <w:sz w:val="20"/>
                <w:szCs w:val="20"/>
              </w:rPr>
              <w:t>2019</w:t>
            </w:r>
          </w:p>
        </w:tc>
        <w:tc>
          <w:tcPr>
            <w:tcW w:w="6835" w:type="dxa"/>
          </w:tcPr>
          <w:p w14:paraId="6A2560AD" w14:textId="29D50B1D" w:rsidR="00E80955" w:rsidRPr="00381692" w:rsidRDefault="00191F76" w:rsidP="00381692">
            <w:pPr>
              <w:pStyle w:val="CBDNormalNumber"/>
              <w:numPr>
                <w:ilvl w:val="0"/>
                <w:numId w:val="0"/>
              </w:numPr>
              <w:jc w:val="left"/>
              <w:rPr>
                <w:sz w:val="20"/>
                <w:szCs w:val="20"/>
              </w:rPr>
            </w:pPr>
            <w:r>
              <w:rPr>
                <w:sz w:val="20"/>
                <w:szCs w:val="20"/>
              </w:rPr>
              <w:t xml:space="preserve">Communication </w:t>
            </w:r>
            <w:r w:rsidR="00F92D36">
              <w:rPr>
                <w:sz w:val="20"/>
                <w:szCs w:val="20"/>
              </w:rPr>
              <w:t xml:space="preserve">des points de vue et des informations suite à la décision </w:t>
            </w:r>
            <w:hyperlink r:id="rId32" w:history="1">
              <w:r w:rsidR="00740FA7">
                <w:rPr>
                  <w:rStyle w:val="Hyperlink"/>
                  <w:sz w:val="20"/>
                  <w:szCs w:val="20"/>
                </w:rPr>
                <w:t>NP-3/13</w:t>
              </w:r>
            </w:hyperlink>
            <w:r w:rsidR="00740FA7">
              <w:rPr>
                <w:sz w:val="20"/>
                <w:szCs w:val="20"/>
              </w:rPr>
              <w:t xml:space="preserve"> (voir </w:t>
            </w:r>
            <w:hyperlink r:id="rId33" w:history="1">
              <w:r w:rsidR="00740FA7">
                <w:rPr>
                  <w:rStyle w:val="Hyperlink"/>
                  <w:sz w:val="20"/>
                  <w:szCs w:val="20"/>
                </w:rPr>
                <w:t>www.cbd.int/abs/art10/2019-2020/submissions.shtml</w:t>
              </w:r>
            </w:hyperlink>
            <w:r w:rsidR="00740FA7">
              <w:rPr>
                <w:sz w:val="20"/>
                <w:szCs w:val="20"/>
              </w:rPr>
              <w:t>).</w:t>
            </w:r>
          </w:p>
        </w:tc>
      </w:tr>
      <w:tr w:rsidR="00E80955" w14:paraId="18EF887A" w14:textId="77777777" w:rsidTr="005F11EB">
        <w:tc>
          <w:tcPr>
            <w:tcW w:w="1948" w:type="dxa"/>
          </w:tcPr>
          <w:p w14:paraId="6EAE5563" w14:textId="3733DB9D" w:rsidR="00E80955" w:rsidRPr="00381692" w:rsidRDefault="005F11EB" w:rsidP="00DB3831">
            <w:pPr>
              <w:pStyle w:val="CBDNormalNumber"/>
              <w:numPr>
                <w:ilvl w:val="0"/>
                <w:numId w:val="0"/>
              </w:numPr>
              <w:rPr>
                <w:sz w:val="20"/>
                <w:szCs w:val="20"/>
              </w:rPr>
            </w:pPr>
            <w:r>
              <w:rPr>
                <w:sz w:val="20"/>
                <w:szCs w:val="20"/>
              </w:rPr>
              <w:t>2020</w:t>
            </w:r>
          </w:p>
        </w:tc>
        <w:tc>
          <w:tcPr>
            <w:tcW w:w="6835" w:type="dxa"/>
          </w:tcPr>
          <w:p w14:paraId="310E9ED1" w14:textId="7FF19371" w:rsidR="00E80955" w:rsidRPr="00381692" w:rsidRDefault="007057B9" w:rsidP="00381692">
            <w:pPr>
              <w:pStyle w:val="CBDNormalNumber"/>
              <w:numPr>
                <w:ilvl w:val="0"/>
                <w:numId w:val="0"/>
              </w:numPr>
              <w:jc w:val="left"/>
              <w:rPr>
                <w:sz w:val="20"/>
                <w:szCs w:val="20"/>
              </w:rPr>
            </w:pPr>
            <w:r>
              <w:rPr>
                <w:sz w:val="20"/>
                <w:szCs w:val="20"/>
              </w:rPr>
              <w:t>Commande d</w:t>
            </w:r>
            <w:r w:rsidR="0086763F">
              <w:rPr>
                <w:sz w:val="20"/>
                <w:szCs w:val="20"/>
              </w:rPr>
              <w:t>’</w:t>
            </w:r>
            <w:r>
              <w:rPr>
                <w:sz w:val="20"/>
                <w:szCs w:val="20"/>
              </w:rPr>
              <w:t xml:space="preserve">une étude visant à recenser des cas </w:t>
            </w:r>
            <w:r w:rsidR="00F92D36">
              <w:rPr>
                <w:sz w:val="20"/>
                <w:szCs w:val="20"/>
              </w:rPr>
              <w:t>spécifiques</w:t>
            </w:r>
            <w:r>
              <w:rPr>
                <w:sz w:val="20"/>
                <w:szCs w:val="20"/>
              </w:rPr>
              <w:t xml:space="preserve"> de ressources génétiques et de connaissances traditionnelles associées aux ressources génétiques dans des situations transfrontières ou pour lesquelles il n</w:t>
            </w:r>
            <w:r w:rsidR="0086763F">
              <w:rPr>
                <w:sz w:val="20"/>
                <w:szCs w:val="20"/>
              </w:rPr>
              <w:t>’</w:t>
            </w:r>
            <w:r>
              <w:rPr>
                <w:sz w:val="20"/>
                <w:szCs w:val="20"/>
              </w:rPr>
              <w:t>était pas possible d</w:t>
            </w:r>
            <w:r w:rsidR="0086763F">
              <w:rPr>
                <w:sz w:val="20"/>
                <w:szCs w:val="20"/>
              </w:rPr>
              <w:t>’</w:t>
            </w:r>
            <w:r w:rsidR="00F92D36">
              <w:rPr>
                <w:sz w:val="20"/>
                <w:szCs w:val="20"/>
              </w:rPr>
              <w:t xml:space="preserve">accorder </w:t>
            </w:r>
            <w:r>
              <w:rPr>
                <w:sz w:val="20"/>
                <w:szCs w:val="20"/>
              </w:rPr>
              <w:t>ou d</w:t>
            </w:r>
            <w:r w:rsidR="0086763F">
              <w:rPr>
                <w:sz w:val="20"/>
                <w:szCs w:val="20"/>
              </w:rPr>
              <w:t>’</w:t>
            </w:r>
            <w:r>
              <w:rPr>
                <w:sz w:val="20"/>
                <w:szCs w:val="20"/>
              </w:rPr>
              <w:t xml:space="preserve">obtenir </w:t>
            </w:r>
            <w:r w:rsidR="00F92D36">
              <w:rPr>
                <w:sz w:val="20"/>
                <w:szCs w:val="20"/>
              </w:rPr>
              <w:t xml:space="preserve">le </w:t>
            </w:r>
            <w:r>
              <w:rPr>
                <w:sz w:val="20"/>
                <w:szCs w:val="20"/>
              </w:rPr>
              <w:t>consentement préalable donné en connaissance de cause.</w:t>
            </w:r>
          </w:p>
        </w:tc>
      </w:tr>
      <w:tr w:rsidR="00E80955" w14:paraId="27E16F10" w14:textId="77777777" w:rsidTr="005F11EB">
        <w:tc>
          <w:tcPr>
            <w:tcW w:w="1948" w:type="dxa"/>
          </w:tcPr>
          <w:p w14:paraId="38515B49" w14:textId="6AD448D6" w:rsidR="00E80955" w:rsidRPr="00381692" w:rsidRDefault="005F11EB" w:rsidP="00DB3831">
            <w:pPr>
              <w:pStyle w:val="CBDNormalNumber"/>
              <w:numPr>
                <w:ilvl w:val="0"/>
                <w:numId w:val="0"/>
              </w:numPr>
              <w:rPr>
                <w:sz w:val="20"/>
                <w:szCs w:val="20"/>
              </w:rPr>
            </w:pPr>
            <w:r>
              <w:rPr>
                <w:sz w:val="20"/>
                <w:szCs w:val="20"/>
              </w:rPr>
              <w:t>Mars 2022</w:t>
            </w:r>
          </w:p>
        </w:tc>
        <w:tc>
          <w:tcPr>
            <w:tcW w:w="6835" w:type="dxa"/>
          </w:tcPr>
          <w:p w14:paraId="2427D9F6" w14:textId="51976DC9" w:rsidR="00E80955" w:rsidRPr="00381692" w:rsidRDefault="001B7339" w:rsidP="00381692">
            <w:pPr>
              <w:pStyle w:val="CBDNormalNumber"/>
              <w:numPr>
                <w:ilvl w:val="0"/>
                <w:numId w:val="0"/>
              </w:numPr>
              <w:jc w:val="left"/>
              <w:rPr>
                <w:sz w:val="20"/>
                <w:szCs w:val="20"/>
              </w:rPr>
            </w:pPr>
            <w:r>
              <w:rPr>
                <w:sz w:val="20"/>
                <w:szCs w:val="20"/>
              </w:rPr>
              <w:t>À sa troisième réunion, l</w:t>
            </w:r>
            <w:r w:rsidR="0086763F">
              <w:rPr>
                <w:sz w:val="20"/>
                <w:szCs w:val="20"/>
              </w:rPr>
              <w:t>’</w:t>
            </w:r>
            <w:r>
              <w:rPr>
                <w:sz w:val="20"/>
                <w:szCs w:val="20"/>
              </w:rPr>
              <w:t>Organe subsidiaire chargé de l</w:t>
            </w:r>
            <w:r w:rsidR="0086763F">
              <w:rPr>
                <w:sz w:val="20"/>
                <w:szCs w:val="20"/>
              </w:rPr>
              <w:t>’</w:t>
            </w:r>
            <w:r>
              <w:rPr>
                <w:sz w:val="20"/>
                <w:szCs w:val="20"/>
              </w:rPr>
              <w:t>application a examiné une note de la Secrétaire exécutive contenant une synthèse des points de vue et des informations sur l</w:t>
            </w:r>
            <w:r w:rsidR="0086763F">
              <w:rPr>
                <w:sz w:val="20"/>
                <w:szCs w:val="20"/>
              </w:rPr>
              <w:t>’</w:t>
            </w:r>
            <w:r>
              <w:rPr>
                <w:sz w:val="20"/>
                <w:szCs w:val="20"/>
              </w:rPr>
              <w:t xml:space="preserve">article 10 du Protocole de Nagoya communiqués conformément à la décision </w:t>
            </w:r>
            <w:hyperlink r:id="rId34" w:history="1">
              <w:r>
                <w:rPr>
                  <w:rStyle w:val="Hyperlink"/>
                  <w:sz w:val="20"/>
                  <w:szCs w:val="20"/>
                </w:rPr>
                <w:t>NP-3/13</w:t>
              </w:r>
            </w:hyperlink>
            <w:r>
              <w:rPr>
                <w:i/>
                <w:iCs/>
                <w:vertAlign w:val="superscript"/>
              </w:rPr>
              <w:t>g</w:t>
            </w:r>
            <w:r>
              <w:rPr>
                <w:sz w:val="20"/>
                <w:szCs w:val="20"/>
              </w:rPr>
              <w:t xml:space="preserve"> et a également examiné une étude évaluée par des pairs sur des cas </w:t>
            </w:r>
            <w:r w:rsidR="0028565E">
              <w:rPr>
                <w:sz w:val="20"/>
                <w:szCs w:val="20"/>
              </w:rPr>
              <w:t>spécifiques</w:t>
            </w:r>
            <w:r>
              <w:rPr>
                <w:sz w:val="20"/>
                <w:szCs w:val="20"/>
              </w:rPr>
              <w:t xml:space="preserve"> de ressources génétiques et de connaissances traditionnelles associées aux ressources génétiques dans des situations transfrontières ou pour lesquelles il n</w:t>
            </w:r>
            <w:r w:rsidR="0086763F">
              <w:rPr>
                <w:sz w:val="20"/>
                <w:szCs w:val="20"/>
              </w:rPr>
              <w:t>’</w:t>
            </w:r>
            <w:r>
              <w:rPr>
                <w:sz w:val="20"/>
                <w:szCs w:val="20"/>
              </w:rPr>
              <w:t>est pas possible d</w:t>
            </w:r>
            <w:r w:rsidR="0086763F">
              <w:rPr>
                <w:sz w:val="20"/>
                <w:szCs w:val="20"/>
              </w:rPr>
              <w:t>’</w:t>
            </w:r>
            <w:r w:rsidR="0028565E">
              <w:rPr>
                <w:sz w:val="20"/>
                <w:szCs w:val="20"/>
              </w:rPr>
              <w:t xml:space="preserve">accorder </w:t>
            </w:r>
            <w:r>
              <w:rPr>
                <w:sz w:val="20"/>
                <w:szCs w:val="20"/>
              </w:rPr>
              <w:t>ou d</w:t>
            </w:r>
            <w:r w:rsidR="0086763F">
              <w:rPr>
                <w:sz w:val="20"/>
                <w:szCs w:val="20"/>
              </w:rPr>
              <w:t>’</w:t>
            </w:r>
            <w:r>
              <w:rPr>
                <w:sz w:val="20"/>
                <w:szCs w:val="20"/>
              </w:rPr>
              <w:t xml:space="preserve">obtenir </w:t>
            </w:r>
            <w:r w:rsidR="0028565E">
              <w:rPr>
                <w:sz w:val="20"/>
                <w:szCs w:val="20"/>
              </w:rPr>
              <w:t>le</w:t>
            </w:r>
            <w:r>
              <w:rPr>
                <w:sz w:val="20"/>
                <w:szCs w:val="20"/>
              </w:rPr>
              <w:t xml:space="preserve"> </w:t>
            </w:r>
            <w:r>
              <w:rPr>
                <w:sz w:val="20"/>
                <w:szCs w:val="20"/>
              </w:rPr>
              <w:lastRenderedPageBreak/>
              <w:t>consentement préalable donné en connaissance de cause</w:t>
            </w:r>
            <w:r>
              <w:rPr>
                <w:i/>
                <w:iCs/>
                <w:vertAlign w:val="superscript"/>
              </w:rPr>
              <w:t>h</w:t>
            </w:r>
            <w:r>
              <w:rPr>
                <w:sz w:val="20"/>
                <w:szCs w:val="20"/>
              </w:rPr>
              <w:t>. L</w:t>
            </w:r>
            <w:r w:rsidR="0086763F">
              <w:rPr>
                <w:sz w:val="20"/>
                <w:szCs w:val="20"/>
              </w:rPr>
              <w:t>’</w:t>
            </w:r>
            <w:r>
              <w:rPr>
                <w:sz w:val="20"/>
                <w:szCs w:val="20"/>
              </w:rPr>
              <w:t xml:space="preserve">Organe subsidiaire a recommandé un projet de décision pour examen par la Conférence des Parties siégeant en tant que réunion des Parties au Protocole à sa quatrième réunion (voir la </w:t>
            </w:r>
            <w:hyperlink r:id="rId35" w:history="1">
              <w:r>
                <w:rPr>
                  <w:rStyle w:val="Hyperlink"/>
                  <w:color w:val="auto"/>
                  <w:sz w:val="20"/>
                  <w:szCs w:val="20"/>
                  <w:u w:val="none"/>
                </w:rPr>
                <w:t xml:space="preserve">recommandation </w:t>
              </w:r>
              <w:r>
                <w:rPr>
                  <w:rStyle w:val="Hyperlink"/>
                  <w:sz w:val="20"/>
                  <w:szCs w:val="20"/>
                </w:rPr>
                <w:t>3/17</w:t>
              </w:r>
            </w:hyperlink>
            <w:r>
              <w:rPr>
                <w:sz w:val="20"/>
                <w:szCs w:val="20"/>
              </w:rPr>
              <w:t>).</w:t>
            </w:r>
          </w:p>
        </w:tc>
      </w:tr>
      <w:tr w:rsidR="00E80955" w14:paraId="29C40378" w14:textId="77777777" w:rsidTr="005F11EB">
        <w:tc>
          <w:tcPr>
            <w:tcW w:w="1948" w:type="dxa"/>
          </w:tcPr>
          <w:p w14:paraId="5BD781C2" w14:textId="632EE875" w:rsidR="00E80955" w:rsidRPr="00381692" w:rsidRDefault="005F11EB" w:rsidP="00DB3831">
            <w:pPr>
              <w:pStyle w:val="CBDNormalNumber"/>
              <w:numPr>
                <w:ilvl w:val="0"/>
                <w:numId w:val="0"/>
              </w:numPr>
              <w:rPr>
                <w:sz w:val="20"/>
                <w:szCs w:val="20"/>
              </w:rPr>
            </w:pPr>
            <w:r>
              <w:rPr>
                <w:sz w:val="20"/>
                <w:szCs w:val="20"/>
              </w:rPr>
              <w:lastRenderedPageBreak/>
              <w:t>Décembre 2022</w:t>
            </w:r>
          </w:p>
        </w:tc>
        <w:tc>
          <w:tcPr>
            <w:tcW w:w="6835" w:type="dxa"/>
          </w:tcPr>
          <w:p w14:paraId="7599D66D" w14:textId="1971F4F9" w:rsidR="00E80955" w:rsidRPr="00381692" w:rsidRDefault="005F7391" w:rsidP="00DB3831">
            <w:pPr>
              <w:pStyle w:val="CBDNormalNumber"/>
              <w:numPr>
                <w:ilvl w:val="0"/>
                <w:numId w:val="0"/>
              </w:numPr>
              <w:rPr>
                <w:sz w:val="20"/>
                <w:szCs w:val="20"/>
              </w:rPr>
            </w:pPr>
            <w:r>
              <w:rPr>
                <w:sz w:val="20"/>
                <w:szCs w:val="20"/>
              </w:rPr>
              <w:t>À sa quatrième réunion, la Conférence des Parties siégeant en tant que réunion des Parties au Protocole a décidé de réexaminer à sa cinquième réunion la question de la nécessité et des modalités d</w:t>
            </w:r>
            <w:r w:rsidR="0086763F">
              <w:rPr>
                <w:sz w:val="20"/>
                <w:szCs w:val="20"/>
              </w:rPr>
              <w:t>’</w:t>
            </w:r>
            <w:r>
              <w:rPr>
                <w:sz w:val="20"/>
                <w:szCs w:val="20"/>
              </w:rPr>
              <w:t>un mécanisme multilatéral mondial de partage des avantages,</w:t>
            </w:r>
            <w:r w:rsidR="0028565E">
              <w:rPr>
                <w:sz w:val="20"/>
                <w:szCs w:val="20"/>
              </w:rPr>
              <w:t xml:space="preserve"> tel que </w:t>
            </w:r>
            <w:r>
              <w:rPr>
                <w:sz w:val="20"/>
                <w:szCs w:val="20"/>
              </w:rPr>
              <w:t>prévu à l</w:t>
            </w:r>
            <w:r w:rsidR="0086763F">
              <w:rPr>
                <w:sz w:val="20"/>
                <w:szCs w:val="20"/>
              </w:rPr>
              <w:t>’</w:t>
            </w:r>
            <w:r>
              <w:rPr>
                <w:sz w:val="20"/>
                <w:szCs w:val="20"/>
              </w:rPr>
              <w:t xml:space="preserve">article 10 du Protocole de Nagoya (voir la </w:t>
            </w:r>
            <w:hyperlink r:id="rId36" w:history="1">
              <w:r>
                <w:rPr>
                  <w:rStyle w:val="Hyperlink"/>
                  <w:sz w:val="20"/>
                  <w:szCs w:val="20"/>
                </w:rPr>
                <w:t>décision NP-4/10</w:t>
              </w:r>
            </w:hyperlink>
            <w:r>
              <w:rPr>
                <w:sz w:val="20"/>
                <w:szCs w:val="20"/>
              </w:rPr>
              <w:t>).</w:t>
            </w:r>
          </w:p>
        </w:tc>
      </w:tr>
      <w:tr w:rsidR="00E80955" w14:paraId="684EB38D" w14:textId="77777777" w:rsidTr="005F11EB">
        <w:tc>
          <w:tcPr>
            <w:tcW w:w="1948" w:type="dxa"/>
          </w:tcPr>
          <w:p w14:paraId="63BAE44A" w14:textId="5FD854A3" w:rsidR="00E80955" w:rsidRPr="00381692" w:rsidRDefault="005F11EB" w:rsidP="00DB3831">
            <w:pPr>
              <w:pStyle w:val="CBDNormalNumber"/>
              <w:numPr>
                <w:ilvl w:val="0"/>
                <w:numId w:val="0"/>
              </w:numPr>
              <w:rPr>
                <w:sz w:val="20"/>
                <w:szCs w:val="20"/>
              </w:rPr>
            </w:pPr>
            <w:r>
              <w:rPr>
                <w:sz w:val="20"/>
                <w:szCs w:val="20"/>
              </w:rPr>
              <w:t>Octobre 2024</w:t>
            </w:r>
          </w:p>
        </w:tc>
        <w:tc>
          <w:tcPr>
            <w:tcW w:w="6835" w:type="dxa"/>
          </w:tcPr>
          <w:p w14:paraId="13D4DDD3" w14:textId="10E3DC7C" w:rsidR="00E80955" w:rsidRPr="00381692" w:rsidRDefault="00EC3A79" w:rsidP="00DB3831">
            <w:pPr>
              <w:pStyle w:val="CBDNormalNumber"/>
              <w:numPr>
                <w:ilvl w:val="0"/>
                <w:numId w:val="0"/>
              </w:numPr>
              <w:rPr>
                <w:sz w:val="20"/>
                <w:szCs w:val="20"/>
              </w:rPr>
            </w:pPr>
            <w:r>
              <w:rPr>
                <w:sz w:val="20"/>
                <w:szCs w:val="20"/>
              </w:rPr>
              <w:t>À sa cinquième réunion, la Conférence des Parties siégeant en tant que réunion des Parties au Protocole a décidé de réexaminer à sa sixième réunion la question de la nécessité et des modalités d</w:t>
            </w:r>
            <w:r w:rsidR="0086763F">
              <w:rPr>
                <w:sz w:val="20"/>
                <w:szCs w:val="20"/>
              </w:rPr>
              <w:t>’</w:t>
            </w:r>
            <w:r>
              <w:rPr>
                <w:sz w:val="20"/>
                <w:szCs w:val="20"/>
              </w:rPr>
              <w:t>un mécanisme multilatéral mondial de partage des avantages, en tenant compte de l</w:t>
            </w:r>
            <w:r w:rsidR="0086763F">
              <w:rPr>
                <w:sz w:val="20"/>
                <w:szCs w:val="20"/>
              </w:rPr>
              <w:t>’</w:t>
            </w:r>
            <w:r>
              <w:rPr>
                <w:sz w:val="20"/>
                <w:szCs w:val="20"/>
              </w:rPr>
              <w:t xml:space="preserve">analyse et de la synthèse des informations </w:t>
            </w:r>
            <w:r w:rsidR="0028565E">
              <w:rPr>
                <w:sz w:val="20"/>
                <w:szCs w:val="20"/>
              </w:rPr>
              <w:t>relatives au d</w:t>
            </w:r>
            <w:r>
              <w:rPr>
                <w:sz w:val="20"/>
                <w:szCs w:val="20"/>
              </w:rPr>
              <w:t>euxième exercice d</w:t>
            </w:r>
            <w:r w:rsidR="0086763F">
              <w:rPr>
                <w:sz w:val="20"/>
                <w:szCs w:val="20"/>
              </w:rPr>
              <w:t>’</w:t>
            </w:r>
            <w:r>
              <w:rPr>
                <w:sz w:val="20"/>
                <w:szCs w:val="20"/>
              </w:rPr>
              <w:t>évaluation et d</w:t>
            </w:r>
            <w:r w:rsidR="0086763F">
              <w:rPr>
                <w:sz w:val="20"/>
                <w:szCs w:val="20"/>
              </w:rPr>
              <w:t>’</w:t>
            </w:r>
            <w:r>
              <w:rPr>
                <w:sz w:val="20"/>
                <w:szCs w:val="20"/>
              </w:rPr>
              <w:t xml:space="preserve">examen du Protocole (voir la </w:t>
            </w:r>
            <w:hyperlink r:id="rId37" w:history="1">
              <w:r>
                <w:rPr>
                  <w:rStyle w:val="Hyperlink"/>
                  <w:sz w:val="20"/>
                  <w:szCs w:val="20"/>
                </w:rPr>
                <w:t>décision NP-5/7</w:t>
              </w:r>
            </w:hyperlink>
            <w:r>
              <w:rPr>
                <w:sz w:val="20"/>
                <w:szCs w:val="20"/>
              </w:rPr>
              <w:t>).</w:t>
            </w:r>
          </w:p>
        </w:tc>
      </w:tr>
    </w:tbl>
    <w:p w14:paraId="20838479" w14:textId="082E2F64" w:rsidR="00C351D5" w:rsidRPr="008B288D" w:rsidRDefault="00BE3676" w:rsidP="00BE3676">
      <w:pPr>
        <w:pStyle w:val="CBDH1"/>
        <w:spacing w:before="0" w:after="0"/>
        <w:ind w:firstLine="0"/>
        <w:rPr>
          <w:b w:val="0"/>
          <w:bCs/>
          <w:sz w:val="18"/>
          <w:szCs w:val="18"/>
        </w:rPr>
      </w:pPr>
      <w:r w:rsidRPr="008B288D">
        <w:rPr>
          <w:b w:val="0"/>
          <w:bCs/>
          <w:i/>
          <w:iCs/>
          <w:sz w:val="22"/>
          <w:vertAlign w:val="superscript"/>
        </w:rPr>
        <w:t>a</w:t>
      </w:r>
      <w:r w:rsidRPr="008B288D">
        <w:rPr>
          <w:b w:val="0"/>
          <w:bCs/>
        </w:rPr>
        <w:t xml:space="preserve"> </w:t>
      </w:r>
      <w:hyperlink r:id="rId38" w:history="1">
        <w:r w:rsidRPr="008B288D">
          <w:rPr>
            <w:rStyle w:val="Hyperlink"/>
            <w:b w:val="0"/>
            <w:bCs/>
            <w:sz w:val="18"/>
            <w:szCs w:val="18"/>
          </w:rPr>
          <w:t>UNEP/CBD/ICNP/2/7</w:t>
        </w:r>
      </w:hyperlink>
      <w:r w:rsidRPr="008B288D">
        <w:rPr>
          <w:b w:val="0"/>
          <w:bCs/>
          <w:sz w:val="18"/>
          <w:szCs w:val="18"/>
        </w:rPr>
        <w:t> et </w:t>
      </w:r>
      <w:hyperlink r:id="rId39" w:history="1">
        <w:r w:rsidRPr="008B288D">
          <w:rPr>
            <w:rStyle w:val="Hyperlink"/>
            <w:b w:val="0"/>
            <w:bCs/>
            <w:sz w:val="18"/>
            <w:szCs w:val="18"/>
          </w:rPr>
          <w:t>Corr.1</w:t>
        </w:r>
      </w:hyperlink>
      <w:r w:rsidRPr="008B288D">
        <w:rPr>
          <w:b w:val="0"/>
          <w:bCs/>
          <w:sz w:val="18"/>
          <w:szCs w:val="18"/>
        </w:rPr>
        <w:t>.</w:t>
      </w:r>
    </w:p>
    <w:p w14:paraId="1B227118" w14:textId="257F3E0F" w:rsidR="00BE3676" w:rsidRPr="0086763F" w:rsidRDefault="00933BF9" w:rsidP="002C1FD5">
      <w:pPr>
        <w:pStyle w:val="CBDNormalNoNumber"/>
        <w:spacing w:after="0"/>
        <w:rPr>
          <w:lang w:val="en-ZA"/>
        </w:rPr>
      </w:pPr>
      <w:r w:rsidRPr="0086763F">
        <w:rPr>
          <w:i/>
          <w:iCs/>
          <w:vertAlign w:val="superscript"/>
          <w:lang w:val="en-ZA"/>
        </w:rPr>
        <w:t>b</w:t>
      </w:r>
      <w:r w:rsidRPr="0086763F">
        <w:rPr>
          <w:lang w:val="en-ZA"/>
        </w:rPr>
        <w:t> </w:t>
      </w:r>
      <w:hyperlink r:id="rId40" w:history="1">
        <w:r w:rsidRPr="0086763F">
          <w:rPr>
            <w:rStyle w:val="Hyperlink"/>
            <w:sz w:val="18"/>
            <w:szCs w:val="18"/>
            <w:lang w:val="en-ZA"/>
          </w:rPr>
          <w:t>UNEP/CBD/ICNP/3/5</w:t>
        </w:r>
      </w:hyperlink>
      <w:r w:rsidRPr="0086763F">
        <w:rPr>
          <w:lang w:val="en-ZA"/>
        </w:rPr>
        <w:t>.</w:t>
      </w:r>
    </w:p>
    <w:p w14:paraId="0AC67611" w14:textId="73A3F504" w:rsidR="00933BF9" w:rsidRPr="0086763F" w:rsidRDefault="002C1FD5" w:rsidP="002C1FD5">
      <w:pPr>
        <w:pStyle w:val="CBDNormalNoNumber"/>
        <w:spacing w:after="0"/>
        <w:rPr>
          <w:sz w:val="18"/>
          <w:szCs w:val="18"/>
          <w:lang w:val="en-ZA"/>
        </w:rPr>
      </w:pPr>
      <w:r w:rsidRPr="0086763F">
        <w:rPr>
          <w:i/>
          <w:iCs/>
          <w:vertAlign w:val="superscript"/>
          <w:lang w:val="en-ZA"/>
        </w:rPr>
        <w:t>c</w:t>
      </w:r>
      <w:r w:rsidRPr="0086763F">
        <w:rPr>
          <w:lang w:val="en-ZA"/>
        </w:rPr>
        <w:t> </w:t>
      </w:r>
      <w:hyperlink r:id="rId41" w:history="1">
        <w:r w:rsidRPr="0086763F">
          <w:rPr>
            <w:rStyle w:val="Hyperlink"/>
            <w:sz w:val="18"/>
            <w:szCs w:val="18"/>
            <w:lang w:val="en-ZA"/>
          </w:rPr>
          <w:t>UNEP/CBD/ABS/A10/EM/2016/1/2</w:t>
        </w:r>
      </w:hyperlink>
      <w:r w:rsidRPr="0086763F">
        <w:rPr>
          <w:sz w:val="18"/>
          <w:szCs w:val="18"/>
          <w:lang w:val="en-ZA"/>
        </w:rPr>
        <w:t>.</w:t>
      </w:r>
    </w:p>
    <w:p w14:paraId="02B86ABA" w14:textId="7AD6D24A" w:rsidR="002C1FD5" w:rsidRPr="0086763F" w:rsidRDefault="00E129CA" w:rsidP="002C1FD5">
      <w:pPr>
        <w:pStyle w:val="CBDNormalNoNumber"/>
        <w:spacing w:after="0"/>
        <w:rPr>
          <w:sz w:val="18"/>
          <w:szCs w:val="18"/>
          <w:lang w:val="en-ZA"/>
        </w:rPr>
      </w:pPr>
      <w:r w:rsidRPr="0086763F">
        <w:rPr>
          <w:i/>
          <w:iCs/>
          <w:vertAlign w:val="superscript"/>
          <w:lang w:val="en-ZA"/>
        </w:rPr>
        <w:t>d</w:t>
      </w:r>
      <w:r w:rsidRPr="0086763F">
        <w:rPr>
          <w:lang w:val="en-ZA"/>
        </w:rPr>
        <w:t> </w:t>
      </w:r>
      <w:hyperlink r:id="rId42" w:history="1">
        <w:r w:rsidRPr="0086763F">
          <w:rPr>
            <w:rStyle w:val="Hyperlink"/>
            <w:sz w:val="18"/>
            <w:szCs w:val="18"/>
            <w:lang w:val="en-ZA"/>
          </w:rPr>
          <w:t>UNEP/CBD/ABS/A10/EM</w:t>
        </w:r>
        <w:r w:rsidRPr="0086763F">
          <w:rPr>
            <w:rStyle w:val="Hyperlink"/>
            <w:sz w:val="18"/>
            <w:szCs w:val="18"/>
            <w:lang w:val="en-ZA"/>
          </w:rPr>
          <w:t>/</w:t>
        </w:r>
        <w:r w:rsidRPr="0086763F">
          <w:rPr>
            <w:rStyle w:val="Hyperlink"/>
            <w:sz w:val="18"/>
            <w:szCs w:val="18"/>
            <w:lang w:val="en-ZA"/>
          </w:rPr>
          <w:t>2016/1/3</w:t>
        </w:r>
      </w:hyperlink>
      <w:r w:rsidRPr="0086763F">
        <w:rPr>
          <w:sz w:val="18"/>
          <w:szCs w:val="18"/>
          <w:lang w:val="en-ZA"/>
        </w:rPr>
        <w:t>.</w:t>
      </w:r>
    </w:p>
    <w:p w14:paraId="2867AA2C" w14:textId="760CB3AA" w:rsidR="00A96F74" w:rsidRPr="0086763F" w:rsidRDefault="00484DC0" w:rsidP="002C1FD5">
      <w:pPr>
        <w:pStyle w:val="CBDNormalNoNumber"/>
        <w:spacing w:after="0"/>
        <w:rPr>
          <w:sz w:val="18"/>
          <w:szCs w:val="18"/>
          <w:lang w:val="en-ZA"/>
        </w:rPr>
      </w:pPr>
      <w:r w:rsidRPr="0086763F">
        <w:rPr>
          <w:i/>
          <w:iCs/>
          <w:vertAlign w:val="superscript"/>
          <w:lang w:val="en-ZA"/>
        </w:rPr>
        <w:t>e</w:t>
      </w:r>
      <w:r w:rsidRPr="0086763F">
        <w:rPr>
          <w:lang w:val="en-ZA"/>
        </w:rPr>
        <w:t> </w:t>
      </w:r>
      <w:hyperlink r:id="rId43" w:history="1">
        <w:r w:rsidRPr="0086763F">
          <w:rPr>
            <w:rStyle w:val="Hyperlink"/>
            <w:sz w:val="18"/>
            <w:szCs w:val="18"/>
            <w:lang w:val="en-ZA"/>
          </w:rPr>
          <w:t>UNEP/CBD/NP/COP-MOP/2/10</w:t>
        </w:r>
      </w:hyperlink>
      <w:r w:rsidRPr="0086763F">
        <w:rPr>
          <w:sz w:val="18"/>
          <w:szCs w:val="18"/>
          <w:lang w:val="en-ZA"/>
        </w:rPr>
        <w:t>.</w:t>
      </w:r>
    </w:p>
    <w:p w14:paraId="395C53DF" w14:textId="2726B7BF" w:rsidR="00484DC0" w:rsidRPr="0086763F" w:rsidRDefault="00484DC0" w:rsidP="002C1FD5">
      <w:pPr>
        <w:pStyle w:val="CBDNormalNoNumber"/>
        <w:spacing w:after="0"/>
        <w:rPr>
          <w:sz w:val="18"/>
          <w:szCs w:val="18"/>
          <w:lang w:val="en-ZA"/>
        </w:rPr>
      </w:pPr>
      <w:r w:rsidRPr="0086763F">
        <w:rPr>
          <w:i/>
          <w:iCs/>
          <w:vertAlign w:val="superscript"/>
          <w:lang w:val="en-ZA"/>
        </w:rPr>
        <w:t>f</w:t>
      </w:r>
      <w:r w:rsidRPr="0086763F">
        <w:rPr>
          <w:sz w:val="18"/>
          <w:szCs w:val="18"/>
          <w:lang w:val="en-ZA"/>
        </w:rPr>
        <w:t> </w:t>
      </w:r>
      <w:hyperlink r:id="rId44" w:history="1">
        <w:r w:rsidRPr="0086763F">
          <w:rPr>
            <w:rStyle w:val="Hyperlink"/>
            <w:sz w:val="18"/>
            <w:szCs w:val="18"/>
            <w:lang w:val="en-ZA"/>
          </w:rPr>
          <w:t>CBD/SBI/2/5</w:t>
        </w:r>
      </w:hyperlink>
      <w:r w:rsidRPr="0086763F">
        <w:rPr>
          <w:sz w:val="18"/>
          <w:szCs w:val="18"/>
          <w:lang w:val="en-ZA"/>
        </w:rPr>
        <w:t>.</w:t>
      </w:r>
    </w:p>
    <w:p w14:paraId="29B2E0F8" w14:textId="609DD1C3" w:rsidR="00484DC0" w:rsidRPr="0086763F" w:rsidRDefault="009842FC" w:rsidP="002C1FD5">
      <w:pPr>
        <w:pStyle w:val="CBDNormalNoNumber"/>
        <w:spacing w:after="0"/>
        <w:rPr>
          <w:sz w:val="18"/>
          <w:szCs w:val="18"/>
          <w:lang w:val="en-ZA"/>
        </w:rPr>
      </w:pPr>
      <w:r w:rsidRPr="0086763F">
        <w:rPr>
          <w:i/>
          <w:iCs/>
          <w:vertAlign w:val="superscript"/>
          <w:lang w:val="en-ZA"/>
        </w:rPr>
        <w:t>g</w:t>
      </w:r>
      <w:r w:rsidRPr="0086763F">
        <w:rPr>
          <w:lang w:val="en-ZA"/>
        </w:rPr>
        <w:t xml:space="preserve"> </w:t>
      </w:r>
      <w:hyperlink r:id="rId45" w:history="1">
        <w:r w:rsidRPr="0086763F">
          <w:rPr>
            <w:rStyle w:val="Hyperlink"/>
            <w:sz w:val="18"/>
            <w:szCs w:val="18"/>
            <w:lang w:val="en-ZA"/>
          </w:rPr>
          <w:t>CBD/SBI/3/15</w:t>
        </w:r>
      </w:hyperlink>
      <w:r w:rsidRPr="0086763F">
        <w:rPr>
          <w:sz w:val="18"/>
          <w:szCs w:val="18"/>
          <w:lang w:val="en-ZA"/>
        </w:rPr>
        <w:t>.</w:t>
      </w:r>
    </w:p>
    <w:p w14:paraId="5DF6B6D7" w14:textId="3CDB1482" w:rsidR="00484DC0" w:rsidRPr="008B288D" w:rsidRDefault="00490CD2" w:rsidP="002C1FD5">
      <w:pPr>
        <w:pStyle w:val="CBDNormalNoNumber"/>
        <w:spacing w:after="0"/>
        <w:rPr>
          <w:sz w:val="18"/>
          <w:szCs w:val="18"/>
        </w:rPr>
      </w:pPr>
      <w:r w:rsidRPr="008B288D">
        <w:rPr>
          <w:i/>
          <w:iCs/>
          <w:vertAlign w:val="superscript"/>
        </w:rPr>
        <w:t>h</w:t>
      </w:r>
      <w:r w:rsidRPr="008B288D">
        <w:t> </w:t>
      </w:r>
      <w:hyperlink r:id="rId46" w:history="1">
        <w:r w:rsidRPr="008B288D">
          <w:rPr>
            <w:rStyle w:val="Hyperlink"/>
            <w:sz w:val="18"/>
            <w:szCs w:val="18"/>
          </w:rPr>
          <w:t>CBD/SBI/3/15/Add.1</w:t>
        </w:r>
      </w:hyperlink>
      <w:r w:rsidRPr="008B288D">
        <w:rPr>
          <w:sz w:val="18"/>
          <w:szCs w:val="18"/>
        </w:rPr>
        <w:t>.</w:t>
      </w:r>
    </w:p>
    <w:p w14:paraId="4B29CA48" w14:textId="7C7437DD" w:rsidR="00674274" w:rsidRPr="003F1A75" w:rsidRDefault="00674274" w:rsidP="00674274">
      <w:pPr>
        <w:pStyle w:val="CBDH1"/>
      </w:pPr>
      <w:r w:rsidRPr="008B288D">
        <w:t>II</w:t>
      </w:r>
      <w:r w:rsidR="00EA0C48">
        <w:rPr>
          <w:rFonts w:eastAsiaTheme="minorEastAsia" w:hint="eastAsia"/>
          <w:lang w:eastAsia="ja-JP"/>
        </w:rPr>
        <w:t>I</w:t>
      </w:r>
      <w:r w:rsidRPr="008B288D">
        <w:t>.</w:t>
      </w:r>
      <w:r w:rsidRPr="008B288D">
        <w:tab/>
        <w:t>Informations issues</w:t>
      </w:r>
      <w:r>
        <w:t xml:space="preserve"> </w:t>
      </w:r>
      <w:r w:rsidR="000A1BA0">
        <w:t>du deuxième exercice d</w:t>
      </w:r>
      <w:r w:rsidR="0086763F">
        <w:t>’</w:t>
      </w:r>
      <w:r w:rsidR="000A1BA0">
        <w:t>évaluation et d</w:t>
      </w:r>
      <w:r w:rsidR="0086763F">
        <w:t>’</w:t>
      </w:r>
      <w:r w:rsidR="000A1BA0">
        <w:t xml:space="preserve">examen </w:t>
      </w:r>
      <w:r>
        <w:t>de l</w:t>
      </w:r>
      <w:r w:rsidR="0086763F">
        <w:t>’</w:t>
      </w:r>
      <w:r>
        <w:t>efficacité du Protocole de Nagoya, y compris les résultats de la septième réunion de l</w:t>
      </w:r>
      <w:r w:rsidR="0086763F">
        <w:t>’</w:t>
      </w:r>
      <w:r>
        <w:t>Organe subsidiaire chargé de l</w:t>
      </w:r>
      <w:r w:rsidR="0086763F">
        <w:t>’</w:t>
      </w:r>
      <w:r>
        <w:t>application</w:t>
      </w:r>
    </w:p>
    <w:p w14:paraId="1793412D" w14:textId="3D4AEAEC" w:rsidR="000D0F68" w:rsidRDefault="000F0597" w:rsidP="00A111D1">
      <w:pPr>
        <w:pStyle w:val="CBDNormalNumber"/>
      </w:pPr>
      <w:r>
        <w:t xml:space="preserve">Dans sa décision </w:t>
      </w:r>
      <w:hyperlink r:id="rId47" w:history="1">
        <w:r>
          <w:rPr>
            <w:rStyle w:val="Hyperlink"/>
          </w:rPr>
          <w:t>NP-5/5</w:t>
        </w:r>
      </w:hyperlink>
      <w:r>
        <w:t xml:space="preserve">, la Conférence des Parties siégeant en tant que réunion des Parties au Protocole de Nagoya a décidé de procéder </w:t>
      </w:r>
      <w:r w:rsidR="00C02320">
        <w:t xml:space="preserve">au </w:t>
      </w:r>
      <w:r w:rsidR="000A1BA0">
        <w:t>deuxième exercice d</w:t>
      </w:r>
      <w:r w:rsidR="0086763F">
        <w:t>’</w:t>
      </w:r>
      <w:r w:rsidR="000A1BA0">
        <w:t>évaluation et d</w:t>
      </w:r>
      <w:r w:rsidR="0086763F">
        <w:t>’</w:t>
      </w:r>
      <w:r w:rsidR="000A1BA0">
        <w:t>examen</w:t>
      </w:r>
      <w:r>
        <w:t xml:space="preserve"> de l</w:t>
      </w:r>
      <w:r w:rsidR="0086763F">
        <w:t>’</w:t>
      </w:r>
      <w:r>
        <w:t>efficacité du Protocole sur la base des éléments et des sources d</w:t>
      </w:r>
      <w:r w:rsidR="0086763F">
        <w:t>’</w:t>
      </w:r>
      <w:r>
        <w:t>information figurant dans l</w:t>
      </w:r>
      <w:r w:rsidR="0086763F">
        <w:t>’</w:t>
      </w:r>
      <w:r>
        <w:t>annexe de cette décision. Ces éléments portent sur divers aspects, notamment l</w:t>
      </w:r>
      <w:r w:rsidR="0086763F">
        <w:t>’</w:t>
      </w:r>
      <w:r>
        <w:t>état d</w:t>
      </w:r>
      <w:r w:rsidR="0086763F">
        <w:t>’</w:t>
      </w:r>
      <w:r>
        <w:t>avancement de la mise en œuvre des dispositions du Protocole, une évaluation de l</w:t>
      </w:r>
      <w:r w:rsidR="0086763F">
        <w:t>’</w:t>
      </w:r>
      <w:r>
        <w:t>efficacité du Protocole, une évaluation de l</w:t>
      </w:r>
      <w:r w:rsidR="0086763F">
        <w:t>’</w:t>
      </w:r>
      <w:r>
        <w:t xml:space="preserve">appui disponible pour la mise en œuvre et les progrès </w:t>
      </w:r>
      <w:r w:rsidR="00083F73">
        <w:t xml:space="preserve">accomplis </w:t>
      </w:r>
      <w:r>
        <w:t>dans la mise en œuvre de l</w:t>
      </w:r>
      <w:r w:rsidR="0086763F">
        <w:t>’</w:t>
      </w:r>
      <w:r>
        <w:t>article 10.</w:t>
      </w:r>
    </w:p>
    <w:p w14:paraId="7DE9C7E9" w14:textId="1C72317F" w:rsidR="00174A1D" w:rsidRDefault="00174A1D" w:rsidP="00A111D1">
      <w:pPr>
        <w:pStyle w:val="CBDNormalNumber"/>
      </w:pPr>
      <w:r>
        <w:t>À sa septième réunion, l</w:t>
      </w:r>
      <w:r w:rsidR="0086763F">
        <w:t>’</w:t>
      </w:r>
      <w:r>
        <w:t>Organe subsidiaire chargé de l</w:t>
      </w:r>
      <w:r w:rsidR="0086763F">
        <w:t>’</w:t>
      </w:r>
      <w:r>
        <w:t>application a examiné un document</w:t>
      </w:r>
      <w:r>
        <w:rPr>
          <w:rStyle w:val="FootnoteReference"/>
        </w:rPr>
        <w:footnoteReference w:id="2"/>
      </w:r>
      <w:r>
        <w:t xml:space="preserve"> sur l</w:t>
      </w:r>
      <w:r w:rsidR="00C02320">
        <w:t>e</w:t>
      </w:r>
      <w:r>
        <w:t xml:space="preserve"> </w:t>
      </w:r>
      <w:r w:rsidR="000A1BA0">
        <w:t>deuxième exercice d</w:t>
      </w:r>
      <w:r w:rsidR="0086763F">
        <w:t>’</w:t>
      </w:r>
      <w:r w:rsidR="000A1BA0">
        <w:t>évaluation et d</w:t>
      </w:r>
      <w:r w:rsidR="0086763F">
        <w:t>’</w:t>
      </w:r>
      <w:r>
        <w:t>examen de l</w:t>
      </w:r>
      <w:r w:rsidR="0086763F">
        <w:t>’</w:t>
      </w:r>
      <w:r>
        <w:t>efficacité du Protocole de Nagoya. Ce document contenait notamment les conclusions et messages essentiels concernant les différents éléments énoncés dans l</w:t>
      </w:r>
      <w:r w:rsidR="0086763F">
        <w:t>’</w:t>
      </w:r>
      <w:r>
        <w:t xml:space="preserve">annexe de la décision </w:t>
      </w:r>
      <w:hyperlink r:id="rId48" w:history="1">
        <w:r>
          <w:rPr>
            <w:rStyle w:val="Hyperlink"/>
          </w:rPr>
          <w:t>NP-5/5</w:t>
        </w:r>
      </w:hyperlink>
      <w:r>
        <w:t xml:space="preserve">. Ces conclusions et messages essentiels ont été élaborés par le Comité consultatif informel sur le renforcement des capacités pour la mise en œuvre du Protocole de Nagoya et le Comité chargé du respect des obligations </w:t>
      </w:r>
      <w:r w:rsidR="00C02320">
        <w:t xml:space="preserve">au titre </w:t>
      </w:r>
      <w:r>
        <w:t>du Protocole de Nagoya. En outre, l</w:t>
      </w:r>
      <w:r w:rsidR="0086763F">
        <w:t>’</w:t>
      </w:r>
      <w:r>
        <w:t>Organe subsidiaire était saisi d</w:t>
      </w:r>
      <w:r w:rsidR="0086763F">
        <w:t>’</w:t>
      </w:r>
      <w:r>
        <w:t>une analyse des informations aux fins du deuxième exercice d</w:t>
      </w:r>
      <w:r w:rsidR="0086763F">
        <w:t>’</w:t>
      </w:r>
      <w:r>
        <w:t>évaluation et d</w:t>
      </w:r>
      <w:r w:rsidR="0086763F">
        <w:t>’</w:t>
      </w:r>
      <w:r>
        <w:t>examen de l</w:t>
      </w:r>
      <w:r w:rsidR="0086763F">
        <w:t>’</w:t>
      </w:r>
      <w:r>
        <w:t>efficacité du Protocole de Nagoya</w:t>
      </w:r>
      <w:r>
        <w:rPr>
          <w:rStyle w:val="FootnoteReference"/>
        </w:rPr>
        <w:footnoteReference w:id="3"/>
      </w:r>
      <w:r>
        <w:t>.</w:t>
      </w:r>
    </w:p>
    <w:p w14:paraId="7B81C72D" w14:textId="5129CBAC" w:rsidR="00CD20FB" w:rsidRDefault="00854D43" w:rsidP="00A111D1">
      <w:pPr>
        <w:pStyle w:val="CBDNormalNumber"/>
      </w:pPr>
      <w:r>
        <w:t xml:space="preserve">De plus amples informations sur le processus </w:t>
      </w:r>
      <w:r w:rsidR="000A1BA0">
        <w:t>du deuxième exercice d</w:t>
      </w:r>
      <w:r w:rsidR="0086763F">
        <w:t>’</w:t>
      </w:r>
      <w:r w:rsidR="000A1BA0">
        <w:t>évaluation et d</w:t>
      </w:r>
      <w:r w:rsidR="0086763F">
        <w:t>’</w:t>
      </w:r>
      <w:r w:rsidR="000A1BA0">
        <w:t>examen</w:t>
      </w:r>
      <w:r>
        <w:t xml:space="preserve"> du Protocole ainsi que des extraits des conclusions et messages essentiels figurent dans l</w:t>
      </w:r>
      <w:r w:rsidR="0086763F">
        <w:t>’</w:t>
      </w:r>
      <w:r>
        <w:t xml:space="preserve">annexe ci-dessous. </w:t>
      </w:r>
    </w:p>
    <w:p w14:paraId="3EF12F4B" w14:textId="421DCAE8" w:rsidR="00A56DFD" w:rsidRDefault="00D572A6" w:rsidP="00A111D1">
      <w:pPr>
        <w:pStyle w:val="CBDNormalNumber"/>
      </w:pPr>
      <w:r>
        <w:lastRenderedPageBreak/>
        <w:t>Sur la base des documents mentionnés au paragraphe 5 ci-dessus, l</w:t>
      </w:r>
      <w:r w:rsidR="0086763F">
        <w:t>’</w:t>
      </w:r>
      <w:r>
        <w:t>Organe subsidiaire chargé de l</w:t>
      </w:r>
      <w:r w:rsidR="0086763F">
        <w:t>’</w:t>
      </w:r>
      <w:r>
        <w:t xml:space="preserve">application a adopté la recommandation </w:t>
      </w:r>
      <w:hyperlink r:id="rId49" w:history="1">
        <w:r>
          <w:rPr>
            <w:rStyle w:val="Hyperlink"/>
          </w:rPr>
          <w:t>7/6</w:t>
        </w:r>
      </w:hyperlink>
      <w:r>
        <w:t>, qui contenait des projets de décision pour examen par la Conférence des Parties siégeant en tant que réunion des Parties au Protocole au titre des points 8, 9 et 10 de l</w:t>
      </w:r>
      <w:r w:rsidR="0086763F">
        <w:t>’</w:t>
      </w:r>
      <w:r>
        <w:t>ordre du jour provisoire de sa sixième réunion.</w:t>
      </w:r>
    </w:p>
    <w:p w14:paraId="28D5744E" w14:textId="0A1D5602" w:rsidR="00A43036" w:rsidRDefault="00356E78" w:rsidP="00A111D1">
      <w:pPr>
        <w:pStyle w:val="CBDNormalNumber"/>
      </w:pPr>
      <w:r>
        <w:t>Des propositions concernant l</w:t>
      </w:r>
      <w:r w:rsidR="0086763F">
        <w:t>’</w:t>
      </w:r>
      <w:r>
        <w:t>article 10 figuraient dans trois paragraphes du projet de décision à examiner au titre du point 8, relatif à l</w:t>
      </w:r>
      <w:r w:rsidR="0086763F">
        <w:t>’</w:t>
      </w:r>
      <w:r>
        <w:t>évaluation et l</w:t>
      </w:r>
      <w:r w:rsidR="0086763F">
        <w:t>’</w:t>
      </w:r>
      <w:r>
        <w:t>examen de l</w:t>
      </w:r>
      <w:r w:rsidR="0086763F">
        <w:t>’</w:t>
      </w:r>
      <w:r>
        <w:t xml:space="preserve">efficacité du Protocole de Nagoya. Les paragraphes 20 et 21 contiennent une proposition visant à établir un processus intersessions, comprenant une réunion à composition non limitée, afin </w:t>
      </w:r>
      <w:r w:rsidR="000E0592">
        <w:t>d</w:t>
      </w:r>
      <w:r w:rsidR="0086763F">
        <w:t>’</w:t>
      </w:r>
      <w:r w:rsidR="000E0592">
        <w:t xml:space="preserve">élaborer des éléments spécifiques des modalités </w:t>
      </w:r>
      <w:r>
        <w:t xml:space="preserve">du mécanisme multilatéral mondial de partage des avantages </w:t>
      </w:r>
      <w:r w:rsidR="000E0592">
        <w:t>prévu par</w:t>
      </w:r>
      <w:r>
        <w:t xml:space="preserve"> l</w:t>
      </w:r>
      <w:r w:rsidR="0086763F">
        <w:t>’</w:t>
      </w:r>
      <w:r>
        <w:t>article 10. Au paragraphe 22, il est proposé de prier la Secrétaire exécutive de proposer une méthode pour le troisième exercice d</w:t>
      </w:r>
      <w:r w:rsidR="0086763F">
        <w:t>’</w:t>
      </w:r>
      <w:r>
        <w:t>évaluation et d</w:t>
      </w:r>
      <w:r w:rsidR="0086763F">
        <w:t>’</w:t>
      </w:r>
      <w:r>
        <w:t>examen de l</w:t>
      </w:r>
      <w:r w:rsidR="0086763F">
        <w:t>’</w:t>
      </w:r>
      <w:r>
        <w:t>efficacité du Protocole, en tenant compte d</w:t>
      </w:r>
      <w:r w:rsidR="0086763F">
        <w:t>’</w:t>
      </w:r>
      <w:r>
        <w:t>un certain nombre de points, notamment la nécessité d</w:t>
      </w:r>
      <w:r w:rsidR="0086763F">
        <w:t>’</w:t>
      </w:r>
      <w:r>
        <w:t xml:space="preserve">évaluer les progrès accomplis </w:t>
      </w:r>
      <w:r w:rsidR="000E0592">
        <w:t>dans l</w:t>
      </w:r>
      <w:r w:rsidR="0086763F">
        <w:t>’</w:t>
      </w:r>
      <w:r w:rsidR="000E0592">
        <w:t xml:space="preserve">application </w:t>
      </w:r>
      <w:r>
        <w:t>de l</w:t>
      </w:r>
      <w:r w:rsidR="0086763F">
        <w:t>’</w:t>
      </w:r>
      <w:r>
        <w:t>article 10 du Protocole et l</w:t>
      </w:r>
      <w:r w:rsidR="0086763F">
        <w:t>’</w:t>
      </w:r>
      <w:r>
        <w:t xml:space="preserve">expérience </w:t>
      </w:r>
      <w:r w:rsidR="004149C8">
        <w:t>acquise dans le cadre du</w:t>
      </w:r>
      <w:r w:rsidR="008B288D">
        <w:t xml:space="preserve"> </w:t>
      </w:r>
      <w:r>
        <w:t xml:space="preserve">mécanisme multilatéral établi en vertu de la décision </w:t>
      </w:r>
      <w:hyperlink r:id="rId50" w:history="1">
        <w:r>
          <w:rPr>
            <w:rStyle w:val="Hyperlink"/>
          </w:rPr>
          <w:t>16/2</w:t>
        </w:r>
      </w:hyperlink>
      <w:r>
        <w:t xml:space="preserve"> de la Conférence des Parties.</w:t>
      </w:r>
    </w:p>
    <w:p w14:paraId="1608DF62" w14:textId="501B5905" w:rsidR="002F0B11" w:rsidRDefault="00A43036" w:rsidP="00A111D1">
      <w:pPr>
        <w:pStyle w:val="CBDNormalNumber"/>
      </w:pPr>
      <w:r>
        <w:t>Au paragraphe 2 du projet de décision à examiner au titre du point 9, relatif à l</w:t>
      </w:r>
      <w:r w:rsidR="0086763F">
        <w:t>’</w:t>
      </w:r>
      <w:r>
        <w:t>amélioration de la mise en œuvre du Protocole de Nagoya, il est proposé d</w:t>
      </w:r>
      <w:r w:rsidR="0086763F">
        <w:t>’</w:t>
      </w:r>
      <w:r>
        <w:t>encourager les Parties, les autres gouvernements et les parties prenantes et organisations concernées à entreprendre un certain nombre d</w:t>
      </w:r>
      <w:r w:rsidR="0086763F">
        <w:t>’</w:t>
      </w:r>
      <w:r>
        <w:t>actions, telles que le renforcement des capacités des autorités nationales à mettre en œuvre le Protocole de Nagoya et les mesures nationales d</w:t>
      </w:r>
      <w:r w:rsidR="0086763F">
        <w:t>’</w:t>
      </w:r>
      <w:r>
        <w:t>accès et de partage des avantages, y compris la capacité à assurer le respect des obligations conformément à un certain nombre d</w:t>
      </w:r>
      <w:r w:rsidR="0086763F">
        <w:t>’</w:t>
      </w:r>
      <w:r>
        <w:t>articles du Protocole. Il a été proposé d</w:t>
      </w:r>
      <w:r w:rsidR="0086763F">
        <w:t>’</w:t>
      </w:r>
      <w:r>
        <w:t>inclure l</w:t>
      </w:r>
      <w:r w:rsidR="0086763F">
        <w:t>’</w:t>
      </w:r>
      <w:r>
        <w:t xml:space="preserve">article 10 dans la liste de ces articles. </w:t>
      </w:r>
    </w:p>
    <w:p w14:paraId="133AFB02" w14:textId="73CED41C" w:rsidR="004834E5" w:rsidRDefault="00206B01" w:rsidP="00A111D1">
      <w:pPr>
        <w:pStyle w:val="CBDNormalNumber"/>
      </w:pPr>
      <w:r>
        <w:t>Toutes les propositions concernant l</w:t>
      </w:r>
      <w:r w:rsidR="0086763F">
        <w:t>’</w:t>
      </w:r>
      <w:r>
        <w:t>article 10 figurant dans les deux projets de décision sont entre crochets.</w:t>
      </w:r>
    </w:p>
    <w:p w14:paraId="07F0816A" w14:textId="604E40CF" w:rsidR="00083E83" w:rsidRDefault="00083E83" w:rsidP="00A111D1">
      <w:pPr>
        <w:pStyle w:val="CBDH1"/>
      </w:pPr>
      <w:r>
        <w:t>I</w:t>
      </w:r>
      <w:r w:rsidR="00EA0C48">
        <w:rPr>
          <w:rFonts w:eastAsiaTheme="minorEastAsia" w:hint="eastAsia"/>
          <w:lang w:eastAsia="ja-JP"/>
        </w:rPr>
        <w:t>V</w:t>
      </w:r>
      <w:r>
        <w:t>.</w:t>
      </w:r>
      <w:r>
        <w:tab/>
        <w:t>Informations supplémentaires concernant l</w:t>
      </w:r>
      <w:r w:rsidR="0086763F">
        <w:t>’</w:t>
      </w:r>
      <w:r>
        <w:t xml:space="preserve">article 10 </w:t>
      </w:r>
    </w:p>
    <w:p w14:paraId="2C126D61" w14:textId="32F14E67" w:rsidR="00712112" w:rsidRDefault="00712112" w:rsidP="00E57F33">
      <w:pPr>
        <w:pStyle w:val="CBDNormalNumber"/>
      </w:pPr>
      <w:r>
        <w:t xml:space="preserve">Dans la décision </w:t>
      </w:r>
      <w:hyperlink r:id="rId51" w:history="1">
        <w:r>
          <w:rPr>
            <w:rStyle w:val="Hyperlink"/>
          </w:rPr>
          <w:t>NP-5/8</w:t>
        </w:r>
      </w:hyperlink>
      <w:r>
        <w:t xml:space="preserve">, la Conférence des Parties siégeant en tant que réunion des Parties au Protocole a invité à </w:t>
      </w:r>
      <w:r w:rsidR="00AA4721">
        <w:t xml:space="preserve">communiquer </w:t>
      </w:r>
      <w:r>
        <w:t>des points de vue sur des questions relatives au processus proposé pour la reconnaissance d</w:t>
      </w:r>
      <w:r w:rsidR="0086763F">
        <w:t>’</w:t>
      </w:r>
      <w:r>
        <w:t xml:space="preserve">instruments internationaux spécialisés </w:t>
      </w:r>
      <w:r w:rsidR="00AA4721">
        <w:t xml:space="preserve">en matière </w:t>
      </w:r>
      <w:r>
        <w:t>d</w:t>
      </w:r>
      <w:r w:rsidR="0086763F">
        <w:t>’</w:t>
      </w:r>
      <w:r>
        <w:t xml:space="preserve">accès et de partage des avantages au titre du Protocole de Nagoya. Certains auteurs de </w:t>
      </w:r>
      <w:r w:rsidR="00332223">
        <w:t xml:space="preserve">ces points de vue </w:t>
      </w:r>
      <w:r>
        <w:t>ont soulevé des questions concernant l</w:t>
      </w:r>
      <w:r w:rsidR="0086763F">
        <w:t>’</w:t>
      </w:r>
      <w:r>
        <w:t>article 10 dans leurs points de vue. Une synthèse des points de vue reçus a été soumise à l</w:t>
      </w:r>
      <w:r w:rsidR="0086763F">
        <w:t>’</w:t>
      </w:r>
      <w:r>
        <w:t>Organe subsidiaire chargé de l</w:t>
      </w:r>
      <w:r w:rsidR="0086763F">
        <w:t>’</w:t>
      </w:r>
      <w:r>
        <w:t>application pour examen à sa sixième réunion</w:t>
      </w:r>
      <w:r>
        <w:rPr>
          <w:rStyle w:val="FootnoteReference"/>
        </w:rPr>
        <w:footnoteReference w:id="4"/>
      </w:r>
      <w:r>
        <w:t xml:space="preserve">. </w:t>
      </w:r>
    </w:p>
    <w:p w14:paraId="714F519E" w14:textId="3519258F" w:rsidR="007C4951" w:rsidRPr="003F1A75" w:rsidRDefault="00A111D1" w:rsidP="002C076F">
      <w:pPr>
        <w:pStyle w:val="CBDH1"/>
      </w:pPr>
      <w:r>
        <w:t>V.</w:t>
      </w:r>
      <w:r>
        <w:tab/>
        <w:t>Voie à suivre possible</w:t>
      </w:r>
    </w:p>
    <w:p w14:paraId="0AFB0D6B" w14:textId="362B1E12" w:rsidR="00447F4A" w:rsidRDefault="002820CA" w:rsidP="00447F4A">
      <w:pPr>
        <w:pStyle w:val="CBDNormalNumber"/>
      </w:pPr>
      <w:r>
        <w:t>La Conférence des Parties siégeant en tant que réunion des Parties au Protocole de Nagoya souhaitera peut-être adopter une décision à ce sujet, en tenant compte :</w:t>
      </w:r>
    </w:p>
    <w:p w14:paraId="7A3B803D" w14:textId="7A33C41F" w:rsidR="00AB5D61" w:rsidRDefault="00AB5D61" w:rsidP="00AB5D61">
      <w:pPr>
        <w:pStyle w:val="CBDNormalNumber"/>
        <w:numPr>
          <w:ilvl w:val="1"/>
          <w:numId w:val="7"/>
        </w:numPr>
      </w:pPr>
      <w:r>
        <w:t>Des travaux menés sur l</w:t>
      </w:r>
      <w:r w:rsidR="0086763F">
        <w:t>’</w:t>
      </w:r>
      <w:r>
        <w:t>article 10 du Protocole depuis 2011, notamment les communications de points de vue, les consultations, les réunions de groupes d</w:t>
      </w:r>
      <w:r w:rsidR="0086763F">
        <w:t>’</w:t>
      </w:r>
      <w:r>
        <w:t>experts, les études commandées et les décisions antérieures de la Conférence des Parties siégeant en tant que réunion des Parties au Protocole ;</w:t>
      </w:r>
    </w:p>
    <w:p w14:paraId="1E2AFB11" w14:textId="2709715B" w:rsidR="00981939" w:rsidRDefault="00C34EC4" w:rsidP="00AB5D61">
      <w:pPr>
        <w:pStyle w:val="CBDNormalNumber"/>
        <w:numPr>
          <w:ilvl w:val="1"/>
          <w:numId w:val="7"/>
        </w:numPr>
      </w:pPr>
      <w:r>
        <w:t>De l</w:t>
      </w:r>
      <w:r w:rsidR="0086763F">
        <w:t>’</w:t>
      </w:r>
      <w:r>
        <w:t>analyse et de la synthèse des informations établies aux fins du deuxième exercice d</w:t>
      </w:r>
      <w:r w:rsidR="0086763F">
        <w:t>’</w:t>
      </w:r>
      <w:r>
        <w:t>évaluation et d</w:t>
      </w:r>
      <w:r w:rsidR="0086763F">
        <w:t>’</w:t>
      </w:r>
      <w:r>
        <w:t>examen de l</w:t>
      </w:r>
      <w:r w:rsidR="0086763F">
        <w:t>’</w:t>
      </w:r>
      <w:r>
        <w:t xml:space="preserve">efficacité du Protocole, conformément à la décision </w:t>
      </w:r>
      <w:hyperlink r:id="rId52" w:history="1">
        <w:r>
          <w:rPr>
            <w:rStyle w:val="Hyperlink"/>
          </w:rPr>
          <w:t>NP-5/5</w:t>
        </w:r>
      </w:hyperlink>
      <w:r>
        <w:t> ;</w:t>
      </w:r>
    </w:p>
    <w:p w14:paraId="4C706EB2" w14:textId="52FE412F" w:rsidR="005564E2" w:rsidRDefault="005564E2" w:rsidP="00AB5D61">
      <w:pPr>
        <w:pStyle w:val="CBDNormalNumber"/>
        <w:numPr>
          <w:ilvl w:val="1"/>
          <w:numId w:val="7"/>
        </w:numPr>
      </w:pPr>
      <w:r>
        <w:t>Des conclusions et messages essentiels élaborés dans le cadre d</w:t>
      </w:r>
      <w:r w:rsidR="00C02320">
        <w:t xml:space="preserve">u </w:t>
      </w:r>
      <w:r w:rsidR="000A1BA0">
        <w:t>deuxième exercice d</w:t>
      </w:r>
      <w:r w:rsidR="0086763F">
        <w:t>’</w:t>
      </w:r>
      <w:r w:rsidR="000A1BA0">
        <w:t>évaluation et d</w:t>
      </w:r>
      <w:r w:rsidR="0086763F">
        <w:t>’</w:t>
      </w:r>
      <w:r>
        <w:t>examen de l</w:t>
      </w:r>
      <w:r w:rsidR="0086763F">
        <w:t>’</w:t>
      </w:r>
      <w:r>
        <w:t>efficacité du Protocole, notamment ceux relatifs aux progrès accomplis dans la mise en œuvre de l</w:t>
      </w:r>
      <w:r w:rsidR="0086763F">
        <w:t>’</w:t>
      </w:r>
      <w:r>
        <w:t>article 10 ;</w:t>
      </w:r>
    </w:p>
    <w:p w14:paraId="7608BD2B" w14:textId="7126F797" w:rsidR="005528AC" w:rsidRDefault="00767822" w:rsidP="00AB5D61">
      <w:pPr>
        <w:pStyle w:val="CBDNormalNumber"/>
        <w:numPr>
          <w:ilvl w:val="1"/>
          <w:numId w:val="7"/>
        </w:numPr>
      </w:pPr>
      <w:r>
        <w:t xml:space="preserve">De la recommandation </w:t>
      </w:r>
      <w:hyperlink r:id="rId53" w:history="1">
        <w:r>
          <w:rPr>
            <w:rStyle w:val="Hyperlink"/>
          </w:rPr>
          <w:t>7/6</w:t>
        </w:r>
      </w:hyperlink>
      <w:r>
        <w:t xml:space="preserve"> de l</w:t>
      </w:r>
      <w:r w:rsidR="0086763F">
        <w:t>’</w:t>
      </w:r>
      <w:r>
        <w:t>Organe subsidiaire chargé de l</w:t>
      </w:r>
      <w:r w:rsidR="0086763F">
        <w:t>’</w:t>
      </w:r>
      <w:r>
        <w:t>application et des projets de décision qui y figurent, y compris le texte entre crochets concernant l</w:t>
      </w:r>
      <w:r w:rsidR="0086763F">
        <w:t>’</w:t>
      </w:r>
      <w:r>
        <w:t>article 10 du Protocole ;</w:t>
      </w:r>
    </w:p>
    <w:p w14:paraId="3D7621FA" w14:textId="726C40BB" w:rsidR="009B2E47" w:rsidRDefault="001306A8" w:rsidP="00394129">
      <w:pPr>
        <w:pStyle w:val="CBDNormalNumber"/>
        <w:numPr>
          <w:ilvl w:val="0"/>
          <w:numId w:val="0"/>
        </w:numPr>
        <w:tabs>
          <w:tab w:val="clear" w:pos="1134"/>
        </w:tabs>
        <w:ind w:left="567" w:firstLine="567"/>
        <w:sectPr w:rsidR="009B2E47" w:rsidSect="00CF63D9">
          <w:type w:val="continuous"/>
          <w:pgSz w:w="12240" w:h="15840"/>
          <w:pgMar w:top="567" w:right="1440" w:bottom="1134" w:left="1440" w:header="709" w:footer="709" w:gutter="0"/>
          <w:cols w:space="708"/>
          <w:docGrid w:linePitch="360"/>
        </w:sectPr>
      </w:pPr>
      <w:r>
        <w:lastRenderedPageBreak/>
        <w:t>(e)</w:t>
      </w:r>
      <w:r>
        <w:tab/>
        <w:t>Des informations communiquées par les Parties et les parties prenantes concernées sur des questions relatives à l</w:t>
      </w:r>
      <w:r w:rsidR="0086763F">
        <w:t>’</w:t>
      </w:r>
      <w:r>
        <w:t>article 10 dans le cadre d</w:t>
      </w:r>
      <w:r w:rsidR="0086763F">
        <w:t>’</w:t>
      </w:r>
      <w:r>
        <w:t>autres processus relevant du Protocole.</w:t>
      </w:r>
    </w:p>
    <w:p w14:paraId="14ED3509" w14:textId="77777777" w:rsidR="008A65F2" w:rsidRDefault="008A65F2" w:rsidP="00381692">
      <w:pPr>
        <w:pStyle w:val="CBDNormalNumber"/>
        <w:numPr>
          <w:ilvl w:val="0"/>
          <w:numId w:val="0"/>
        </w:numPr>
        <w:ind w:left="1134"/>
      </w:pPr>
    </w:p>
    <w:p w14:paraId="21A464F2" w14:textId="3AC15189" w:rsidR="008A65F2" w:rsidRDefault="008A65F2">
      <w:pPr>
        <w:tabs>
          <w:tab w:val="clear" w:pos="567"/>
          <w:tab w:val="clear" w:pos="1134"/>
          <w:tab w:val="clear" w:pos="1701"/>
          <w:tab w:val="clear" w:pos="2268"/>
        </w:tabs>
        <w:jc w:val="left"/>
      </w:pPr>
      <w:r>
        <w:br w:type="page"/>
      </w:r>
    </w:p>
    <w:p w14:paraId="2561C266" w14:textId="1C92D5AE" w:rsidR="008A65F2" w:rsidRDefault="009E3EC1" w:rsidP="00381692">
      <w:pPr>
        <w:pStyle w:val="CBDAnnex"/>
      </w:pPr>
      <w:r>
        <w:lastRenderedPageBreak/>
        <w:t>Annexe</w:t>
      </w:r>
    </w:p>
    <w:p w14:paraId="35C04036" w14:textId="71C0752B" w:rsidR="00622824" w:rsidRDefault="00622824" w:rsidP="00381692">
      <w:pPr>
        <w:pStyle w:val="CBDTitle"/>
      </w:pPr>
      <w:r>
        <w:t>Extraits des conclusions et messages essentiels du deuxième exercice d</w:t>
      </w:r>
      <w:r w:rsidR="0086763F">
        <w:t>’</w:t>
      </w:r>
      <w:r>
        <w:t>évaluation et d</w:t>
      </w:r>
      <w:r w:rsidR="0086763F">
        <w:t>’</w:t>
      </w:r>
      <w:r>
        <w:t>examen de l</w:t>
      </w:r>
      <w:r w:rsidR="0086763F">
        <w:t>’</w:t>
      </w:r>
      <w:r>
        <w:t>efficacité du Protocole de Nagoya</w:t>
      </w:r>
    </w:p>
    <w:p w14:paraId="5D30BC6B" w14:textId="7E3A2CFC" w:rsidR="0082500E" w:rsidRDefault="0082500E" w:rsidP="006A5973">
      <w:pPr>
        <w:pStyle w:val="CBDNormalNumber"/>
        <w:numPr>
          <w:ilvl w:val="0"/>
          <w:numId w:val="11"/>
        </w:numPr>
      </w:pPr>
      <w:r>
        <w:t xml:space="preserve">Comme indiqué plus haut, le Comité consultatif informel sur le renforcement des capacités pour la mise en œuvre du Protocole de Nagoya et le Comité chargé du respect des obligations </w:t>
      </w:r>
      <w:r w:rsidR="00C02320">
        <w:t xml:space="preserve">au titre </w:t>
      </w:r>
      <w:r>
        <w:t>du Protocole de Nagoya ont contribué au deuxième exercice d</w:t>
      </w:r>
      <w:r w:rsidR="0086763F">
        <w:t>’</w:t>
      </w:r>
      <w:r>
        <w:t>évaluation et d</w:t>
      </w:r>
      <w:r w:rsidR="0086763F">
        <w:t>’</w:t>
      </w:r>
      <w:r>
        <w:t>examen de l</w:t>
      </w:r>
      <w:r w:rsidR="0086763F">
        <w:t>’</w:t>
      </w:r>
      <w:r>
        <w:t>efficacité du Protocole sous la forme de conclusions et de messages essentiels. Les deux organes ont travaillé, en particulier, sur la base de l</w:t>
      </w:r>
      <w:r w:rsidR="0086763F">
        <w:t>’</w:t>
      </w:r>
      <w:r>
        <w:t>analyse des informations</w:t>
      </w:r>
      <w:r>
        <w:rPr>
          <w:rStyle w:val="FootnoteReference"/>
        </w:rPr>
        <w:footnoteReference w:id="5"/>
      </w:r>
      <w:r>
        <w:t>, qui s</w:t>
      </w:r>
      <w:r w:rsidR="0086763F">
        <w:t>’</w:t>
      </w:r>
      <w:r>
        <w:t>appuyait sur les sources suivantes :</w:t>
      </w:r>
    </w:p>
    <w:p w14:paraId="4AEA1BE5" w14:textId="745D627D" w:rsidR="00DB24E3" w:rsidRDefault="0082500E" w:rsidP="00DB24E3">
      <w:pPr>
        <w:pStyle w:val="CBDNormalNumber"/>
        <w:numPr>
          <w:ilvl w:val="1"/>
          <w:numId w:val="7"/>
        </w:numPr>
        <w:tabs>
          <w:tab w:val="clear" w:pos="567"/>
        </w:tabs>
      </w:pPr>
      <w:r>
        <w:t>L</w:t>
      </w:r>
      <w:r w:rsidR="0086763F">
        <w:t>’</w:t>
      </w:r>
      <w:r>
        <w:t>analyse des informations issues des rapports nationaux et d</w:t>
      </w:r>
      <w:r w:rsidR="0086763F">
        <w:t>’</w:t>
      </w:r>
      <w:r>
        <w:t>autres sources pour le deuxième exercice d</w:t>
      </w:r>
      <w:r w:rsidR="0086763F">
        <w:t>’</w:t>
      </w:r>
      <w:r>
        <w:t>évaluation et d</w:t>
      </w:r>
      <w:r w:rsidR="0086763F">
        <w:t>’</w:t>
      </w:r>
      <w:r>
        <w:t>examen de l</w:t>
      </w:r>
      <w:r w:rsidR="0086763F">
        <w:t>’</w:t>
      </w:r>
      <w:r>
        <w:t>efficacité du Protocole de Nagoya</w:t>
      </w:r>
      <w:r>
        <w:rPr>
          <w:rStyle w:val="FootnoteReference"/>
        </w:rPr>
        <w:footnoteReference w:id="6"/>
      </w:r>
      <w:r>
        <w:t xml:space="preserve"> ; </w:t>
      </w:r>
    </w:p>
    <w:p w14:paraId="487ED482" w14:textId="25BC4AC9" w:rsidR="00DB24E3" w:rsidRDefault="00A023C6" w:rsidP="00DB24E3">
      <w:pPr>
        <w:pStyle w:val="CBDNormalNumber"/>
        <w:numPr>
          <w:ilvl w:val="1"/>
          <w:numId w:val="7"/>
        </w:numPr>
        <w:tabs>
          <w:tab w:val="clear" w:pos="567"/>
        </w:tabs>
      </w:pPr>
      <w:r w:rsidRPr="00A023C6">
        <w:t>L</w:t>
      </w:r>
      <w:r w:rsidR="0086763F">
        <w:t>’</w:t>
      </w:r>
      <w:r w:rsidRPr="00A023C6">
        <w:t>étude préliminaire sur les possibles raisons et les causes sous-jacentes des difficultés rencontrées dans la mise en œuvre efficace et le respect des obligations, ainsi que sur les éventuels moyens d</w:t>
      </w:r>
      <w:r w:rsidR="0086763F">
        <w:t>’</w:t>
      </w:r>
      <w:r w:rsidRPr="00A023C6">
        <w:t>améliorer la mise en œuvre</w:t>
      </w:r>
      <w:r w:rsidR="0082500E">
        <w:rPr>
          <w:rStyle w:val="FootnoteReference"/>
        </w:rPr>
        <w:footnoteReference w:id="7"/>
      </w:r>
      <w:r w:rsidR="0082500E">
        <w:t xml:space="preserve"> ;  </w:t>
      </w:r>
    </w:p>
    <w:p w14:paraId="5E78545F" w14:textId="1F65155F" w:rsidR="00125452" w:rsidRDefault="0082500E" w:rsidP="00DB24E3">
      <w:pPr>
        <w:pStyle w:val="CBDNormalNumber"/>
        <w:numPr>
          <w:ilvl w:val="1"/>
          <w:numId w:val="7"/>
        </w:numPr>
        <w:tabs>
          <w:tab w:val="clear" w:pos="567"/>
        </w:tabs>
      </w:pPr>
      <w:r>
        <w:t>L</w:t>
      </w:r>
      <w:r w:rsidR="0086763F">
        <w:t>’</w:t>
      </w:r>
      <w:r>
        <w:t>analyse des informations publiées dans le Centre d</w:t>
      </w:r>
      <w:r w:rsidR="0086763F">
        <w:t>’</w:t>
      </w:r>
      <w:r>
        <w:t>échange sur l</w:t>
      </w:r>
      <w:r w:rsidR="0086763F">
        <w:t>’</w:t>
      </w:r>
      <w:r>
        <w:t>accès et le partage des avantages</w:t>
      </w:r>
      <w:r>
        <w:rPr>
          <w:rStyle w:val="FootnoteReference"/>
        </w:rPr>
        <w:footnoteReference w:id="8"/>
      </w:r>
      <w:r>
        <w:t xml:space="preserve"> ; </w:t>
      </w:r>
    </w:p>
    <w:p w14:paraId="694197FE" w14:textId="6C625576" w:rsidR="002E7299" w:rsidRDefault="0082500E" w:rsidP="00DB24E3">
      <w:pPr>
        <w:pStyle w:val="CBDNormalNumber"/>
        <w:numPr>
          <w:ilvl w:val="1"/>
          <w:numId w:val="7"/>
        </w:numPr>
        <w:tabs>
          <w:tab w:val="clear" w:pos="567"/>
        </w:tabs>
      </w:pPr>
      <w:r>
        <w:t>L</w:t>
      </w:r>
      <w:r w:rsidR="0086763F">
        <w:t>’</w:t>
      </w:r>
      <w:r>
        <w:t>analyse des réponses à l</w:t>
      </w:r>
      <w:r w:rsidR="0086763F">
        <w:t>’</w:t>
      </w:r>
      <w:r>
        <w:t>étude ciblée du Centre d</w:t>
      </w:r>
      <w:r w:rsidR="0086763F">
        <w:t>’</w:t>
      </w:r>
      <w:r>
        <w:t>échange sur l</w:t>
      </w:r>
      <w:r w:rsidR="0086763F">
        <w:t>’</w:t>
      </w:r>
      <w:r>
        <w:t>accès et le partage des avantages</w:t>
      </w:r>
      <w:r>
        <w:rPr>
          <w:rStyle w:val="FootnoteReference"/>
        </w:rPr>
        <w:footnoteReference w:id="9"/>
      </w:r>
      <w:r>
        <w:t> ;</w:t>
      </w:r>
    </w:p>
    <w:p w14:paraId="7960A3C4" w14:textId="01B015F5" w:rsidR="00874FE6" w:rsidRDefault="0082500E" w:rsidP="00DB24E3">
      <w:pPr>
        <w:pStyle w:val="CBDNormalNumber"/>
        <w:numPr>
          <w:ilvl w:val="1"/>
          <w:numId w:val="7"/>
        </w:numPr>
        <w:tabs>
          <w:tab w:val="clear" w:pos="567"/>
        </w:tabs>
      </w:pPr>
      <w:r>
        <w:t>L</w:t>
      </w:r>
      <w:r w:rsidR="0086763F">
        <w:t>’</w:t>
      </w:r>
      <w:r>
        <w:t>analyse de l</w:t>
      </w:r>
      <w:r w:rsidR="0086763F">
        <w:t>’</w:t>
      </w:r>
      <w:r>
        <w:t xml:space="preserve">appui en matière de </w:t>
      </w:r>
      <w:r w:rsidR="00896246">
        <w:t>renforcement</w:t>
      </w:r>
      <w:r>
        <w:t xml:space="preserve"> des capacités disponible pour la mise en œuvre du Protocole de Nagoya</w:t>
      </w:r>
      <w:r>
        <w:rPr>
          <w:rStyle w:val="FootnoteReference"/>
        </w:rPr>
        <w:footnoteReference w:id="10"/>
      </w:r>
      <w:r>
        <w:t xml:space="preserve"> ;  </w:t>
      </w:r>
    </w:p>
    <w:p w14:paraId="5D5FD408" w14:textId="1D71A1A2" w:rsidR="0034703D" w:rsidRDefault="0082500E" w:rsidP="00DB24E3">
      <w:pPr>
        <w:pStyle w:val="CBDNormalNumber"/>
        <w:numPr>
          <w:ilvl w:val="1"/>
          <w:numId w:val="7"/>
        </w:numPr>
        <w:tabs>
          <w:tab w:val="clear" w:pos="567"/>
        </w:tabs>
      </w:pPr>
      <w:r>
        <w:t>L</w:t>
      </w:r>
      <w:r w:rsidR="0086763F">
        <w:t>’</w:t>
      </w:r>
      <w:r>
        <w:t>analyse des financements et de la mobilisation des ressources à l</w:t>
      </w:r>
      <w:r w:rsidR="0086763F">
        <w:t>’</w:t>
      </w:r>
      <w:r>
        <w:t>appui de la mise en œuvre du Protocole de Nagoya</w:t>
      </w:r>
      <w:r>
        <w:rPr>
          <w:rStyle w:val="FootnoteReference"/>
        </w:rPr>
        <w:footnoteReference w:id="11"/>
      </w:r>
      <w:r>
        <w:t>.</w:t>
      </w:r>
    </w:p>
    <w:p w14:paraId="46605F9A" w14:textId="2F66E8A9" w:rsidR="0082500E" w:rsidRDefault="00BF5341" w:rsidP="006A5973">
      <w:pPr>
        <w:pStyle w:val="CBDNormalNumber"/>
        <w:numPr>
          <w:ilvl w:val="0"/>
          <w:numId w:val="11"/>
        </w:numPr>
      </w:pPr>
      <w:r>
        <w:t>Les informations présentées ci-dessous s</w:t>
      </w:r>
      <w:r w:rsidR="0086763F">
        <w:t>’</w:t>
      </w:r>
      <w:r>
        <w:t>inspirent des conclusions et messages essentiels figurant dans l</w:t>
      </w:r>
      <w:r w:rsidR="0086763F">
        <w:t>’</w:t>
      </w:r>
      <w:r>
        <w:t>annexe du document CBD/SBI/7/7. Pour éviter de reprendre tous les détails des conclusions et messages essentiels, les extraits ci-dessous portent principalement sur des points de portée générale. De plus amples détails sur le processus du deuxième exercice d</w:t>
      </w:r>
      <w:r w:rsidR="0086763F">
        <w:t>’</w:t>
      </w:r>
      <w:r>
        <w:t>évaluation et d</w:t>
      </w:r>
      <w:r w:rsidR="0086763F">
        <w:t>’</w:t>
      </w:r>
      <w:r>
        <w:t>examen de l</w:t>
      </w:r>
      <w:r w:rsidR="0086763F">
        <w:t>’</w:t>
      </w:r>
      <w:r>
        <w:t>efficacité du Protocole ainsi que le texte intégral des conclusions et messages essentiels sont disponibles dans le document CBD/SBI/7/7.</w:t>
      </w:r>
    </w:p>
    <w:p w14:paraId="7C6E590F" w14:textId="02F28E06" w:rsidR="009A7B10" w:rsidRPr="00381692" w:rsidRDefault="009A7B10" w:rsidP="009A7B10">
      <w:pPr>
        <w:rPr>
          <w:b/>
          <w:bCs/>
        </w:rPr>
      </w:pPr>
      <w:r>
        <w:rPr>
          <w:b/>
          <w:bCs/>
        </w:rPr>
        <w:t>Au titre de l</w:t>
      </w:r>
      <w:r w:rsidR="0086763F">
        <w:rPr>
          <w:b/>
          <w:bCs/>
        </w:rPr>
        <w:t>’</w:t>
      </w:r>
      <w:r>
        <w:rPr>
          <w:b/>
          <w:bCs/>
        </w:rPr>
        <w:t>élément (a) : état d</w:t>
      </w:r>
      <w:r w:rsidR="0086763F">
        <w:rPr>
          <w:b/>
          <w:bCs/>
        </w:rPr>
        <w:t>’</w:t>
      </w:r>
      <w:r>
        <w:rPr>
          <w:b/>
          <w:bCs/>
        </w:rPr>
        <w:t>avancement de la mise en œuvre des dispositions du Protocole de Nagoya et des obligations connexes des Parties, y compris une évaluation des progrès accomplis par les Parties dans la mise en place de structures institutionnelles et de mesures d</w:t>
      </w:r>
      <w:r w:rsidR="0086763F">
        <w:rPr>
          <w:b/>
          <w:bCs/>
        </w:rPr>
        <w:t>’</w:t>
      </w:r>
      <w:r>
        <w:rPr>
          <w:b/>
          <w:bCs/>
        </w:rPr>
        <w:t xml:space="preserve">accès et de partage des avantages aux fins de mise en œuvre du Protocole   </w:t>
      </w:r>
    </w:p>
    <w:p w14:paraId="14305F41" w14:textId="51D0AFF5" w:rsidR="009A7B10" w:rsidRPr="005C7458" w:rsidRDefault="009A7B10" w:rsidP="002A6FD6">
      <w:pPr>
        <w:pStyle w:val="CBDNormalNumber"/>
        <w:numPr>
          <w:ilvl w:val="0"/>
          <w:numId w:val="11"/>
        </w:numPr>
      </w:pPr>
      <w:r>
        <w:t>D</w:t>
      </w:r>
      <w:r w:rsidR="0086763F">
        <w:t>’</w:t>
      </w:r>
      <w:r>
        <w:t>après les données révisées relatives aux indicateurs et en comparaison avec les données de février 2018, des progrès significatifs ont été réalisés dans la mise en place des fondements législatifs, administratifs et politiques nécessaires à la mise en œuvre du Protocole de Nagoya, notamment la désignation de correspondants nationaux et d</w:t>
      </w:r>
      <w:r w:rsidR="0086763F">
        <w:t>’</w:t>
      </w:r>
      <w:r>
        <w:t>autorités nationales compétentes, ainsi que l</w:t>
      </w:r>
      <w:r w:rsidR="0086763F">
        <w:t>’</w:t>
      </w:r>
      <w:r>
        <w:t>adoption de mesures législatives, administratives et stratégiques en matière d</w:t>
      </w:r>
      <w:r w:rsidR="0086763F">
        <w:t>’</w:t>
      </w:r>
      <w:r>
        <w:t>accès et de partage des avantages ; toutefois, ces progrès ont été inégaux d</w:t>
      </w:r>
      <w:r w:rsidR="0086763F">
        <w:t>’</w:t>
      </w:r>
      <w:r>
        <w:t>une région à l</w:t>
      </w:r>
      <w:r w:rsidR="0086763F">
        <w:t>’</w:t>
      </w:r>
      <w:r>
        <w:t>autre.</w:t>
      </w:r>
    </w:p>
    <w:p w14:paraId="3A45AF11" w14:textId="788732DA" w:rsidR="009A7B10" w:rsidRPr="005C7458" w:rsidRDefault="009A7B10" w:rsidP="002A6FD6">
      <w:pPr>
        <w:pStyle w:val="CBDNormalNumber"/>
        <w:numPr>
          <w:ilvl w:val="0"/>
          <w:numId w:val="11"/>
        </w:numPr>
      </w:pPr>
      <w:r>
        <w:t>Si les données relatives aux indicateurs mettent en évidence les progrès accomplis par les Parties dans la mise en place de structures institutionnelles et de mesures d</w:t>
      </w:r>
      <w:r w:rsidR="0086763F">
        <w:t>’</w:t>
      </w:r>
      <w:r>
        <w:t xml:space="preserve">accès et de partage des </w:t>
      </w:r>
      <w:r>
        <w:lastRenderedPageBreak/>
        <w:t>avantages, elles ne permettent toutefois pas de déterminer si ces institutions et ces mesures sont opérationnelles ou efficaces pour atteindre l</w:t>
      </w:r>
      <w:r w:rsidR="0086763F">
        <w:t>’</w:t>
      </w:r>
      <w:r>
        <w:t>objectif du Protocole.</w:t>
      </w:r>
    </w:p>
    <w:p w14:paraId="7E2B6F2E" w14:textId="4323F891" w:rsidR="009A7B10" w:rsidRPr="005C7458" w:rsidRDefault="009A7B10" w:rsidP="002A6FD6">
      <w:pPr>
        <w:pStyle w:val="CBDNormalNumber"/>
        <w:numPr>
          <w:ilvl w:val="0"/>
          <w:numId w:val="11"/>
        </w:numPr>
      </w:pPr>
      <w:r>
        <w:t>Les indicateurs relatifs à la mise en œuvre des articles 6, 7 et 12 témoignent de progrès inégaux. Parmi les Parties ayant signalé la présence de peuples autochtones et communautés locales sur leur territoire, la plupart ont intégré l</w:t>
      </w:r>
      <w:r w:rsidR="0086763F">
        <w:t>’</w:t>
      </w:r>
      <w:r>
        <w:t>exigence d</w:t>
      </w:r>
      <w:r w:rsidR="0086763F">
        <w:t>’</w:t>
      </w:r>
      <w:r>
        <w:t>un consentement préalable donné en connaissance de cause dans leurs mesures d</w:t>
      </w:r>
      <w:r w:rsidR="0086763F">
        <w:t>’</w:t>
      </w:r>
      <w:r>
        <w:t>accès et de partage des avantages ; à cet égard, les indicateurs relatifs aux dispositions du Protocole concernant les peuples autochtones et communautés locales ont fait état de progrès modérés. Toutefois, de nombreuses Parties n</w:t>
      </w:r>
      <w:r w:rsidR="0086763F">
        <w:t>’</w:t>
      </w:r>
      <w:r>
        <w:t>ont pas encore pleinement mis en œuvre ces dispositions et peu d</w:t>
      </w:r>
      <w:r w:rsidR="0086763F">
        <w:t>’</w:t>
      </w:r>
      <w:r>
        <w:t>exemples ont été rapportés.</w:t>
      </w:r>
    </w:p>
    <w:p w14:paraId="56D3433D" w14:textId="7DDC6394" w:rsidR="009A7B10" w:rsidRPr="005C7458" w:rsidRDefault="009A7B10" w:rsidP="002A6FD6">
      <w:pPr>
        <w:pStyle w:val="CBDNormalNumber"/>
        <w:numPr>
          <w:ilvl w:val="0"/>
          <w:numId w:val="11"/>
        </w:numPr>
      </w:pPr>
      <w:r>
        <w:t>La mise en œuvre du Protocole de Nagoya dans un esprit de complémentarité réciproque avec d</w:t>
      </w:r>
      <w:r w:rsidR="0086763F">
        <w:t>’</w:t>
      </w:r>
      <w:r>
        <w:t>autres instruments internationaux d</w:t>
      </w:r>
      <w:r w:rsidR="0086763F">
        <w:t>’</w:t>
      </w:r>
      <w:r>
        <w:t>accès et de partage des avantages pertinents, conformément au paragraphe 3 de l</w:t>
      </w:r>
      <w:r w:rsidR="0086763F">
        <w:t>’</w:t>
      </w:r>
      <w:r>
        <w:t>article 4, pourrait également être renforcée. Promouvoir la coordination institutionnelle et la sécurité juridique en matière de mise en œuvre nationale d</w:t>
      </w:r>
      <w:r w:rsidR="0086763F">
        <w:t>’</w:t>
      </w:r>
      <w:r>
        <w:t>instruments internationaux d</w:t>
      </w:r>
      <w:r w:rsidR="0086763F">
        <w:t>’</w:t>
      </w:r>
      <w:r>
        <w:t>accès et de partage des avantages et renforcer la sensibilisation aux différents régimes d</w:t>
      </w:r>
      <w:r w:rsidR="0086763F">
        <w:t>’</w:t>
      </w:r>
      <w:r>
        <w:t>accès et de partage des avantages pourrait appuyer les efforts dans ce sens. Ces efforts contribueront également à la mise en œuvre des considérations spéciales de l</w:t>
      </w:r>
      <w:r w:rsidR="0086763F">
        <w:t>’</w:t>
      </w:r>
      <w:r>
        <w:t>article 8.</w:t>
      </w:r>
    </w:p>
    <w:p w14:paraId="5A92AA73" w14:textId="01D3601A" w:rsidR="009A7B10" w:rsidRPr="005C7458" w:rsidRDefault="009A7B10" w:rsidP="002A6FD6">
      <w:pPr>
        <w:pStyle w:val="CBDNormalNumber"/>
        <w:numPr>
          <w:ilvl w:val="0"/>
          <w:numId w:val="11"/>
        </w:numPr>
      </w:pPr>
      <w:r>
        <w:t>Les Parties cherchent généralement à coopérer en réponse à l</w:t>
      </w:r>
      <w:r w:rsidR="0086763F">
        <w:t>’</w:t>
      </w:r>
      <w:r>
        <w:t>article 11 du Protocole. Lorsqu</w:t>
      </w:r>
      <w:r w:rsidR="0086763F">
        <w:t>’</w:t>
      </w:r>
      <w:r>
        <w:t>une telle coopération a lieu, elle tend à reposer sur des arrangements informels ou des initiatives régionales et écosystémiques opérant au sein de cadres de conservation et de communautés existants. Cependant, la coopération transfrontière mentionnée à l</w:t>
      </w:r>
      <w:r w:rsidR="0086763F">
        <w:t>’</w:t>
      </w:r>
      <w:r>
        <w:t>article 11 demeure limitée en pratique.</w:t>
      </w:r>
    </w:p>
    <w:p w14:paraId="2A2F6AAA" w14:textId="7F97F95F" w:rsidR="009A7B10" w:rsidRPr="00381692" w:rsidRDefault="009A7B10" w:rsidP="009A7B10">
      <w:pPr>
        <w:rPr>
          <w:b/>
          <w:bCs/>
        </w:rPr>
      </w:pPr>
      <w:r>
        <w:rPr>
          <w:b/>
          <w:bCs/>
        </w:rPr>
        <w:t>Au titre de l</w:t>
      </w:r>
      <w:r w:rsidR="0086763F">
        <w:rPr>
          <w:b/>
          <w:bCs/>
        </w:rPr>
        <w:t>’</w:t>
      </w:r>
      <w:r>
        <w:rPr>
          <w:b/>
          <w:bCs/>
        </w:rPr>
        <w:t>élément (b) : évaluation de l</w:t>
      </w:r>
      <w:r w:rsidR="0086763F">
        <w:rPr>
          <w:b/>
          <w:bCs/>
        </w:rPr>
        <w:t>’</w:t>
      </w:r>
      <w:r>
        <w:rPr>
          <w:b/>
          <w:bCs/>
        </w:rPr>
        <w:t>efficacité</w:t>
      </w:r>
    </w:p>
    <w:p w14:paraId="5DFDEA57" w14:textId="46DF85DF" w:rsidR="009A7B10" w:rsidRPr="005C7458" w:rsidRDefault="009A7B10" w:rsidP="002A6FD6">
      <w:pPr>
        <w:pStyle w:val="CBDNormalNumber"/>
        <w:numPr>
          <w:ilvl w:val="0"/>
          <w:numId w:val="11"/>
        </w:numPr>
      </w:pPr>
      <w:r>
        <w:t>Les données des indicateurs relatifs à l</w:t>
      </w:r>
      <w:r w:rsidR="0086763F">
        <w:t>’</w:t>
      </w:r>
      <w:r>
        <w:t>accès montrent que des progrès ont été réalisés dans l</w:t>
      </w:r>
      <w:r w:rsidR="0086763F">
        <w:t>’</w:t>
      </w:r>
      <w:r>
        <w:t>élaboration de mesures et la création d</w:t>
      </w:r>
      <w:r w:rsidR="0086763F">
        <w:t>’</w:t>
      </w:r>
      <w:r>
        <w:t>une partie des conditions nécessaires à l</w:t>
      </w:r>
      <w:r w:rsidR="0086763F">
        <w:t>’</w:t>
      </w:r>
      <w:r>
        <w:t>accès. Les indicateurs ne permettent cependant pas de déterminer si ces mesures sont pleinement opérationnelles. De plus, l</w:t>
      </w:r>
      <w:r w:rsidR="0086763F">
        <w:t>’</w:t>
      </w:r>
      <w:r>
        <w:t>efficacité devrait être évaluée à partir de la chaîne de valeur complète de l</w:t>
      </w:r>
      <w:r w:rsidR="0086763F">
        <w:t>’</w:t>
      </w:r>
      <w:r>
        <w:t>accès et du partage des avantages, de la demande d</w:t>
      </w:r>
      <w:r w:rsidR="0086763F">
        <w:t>’</w:t>
      </w:r>
      <w:r>
        <w:t>accès à la fourniture des avantages.</w:t>
      </w:r>
    </w:p>
    <w:p w14:paraId="25727FC6" w14:textId="2F6C7D0E" w:rsidR="009A7B10" w:rsidRPr="005C7458" w:rsidRDefault="009A7B10" w:rsidP="002A6FD6">
      <w:pPr>
        <w:pStyle w:val="CBDNormalNumber"/>
        <w:numPr>
          <w:ilvl w:val="0"/>
          <w:numId w:val="11"/>
        </w:numPr>
      </w:pPr>
      <w:r>
        <w:t>En ce qui concerne le partage des avantages, les informations transmises montrent qu</w:t>
      </w:r>
      <w:r w:rsidR="0086763F">
        <w:t>’</w:t>
      </w:r>
      <w:r>
        <w:t>environ un tiers des Parties exigeant un consentement préalable donné en connaissance de cause ont rapporté avoir obtenu des avantages découlant de l</w:t>
      </w:r>
      <w:r w:rsidR="0086763F">
        <w:t>’</w:t>
      </w:r>
      <w:r>
        <w:t>accès à des ressources génétiques ; cependant, des avantages monétaires ont été perçus par un nombre relativement faible de Parties. Les avantages non monétaires issus de ressources génétiques sont plus communs et ont été rapportés par deux tiers des Parties exigeant un consentement préalable donné en connaissance de cause. Leur qualité, leur valeur et leur fourniture devraient être documentées et faire l</w:t>
      </w:r>
      <w:r w:rsidR="0086763F">
        <w:t>’</w:t>
      </w:r>
      <w:r>
        <w:t>objet d</w:t>
      </w:r>
      <w:r w:rsidR="0086763F">
        <w:t>’</w:t>
      </w:r>
      <w:r>
        <w:t>un suivi.</w:t>
      </w:r>
    </w:p>
    <w:p w14:paraId="77D86CAF" w14:textId="51A18AD6" w:rsidR="009A7B10" w:rsidRPr="005C7458" w:rsidRDefault="009A7B10" w:rsidP="002A6FD6">
      <w:pPr>
        <w:pStyle w:val="CBDNormalNumber"/>
        <w:numPr>
          <w:ilvl w:val="0"/>
          <w:numId w:val="11"/>
        </w:numPr>
      </w:pPr>
      <w:r>
        <w:t>Tandis que les incidences de l</w:t>
      </w:r>
      <w:r w:rsidR="0086763F">
        <w:t>’</w:t>
      </w:r>
      <w:r>
        <w:t>accès et du partage des avantages ainsi que du Protocole de Nagoya dépendent en partie du stade de mise en œuvre atteint par les Parties, les avantages monétaires et non monétaires rapportés illustrent le fait que l</w:t>
      </w:r>
      <w:r w:rsidR="0086763F">
        <w:t>’</w:t>
      </w:r>
      <w:r>
        <w:t>accès et le partage des avantages recèlent un potentiel considérable lorsqu</w:t>
      </w:r>
      <w:r w:rsidR="0086763F">
        <w:t>’</w:t>
      </w:r>
      <w:r>
        <w:t>ils sont pleinement opérationnels et appuyés par une expérience acquise lors de la mise en œuvre. Au fur et à mesure que les Parties avancent dans la mise en œuvre, le partage des avantages se généralisera certainement et contribuera davantage à la conservation et à l</w:t>
      </w:r>
      <w:r w:rsidR="0086763F">
        <w:t>’</w:t>
      </w:r>
      <w:r>
        <w:t>utilisation durable de la diversité biologique.</w:t>
      </w:r>
    </w:p>
    <w:p w14:paraId="4074DA6F" w14:textId="2D614CA2" w:rsidR="009A7B10" w:rsidRPr="005C7458" w:rsidRDefault="009A7B10" w:rsidP="002A6FD6">
      <w:pPr>
        <w:pStyle w:val="CBDNormalNumber"/>
        <w:numPr>
          <w:ilvl w:val="0"/>
          <w:numId w:val="11"/>
        </w:numPr>
      </w:pPr>
      <w:r>
        <w:t>La reconnaissance des principes d</w:t>
      </w:r>
      <w:r w:rsidR="0086763F">
        <w:t>’</w:t>
      </w:r>
      <w:r>
        <w:t>accès et de partage des avantages requiert des changements fondamentaux en termes d</w:t>
      </w:r>
      <w:r w:rsidR="0086763F">
        <w:t>’</w:t>
      </w:r>
      <w:r>
        <w:t>état d</w:t>
      </w:r>
      <w:r w:rsidR="0086763F">
        <w:t>’</w:t>
      </w:r>
      <w:r>
        <w:t>esprit et de pratiques, notamment des informations claires sur les mesures d</w:t>
      </w:r>
      <w:r w:rsidR="0086763F">
        <w:t>’</w:t>
      </w:r>
      <w:r>
        <w:t>accès, des processus d</w:t>
      </w:r>
      <w:r w:rsidR="0086763F">
        <w:t>’</w:t>
      </w:r>
      <w:r>
        <w:t>accès et de partage des avantages efficaces et les meilleures pratiques puisant dans les leçons tirées par les fournisseurs aussi bien que les utilisateurs. Cela peut être favorisé par des initiatives de création et de renforcement des capacités.</w:t>
      </w:r>
    </w:p>
    <w:p w14:paraId="5DF61B01" w14:textId="5FF25C74" w:rsidR="009A7B10" w:rsidRPr="005C7458" w:rsidRDefault="009A7B10" w:rsidP="002A6FD6">
      <w:pPr>
        <w:pStyle w:val="CBDNormalNumber"/>
        <w:numPr>
          <w:ilvl w:val="0"/>
          <w:numId w:val="11"/>
        </w:numPr>
      </w:pPr>
      <w:r>
        <w:t>Ces changements peuvent uniquement survenir progressivement et s</w:t>
      </w:r>
      <w:r w:rsidR="0086763F">
        <w:t>’</w:t>
      </w:r>
      <w:r>
        <w:t>ils s</w:t>
      </w:r>
      <w:r w:rsidR="0086763F">
        <w:t>’</w:t>
      </w:r>
      <w:r>
        <w:t>accompagnent des conditions propices nécessaires et d</w:t>
      </w:r>
      <w:r w:rsidR="0086763F">
        <w:t>’</w:t>
      </w:r>
      <w:r>
        <w:t xml:space="preserve">un appui structurel sur le long terme, y compris un engagement </w:t>
      </w:r>
      <w:r>
        <w:lastRenderedPageBreak/>
        <w:t>et une mise en œuvre politiques continus, des incitations appropriées et une intégration de l</w:t>
      </w:r>
      <w:r w:rsidR="0086763F">
        <w:t>’</w:t>
      </w:r>
      <w:r>
        <w:t>accès et du partage des avantages dans les objectifs politiques plus généraux.</w:t>
      </w:r>
    </w:p>
    <w:p w14:paraId="7AA167EE" w14:textId="04C2B9D9" w:rsidR="009A7B10" w:rsidRPr="00381692" w:rsidRDefault="009A7B10" w:rsidP="009A7B10">
      <w:pPr>
        <w:rPr>
          <w:b/>
          <w:bCs/>
        </w:rPr>
      </w:pPr>
      <w:r>
        <w:rPr>
          <w:b/>
          <w:bCs/>
        </w:rPr>
        <w:t>Au titre de l</w:t>
      </w:r>
      <w:r w:rsidR="0086763F">
        <w:rPr>
          <w:b/>
          <w:bCs/>
        </w:rPr>
        <w:t>’</w:t>
      </w:r>
      <w:r>
        <w:rPr>
          <w:b/>
          <w:bCs/>
        </w:rPr>
        <w:t>élément (c) : évaluation de l</w:t>
      </w:r>
      <w:r w:rsidR="0086763F">
        <w:rPr>
          <w:b/>
          <w:bCs/>
        </w:rPr>
        <w:t>’</w:t>
      </w:r>
      <w:r>
        <w:rPr>
          <w:b/>
          <w:bCs/>
        </w:rPr>
        <w:t>appui disponible pour la mise en œuvre</w:t>
      </w:r>
    </w:p>
    <w:p w14:paraId="7DD26393" w14:textId="68E9D687" w:rsidR="009A7B10" w:rsidRPr="005C7458" w:rsidRDefault="009A7B10" w:rsidP="002A6FD6">
      <w:pPr>
        <w:pStyle w:val="CBDNormalNumber"/>
        <w:numPr>
          <w:ilvl w:val="0"/>
          <w:numId w:val="11"/>
        </w:numPr>
      </w:pPr>
      <w:r>
        <w:t>Si les indicateurs mesurant l</w:t>
      </w:r>
      <w:r w:rsidR="0086763F">
        <w:t>’</w:t>
      </w:r>
      <w:r>
        <w:t>appui à la mise en œuvre montrent que d</w:t>
      </w:r>
      <w:r w:rsidR="0086763F">
        <w:t>’</w:t>
      </w:r>
      <w:r>
        <w:t>importants progrès ont été accomplis, nombre de Parties continuent néanmoins de faire face à des lacunes opérationnelles et de capacités techniques, en particulier dans les négociations de conditions convenues d</w:t>
      </w:r>
      <w:r w:rsidR="0086763F">
        <w:t>’</w:t>
      </w:r>
      <w:r>
        <w:t>un commun accord, la surveillance, l</w:t>
      </w:r>
      <w:r w:rsidR="0086763F">
        <w:t>’</w:t>
      </w:r>
      <w:r>
        <w:t>application et le suivi des avantages, qui limitent l</w:t>
      </w:r>
      <w:r w:rsidR="0086763F">
        <w:t>’</w:t>
      </w:r>
      <w:r>
        <w:t>efficacité de la mise en œuvre de l</w:t>
      </w:r>
      <w:r w:rsidR="0086763F">
        <w:t>’</w:t>
      </w:r>
      <w:r>
        <w:t>accès et du partage des avantages.</w:t>
      </w:r>
    </w:p>
    <w:p w14:paraId="256D63C7" w14:textId="7C2DB051" w:rsidR="009A7B10" w:rsidRPr="005C7458" w:rsidRDefault="009A7B10" w:rsidP="002A6FD6">
      <w:pPr>
        <w:pStyle w:val="CBDNormalNumber"/>
        <w:numPr>
          <w:ilvl w:val="0"/>
          <w:numId w:val="11"/>
        </w:numPr>
      </w:pPr>
      <w:r>
        <w:t>Les contraintes en matière de ressources humaines et de capacités institutionnelles sont systématiquement mentionnées comme étant des obstacles majeurs à la mise en œuvre. Des formations trop ponctuelles, une rotation importante des effectifs et des financements pour des projets à court terme affaiblissent l</w:t>
      </w:r>
      <w:r w:rsidR="0086763F">
        <w:t>’</w:t>
      </w:r>
      <w:r>
        <w:t>apprentissage institutionnel et la continuité des systèmes d</w:t>
      </w:r>
      <w:r w:rsidR="0086763F">
        <w:t>’</w:t>
      </w:r>
      <w:r>
        <w:t>accès et de partage des avantages.</w:t>
      </w:r>
    </w:p>
    <w:p w14:paraId="4DC9E6EA" w14:textId="363FBC27" w:rsidR="009A7B10" w:rsidRPr="005C7458" w:rsidRDefault="009A7B10" w:rsidP="002A6FD6">
      <w:pPr>
        <w:pStyle w:val="CBDNormalNumber"/>
        <w:numPr>
          <w:ilvl w:val="0"/>
          <w:numId w:val="11"/>
        </w:numPr>
      </w:pPr>
      <w:r>
        <w:t>Sans allocation adéquate de ressources humaines et sans les capacités institutionnelles nécessaires, la participation pleine et effective des peuples autochtones et communautés locales, la sensibilisation et l</w:t>
      </w:r>
      <w:r w:rsidR="0086763F">
        <w:t>’</w:t>
      </w:r>
      <w:r>
        <w:t>implication des utilisateurs de ressources génétiques et des parties prenantes clés, ainsi que le partage des avantages ne peuvent pas être réalisés en pratique.</w:t>
      </w:r>
    </w:p>
    <w:p w14:paraId="57510FB9" w14:textId="5CAD1A6F" w:rsidR="009A7B10" w:rsidRDefault="009A7B10" w:rsidP="002A6FD6">
      <w:pPr>
        <w:pStyle w:val="CBDNormalNumber"/>
        <w:numPr>
          <w:ilvl w:val="0"/>
          <w:numId w:val="11"/>
        </w:numPr>
      </w:pPr>
      <w:r>
        <w:t>La planification du renforcement des capacités à long terme</w:t>
      </w:r>
      <w:r w:rsidR="00F26222">
        <w:t xml:space="preserve">, </w:t>
      </w:r>
      <w:r>
        <w:t>des ressources financières adaptées, prévisibles et flexibles</w:t>
      </w:r>
      <w:r w:rsidR="00F26222">
        <w:t xml:space="preserve">, ainsi que </w:t>
      </w:r>
      <w:r>
        <w:t>d</w:t>
      </w:r>
      <w:r w:rsidR="0086763F">
        <w:t>’</w:t>
      </w:r>
      <w:r>
        <w:t>importantes capacités institutionnelles sont essentielles pour garantir que toutes les Parties remplissent leurs obligations au titre du Protocole et créent les conditions propices nécessaires à l</w:t>
      </w:r>
      <w:r w:rsidR="0086763F">
        <w:t>’</w:t>
      </w:r>
      <w:r>
        <w:t>augmentation des avantages partagés découlant de l</w:t>
      </w:r>
      <w:r w:rsidR="0086763F">
        <w:t>’</w:t>
      </w:r>
      <w:r>
        <w:t>utilisation des ressources génétiques et des connaissances traditionnelles associées.</w:t>
      </w:r>
    </w:p>
    <w:p w14:paraId="18C2B019" w14:textId="146A2E2F" w:rsidR="009A7B10" w:rsidRPr="00381692" w:rsidRDefault="009A7B10" w:rsidP="009A7B10">
      <w:pPr>
        <w:rPr>
          <w:b/>
          <w:bCs/>
        </w:rPr>
      </w:pPr>
      <w:r>
        <w:rPr>
          <w:b/>
          <w:bCs/>
        </w:rPr>
        <w:t>Élément (h) : état d</w:t>
      </w:r>
      <w:r w:rsidR="0086763F">
        <w:rPr>
          <w:b/>
          <w:bCs/>
        </w:rPr>
        <w:t>’</w:t>
      </w:r>
      <w:r>
        <w:rPr>
          <w:b/>
          <w:bCs/>
        </w:rPr>
        <w:t>avancement de la mise en œuvre de l</w:t>
      </w:r>
      <w:r w:rsidR="0086763F">
        <w:rPr>
          <w:b/>
          <w:bCs/>
        </w:rPr>
        <w:t>’</w:t>
      </w:r>
      <w:r>
        <w:rPr>
          <w:b/>
          <w:bCs/>
        </w:rPr>
        <w:t xml:space="preserve">article 10, relatif à un mécanisme multilatéral mondial de partage des avantages </w:t>
      </w:r>
    </w:p>
    <w:p w14:paraId="7F2561D6" w14:textId="038B8192" w:rsidR="00BB4A43" w:rsidRDefault="009A7B10" w:rsidP="00210A37">
      <w:pPr>
        <w:pStyle w:val="CBDNormalNumber"/>
        <w:numPr>
          <w:ilvl w:val="0"/>
          <w:numId w:val="11"/>
        </w:numPr>
      </w:pPr>
      <w:r>
        <w:t>À sa cinquième réunion, la Conférence des Parties siégeant en tant que réunion des Parties au Protocole de Nagoya n</w:t>
      </w:r>
      <w:r w:rsidR="0086763F">
        <w:t>’</w:t>
      </w:r>
      <w:r>
        <w:t>a pas demandé que davantage de travaux soient entrepris sur l</w:t>
      </w:r>
      <w:r w:rsidR="0086763F">
        <w:t>’</w:t>
      </w:r>
      <w:r>
        <w:t xml:space="preserve">article 10 dans la période intersessions et, dans la décision </w:t>
      </w:r>
      <w:hyperlink r:id="rId54" w:history="1">
        <w:r>
          <w:rPr>
            <w:rStyle w:val="Hyperlink"/>
          </w:rPr>
          <w:t>NP-5/7</w:t>
        </w:r>
      </w:hyperlink>
      <w:r>
        <w:t>, a décidé que, à sa sixième réunion, elle réexaminerait la question de la nécessité et des modalités d</w:t>
      </w:r>
      <w:r w:rsidR="0086763F">
        <w:t>’</w:t>
      </w:r>
      <w:r>
        <w:t>un mécanisme multilatéral mondial de partage des avantages, tel que décrit à l</w:t>
      </w:r>
      <w:r w:rsidR="0086763F">
        <w:t>’</w:t>
      </w:r>
      <w:r>
        <w:t>article 10 du Protocole, en tenant compte de l</w:t>
      </w:r>
      <w:r w:rsidR="0086763F">
        <w:t>’</w:t>
      </w:r>
      <w:r>
        <w:t>analyse et du résumé des informations en vue du deuxième exercice d</w:t>
      </w:r>
      <w:r w:rsidR="0086763F">
        <w:t>’</w:t>
      </w:r>
      <w:r>
        <w:t>évaluation et d</w:t>
      </w:r>
      <w:r w:rsidR="0086763F">
        <w:t>’</w:t>
      </w:r>
      <w:r>
        <w:t xml:space="preserve">examen du Protocole.  </w:t>
      </w:r>
    </w:p>
    <w:p w14:paraId="4DBF8BEC" w14:textId="77777777" w:rsidR="00CD7C07" w:rsidRDefault="00CD7C07" w:rsidP="00975047">
      <w:pPr>
        <w:pStyle w:val="Para1"/>
        <w:numPr>
          <w:ilvl w:val="0"/>
          <w:numId w:val="0"/>
        </w:numPr>
        <w:ind w:left="567"/>
        <w:jc w:val="center"/>
      </w:pPr>
    </w:p>
    <w:p w14:paraId="4867B6F3" w14:textId="77777777" w:rsidR="00A111D1" w:rsidRPr="003F1A75" w:rsidRDefault="00A111D1" w:rsidP="00975047">
      <w:pPr>
        <w:pStyle w:val="Para1"/>
        <w:numPr>
          <w:ilvl w:val="0"/>
          <w:numId w:val="0"/>
        </w:numPr>
        <w:ind w:left="567"/>
        <w:jc w:val="center"/>
      </w:pPr>
      <w:r>
        <w:t>__________</w:t>
      </w:r>
    </w:p>
    <w:sectPr w:rsidR="00A111D1" w:rsidRPr="003F1A75" w:rsidSect="00381692">
      <w:footnotePr>
        <w:numRestart w:val="eachSect"/>
      </w:footnotePr>
      <w:type w:val="continuous"/>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3FDF2" w14:textId="77777777" w:rsidR="003A0C90" w:rsidRPr="003F1A75" w:rsidRDefault="003A0C90" w:rsidP="00CF1848">
      <w:r w:rsidRPr="003F1A75">
        <w:separator/>
      </w:r>
    </w:p>
  </w:endnote>
  <w:endnote w:type="continuationSeparator" w:id="0">
    <w:p w14:paraId="7950B916" w14:textId="77777777" w:rsidR="003A0C90" w:rsidRPr="003F1A75" w:rsidRDefault="003A0C9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DDBFEB7" w14:textId="77777777" w:rsidR="00D75CA6" w:rsidRPr="00B172C3" w:rsidRDefault="00D75CA6" w:rsidP="00D75CA6">
            <w:pPr>
              <w:pStyle w:val="Footer"/>
              <w:jc w:val="left"/>
            </w:pPr>
            <w:r w:rsidRPr="00381692">
              <w:rPr>
                <w:szCs w:val="20"/>
              </w:rPr>
              <w:fldChar w:fldCharType="begin"/>
            </w:r>
            <w:r w:rsidRPr="00381692">
              <w:rPr>
                <w:szCs w:val="20"/>
              </w:rPr>
              <w:instrText xml:space="preserve"> PAGE </w:instrText>
            </w:r>
            <w:r w:rsidRPr="00381692">
              <w:rPr>
                <w:szCs w:val="20"/>
              </w:rPr>
              <w:fldChar w:fldCharType="separate"/>
            </w:r>
            <w:r w:rsidRPr="00381692">
              <w:rPr>
                <w:noProof/>
                <w:szCs w:val="20"/>
              </w:rPr>
              <w:t>2</w:t>
            </w:r>
            <w:r w:rsidRPr="00381692">
              <w:rPr>
                <w:szCs w:val="20"/>
              </w:rPr>
              <w:fldChar w:fldCharType="end"/>
            </w:r>
            <w:r w:rsidRPr="00B172C3">
              <w:rPr>
                <w:szCs w:val="20"/>
              </w:rPr>
              <w:t>/</w:t>
            </w:r>
            <w:r w:rsidRPr="00381692">
              <w:rPr>
                <w:szCs w:val="20"/>
              </w:rPr>
              <w:fldChar w:fldCharType="begin"/>
            </w:r>
            <w:r w:rsidRPr="00381692">
              <w:rPr>
                <w:szCs w:val="20"/>
              </w:rPr>
              <w:instrText xml:space="preserve"> NUMPAGES  </w:instrText>
            </w:r>
            <w:r w:rsidRPr="00381692">
              <w:rPr>
                <w:szCs w:val="20"/>
              </w:rPr>
              <w:fldChar w:fldCharType="separate"/>
            </w:r>
            <w:r w:rsidRPr="00381692">
              <w:rPr>
                <w:noProof/>
                <w:szCs w:val="20"/>
              </w:rPr>
              <w:t>2</w:t>
            </w:r>
            <w:r w:rsidRPr="0038169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F484F83" w14:textId="77777777" w:rsidR="00D75CA6" w:rsidRPr="003F1A75" w:rsidRDefault="00D75CA6" w:rsidP="00381692">
        <w:pPr>
          <w:pStyle w:val="Footer"/>
          <w:jc w:val="right"/>
        </w:pPr>
        <w:r w:rsidRPr="00381692">
          <w:rPr>
            <w:szCs w:val="20"/>
          </w:rPr>
          <w:fldChar w:fldCharType="begin"/>
        </w:r>
        <w:r w:rsidRPr="00381692">
          <w:rPr>
            <w:szCs w:val="20"/>
          </w:rPr>
          <w:instrText xml:space="preserve"> PAGE </w:instrText>
        </w:r>
        <w:r w:rsidRPr="00381692">
          <w:rPr>
            <w:szCs w:val="20"/>
          </w:rPr>
          <w:fldChar w:fldCharType="separate"/>
        </w:r>
        <w:r w:rsidRPr="00381692">
          <w:rPr>
            <w:szCs w:val="20"/>
          </w:rPr>
          <w:t>2</w:t>
        </w:r>
        <w:r w:rsidRPr="00381692">
          <w:rPr>
            <w:szCs w:val="20"/>
          </w:rPr>
          <w:fldChar w:fldCharType="end"/>
        </w:r>
        <w:r w:rsidRPr="00B172C3">
          <w:rPr>
            <w:szCs w:val="20"/>
          </w:rPr>
          <w:t>/</w:t>
        </w:r>
        <w:r w:rsidRPr="00381692">
          <w:rPr>
            <w:szCs w:val="20"/>
          </w:rPr>
          <w:fldChar w:fldCharType="begin"/>
        </w:r>
        <w:r w:rsidRPr="00381692">
          <w:rPr>
            <w:szCs w:val="20"/>
          </w:rPr>
          <w:instrText xml:space="preserve"> NUMPAGES  </w:instrText>
        </w:r>
        <w:r w:rsidRPr="00381692">
          <w:rPr>
            <w:szCs w:val="20"/>
          </w:rPr>
          <w:fldChar w:fldCharType="separate"/>
        </w:r>
        <w:r w:rsidRPr="00381692">
          <w:rPr>
            <w:szCs w:val="20"/>
          </w:rPr>
          <w:t>3</w:t>
        </w:r>
        <w:r w:rsidRPr="0038169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43567" w14:textId="77777777" w:rsidR="003A0C90" w:rsidRPr="003F1A75" w:rsidRDefault="003A0C90" w:rsidP="00CF1848">
      <w:r w:rsidRPr="003F1A75">
        <w:separator/>
      </w:r>
    </w:p>
  </w:footnote>
  <w:footnote w:type="continuationSeparator" w:id="0">
    <w:p w14:paraId="1280BFB0" w14:textId="77777777" w:rsidR="003A0C90" w:rsidRPr="003F1A75" w:rsidRDefault="003A0C90" w:rsidP="00CF1848">
      <w:r w:rsidRPr="003F1A75">
        <w:continuationSeparator/>
      </w:r>
    </w:p>
  </w:footnote>
  <w:footnote w:id="1">
    <w:p w14:paraId="1A1940E2" w14:textId="77777777" w:rsidR="008A1499" w:rsidRPr="003F1A75" w:rsidRDefault="008A1499">
      <w:pPr>
        <w:pStyle w:val="FootnoteText"/>
      </w:pPr>
      <w:r w:rsidRPr="003F1A75">
        <w:rPr>
          <w:rStyle w:val="FootnoteReference"/>
        </w:rPr>
        <w:t>*</w:t>
      </w:r>
      <w:r w:rsidRPr="003F1A75">
        <w:t xml:space="preserve"> </w:t>
      </w:r>
      <w:hyperlink r:id="rId1" w:history="1">
        <w:r w:rsidRPr="00105649">
          <w:rPr>
            <w:rStyle w:val="Hyperlink"/>
          </w:rPr>
          <w:t>CBD/</w:t>
        </w:r>
        <w:r w:rsidR="00975047" w:rsidRPr="00105649">
          <w:rPr>
            <w:rStyle w:val="Hyperlink"/>
          </w:rPr>
          <w:t>NP/MOP/6</w:t>
        </w:r>
        <w:r w:rsidRPr="00105649">
          <w:rPr>
            <w:rStyle w:val="Hyperlink"/>
          </w:rPr>
          <w:t>/1</w:t>
        </w:r>
      </w:hyperlink>
      <w:r w:rsidRPr="003F1A75">
        <w:t>.</w:t>
      </w:r>
    </w:p>
  </w:footnote>
  <w:footnote w:id="2">
    <w:p w14:paraId="088CEC35" w14:textId="4C860787" w:rsidR="00174A1D" w:rsidRPr="005A136F" w:rsidRDefault="00174A1D" w:rsidP="00174A1D">
      <w:pPr>
        <w:pStyle w:val="FootnoteText"/>
      </w:pPr>
      <w:hyperlink r:id="rId2" w:history="1">
        <w:r w:rsidRPr="00F97A61">
          <w:rPr>
            <w:rStyle w:val="Hyperlink"/>
            <w:vertAlign w:val="superscript"/>
          </w:rPr>
          <w:footnoteRef/>
        </w:r>
        <w:r w:rsidRPr="00F97A61">
          <w:rPr>
            <w:rStyle w:val="Hyperlink"/>
          </w:rPr>
          <w:t xml:space="preserve"> CBD/SBI/7/7</w:t>
        </w:r>
      </w:hyperlink>
      <w:r w:rsidRPr="005A136F">
        <w:t>.</w:t>
      </w:r>
    </w:p>
  </w:footnote>
  <w:footnote w:id="3">
    <w:p w14:paraId="214E5352" w14:textId="39158ABF" w:rsidR="00174A1D" w:rsidRPr="005A136F" w:rsidRDefault="00174A1D" w:rsidP="00174A1D">
      <w:pPr>
        <w:pStyle w:val="FootnoteText"/>
      </w:pPr>
      <w:r>
        <w:rPr>
          <w:rStyle w:val="FootnoteReference"/>
        </w:rPr>
        <w:footnoteRef/>
      </w:r>
      <w:r w:rsidRPr="005A136F">
        <w:t xml:space="preserve"> </w:t>
      </w:r>
      <w:hyperlink r:id="rId3" w:history="1">
        <w:r w:rsidRPr="00C0758A">
          <w:rPr>
            <w:rStyle w:val="Hyperlink"/>
          </w:rPr>
          <w:t>CBD/SBI/7/7/Add.1</w:t>
        </w:r>
      </w:hyperlink>
      <w:r w:rsidRPr="005A136F">
        <w:t>.</w:t>
      </w:r>
    </w:p>
  </w:footnote>
  <w:footnote w:id="4">
    <w:p w14:paraId="2DFF10BB" w14:textId="73B882BB" w:rsidR="00AC7FEB" w:rsidRPr="005A136F" w:rsidRDefault="00AC7FEB">
      <w:pPr>
        <w:pStyle w:val="FootnoteText"/>
      </w:pPr>
      <w:r>
        <w:rPr>
          <w:rStyle w:val="FootnoteReference"/>
        </w:rPr>
        <w:footnoteRef/>
      </w:r>
      <w:r w:rsidRPr="005A136F">
        <w:t xml:space="preserve"> </w:t>
      </w:r>
      <w:r w:rsidR="007B7D86">
        <w:t xml:space="preserve">Voir </w:t>
      </w:r>
      <w:r w:rsidRPr="005A136F">
        <w:t>CBD/SBI/6/8.</w:t>
      </w:r>
    </w:p>
  </w:footnote>
  <w:footnote w:id="5">
    <w:p w14:paraId="33C91B50" w14:textId="1764CC83" w:rsidR="000C726E" w:rsidRPr="00381692" w:rsidRDefault="000C726E">
      <w:pPr>
        <w:pStyle w:val="FootnoteText"/>
      </w:pPr>
      <w:r>
        <w:rPr>
          <w:rStyle w:val="FootnoteReference"/>
        </w:rPr>
        <w:footnoteRef/>
      </w:r>
      <w:r>
        <w:t xml:space="preserve"> </w:t>
      </w:r>
      <w:r w:rsidRPr="000C726E">
        <w:t>CBD/SBI/7/7/Add.1</w:t>
      </w:r>
      <w:r w:rsidR="007013B7">
        <w:t>.</w:t>
      </w:r>
    </w:p>
  </w:footnote>
  <w:footnote w:id="6">
    <w:p w14:paraId="716444BC" w14:textId="58FA85CF" w:rsidR="007705A0" w:rsidRPr="005A136F" w:rsidRDefault="007705A0">
      <w:pPr>
        <w:pStyle w:val="FootnoteText"/>
      </w:pPr>
      <w:r>
        <w:rPr>
          <w:rStyle w:val="FootnoteReference"/>
        </w:rPr>
        <w:footnoteRef/>
      </w:r>
      <w:r w:rsidRPr="005A136F">
        <w:t xml:space="preserve"> </w:t>
      </w:r>
      <w:hyperlink r:id="rId4" w:history="1">
        <w:r w:rsidR="00955B7E" w:rsidRPr="005A136F">
          <w:rPr>
            <w:rStyle w:val="Hyperlink"/>
            <w:szCs w:val="18"/>
          </w:rPr>
          <w:t>CBD/SBI/7/INF/2</w:t>
        </w:r>
      </w:hyperlink>
      <w:r w:rsidR="00955B7E" w:rsidRPr="005A136F">
        <w:t>.</w:t>
      </w:r>
    </w:p>
  </w:footnote>
  <w:footnote w:id="7">
    <w:p w14:paraId="13ECB136" w14:textId="37064A57" w:rsidR="00955B7E" w:rsidRPr="005A136F" w:rsidRDefault="00955B7E">
      <w:pPr>
        <w:pStyle w:val="FootnoteText"/>
      </w:pPr>
      <w:r>
        <w:rPr>
          <w:rStyle w:val="FootnoteReference"/>
        </w:rPr>
        <w:footnoteRef/>
      </w:r>
      <w:r w:rsidRPr="005A136F">
        <w:t xml:space="preserve"> </w:t>
      </w:r>
      <w:hyperlink r:id="rId5" w:history="1">
        <w:r w:rsidR="00921A09" w:rsidRPr="005A136F">
          <w:rPr>
            <w:rStyle w:val="Hyperlink"/>
            <w:szCs w:val="18"/>
          </w:rPr>
          <w:t>CBD/SBI/7/INF/3</w:t>
        </w:r>
        <w:r w:rsidR="00921A09" w:rsidRPr="005A136F">
          <w:rPr>
            <w:rStyle w:val="Hyperlink"/>
          </w:rPr>
          <w:t>/Rev.1</w:t>
        </w:r>
      </w:hyperlink>
      <w:r w:rsidR="00921A09" w:rsidRPr="005A136F">
        <w:t>.</w:t>
      </w:r>
    </w:p>
  </w:footnote>
  <w:footnote w:id="8">
    <w:p w14:paraId="5C30661D" w14:textId="227B892F" w:rsidR="00921A09" w:rsidRPr="005A136F" w:rsidRDefault="00921A09">
      <w:pPr>
        <w:pStyle w:val="FootnoteText"/>
      </w:pPr>
      <w:r>
        <w:rPr>
          <w:rStyle w:val="FootnoteReference"/>
        </w:rPr>
        <w:footnoteRef/>
      </w:r>
      <w:r w:rsidRPr="005A136F">
        <w:t xml:space="preserve"> </w:t>
      </w:r>
      <w:hyperlink r:id="rId6" w:history="1">
        <w:r w:rsidR="00611AAA" w:rsidRPr="0063748F">
          <w:rPr>
            <w:rStyle w:val="Hyperlink"/>
            <w:szCs w:val="18"/>
          </w:rPr>
          <w:t>CBD/SBI/7/INF/4</w:t>
        </w:r>
      </w:hyperlink>
      <w:r w:rsidR="00611AAA" w:rsidRPr="0063748F">
        <w:t>.</w:t>
      </w:r>
    </w:p>
  </w:footnote>
  <w:footnote w:id="9">
    <w:p w14:paraId="5F7EA6BE" w14:textId="08312087" w:rsidR="00611AAA" w:rsidRPr="005A136F" w:rsidRDefault="00611AAA">
      <w:pPr>
        <w:pStyle w:val="FootnoteText"/>
      </w:pPr>
      <w:r>
        <w:rPr>
          <w:rStyle w:val="FootnoteReference"/>
        </w:rPr>
        <w:footnoteRef/>
      </w:r>
      <w:r w:rsidRPr="005A136F">
        <w:t xml:space="preserve"> </w:t>
      </w:r>
      <w:hyperlink r:id="rId7" w:history="1">
        <w:r w:rsidR="001B5F43" w:rsidRPr="0063748F">
          <w:rPr>
            <w:rStyle w:val="Hyperlink"/>
            <w:szCs w:val="18"/>
          </w:rPr>
          <w:t>CBD/SBI/7/INF/5</w:t>
        </w:r>
      </w:hyperlink>
      <w:r w:rsidR="001B5F43" w:rsidRPr="005A136F">
        <w:t>.</w:t>
      </w:r>
    </w:p>
  </w:footnote>
  <w:footnote w:id="10">
    <w:p w14:paraId="6E69414B" w14:textId="3129D7AD" w:rsidR="001B5F43" w:rsidRPr="005A136F" w:rsidRDefault="001B5F43">
      <w:pPr>
        <w:pStyle w:val="FootnoteText"/>
      </w:pPr>
      <w:r>
        <w:rPr>
          <w:rStyle w:val="FootnoteReference"/>
        </w:rPr>
        <w:footnoteRef/>
      </w:r>
      <w:r w:rsidRPr="005A136F">
        <w:t xml:space="preserve"> </w:t>
      </w:r>
      <w:hyperlink r:id="rId8" w:history="1">
        <w:r w:rsidR="000131DC" w:rsidRPr="00114B78">
          <w:rPr>
            <w:rStyle w:val="Hyperlink"/>
            <w:szCs w:val="18"/>
          </w:rPr>
          <w:t>CBD/SBI/7/INF/6</w:t>
        </w:r>
      </w:hyperlink>
      <w:r w:rsidR="000131DC" w:rsidRPr="005A136F">
        <w:t>.</w:t>
      </w:r>
    </w:p>
  </w:footnote>
  <w:footnote w:id="11">
    <w:p w14:paraId="59255D49" w14:textId="587548C1" w:rsidR="000131DC" w:rsidRPr="00D73730" w:rsidRDefault="000131DC">
      <w:pPr>
        <w:pStyle w:val="FootnoteText"/>
      </w:pPr>
      <w:r>
        <w:rPr>
          <w:rStyle w:val="FootnoteReference"/>
        </w:rPr>
        <w:footnoteRef/>
      </w:r>
      <w:r w:rsidRPr="00D73730">
        <w:t xml:space="preserve"> </w:t>
      </w:r>
      <w:hyperlink r:id="rId9" w:history="1">
        <w:r w:rsidR="001237FB" w:rsidRPr="006B144A">
          <w:rPr>
            <w:rStyle w:val="Hyperlink"/>
            <w:szCs w:val="18"/>
          </w:rPr>
          <w:t>CBD/SBI/7/INF/7</w:t>
        </w:r>
      </w:hyperlink>
      <w:r w:rsidR="001237FB" w:rsidRPr="006B144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D35731B" w14:textId="17791ED5" w:rsidR="00534681" w:rsidRPr="003F1A75" w:rsidRDefault="00975047" w:rsidP="007C4951">
        <w:pPr>
          <w:pStyle w:val="Header"/>
          <w:spacing w:after="240"/>
          <w:rPr>
            <w:szCs w:val="20"/>
          </w:rPr>
        </w:pPr>
        <w:r>
          <w:rPr>
            <w:szCs w:val="20"/>
          </w:rPr>
          <w:t>CBD/NP/MOP/6/</w:t>
        </w:r>
        <w:r w:rsidR="00EC3A79">
          <w:rPr>
            <w:szCs w:val="20"/>
          </w:rPr>
          <w:t>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53EE14D" w14:textId="1A50B1F9" w:rsidR="009505C9" w:rsidRPr="003F1A75" w:rsidRDefault="00EC3A79" w:rsidP="007C4951">
        <w:pPr>
          <w:pStyle w:val="Header"/>
          <w:spacing w:after="240"/>
          <w:jc w:val="right"/>
        </w:pPr>
        <w:r>
          <w:t>CBD/NP/MOP/6/10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34770"/>
    <w:multiLevelType w:val="hybridMultilevel"/>
    <w:tmpl w:val="9BA23D42"/>
    <w:lvl w:ilvl="0" w:tplc="D0A4C088">
      <w:start w:val="3"/>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2138062917">
    <w:abstractNumId w:val="0"/>
  </w:num>
  <w:num w:numId="9" w16cid:durableId="11527922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667798">
    <w:abstractNumId w:val="4"/>
  </w:num>
  <w:num w:numId="11" w16cid:durableId="11332085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5428602">
    <w:abstractNumId w:val="4"/>
  </w:num>
  <w:num w:numId="13" w16cid:durableId="541751295">
    <w:abstractNumId w:val="4"/>
  </w:num>
  <w:num w:numId="14" w16cid:durableId="2025008522">
    <w:abstractNumId w:val="4"/>
  </w:num>
  <w:num w:numId="15" w16cid:durableId="812916517">
    <w:abstractNumId w:val="4"/>
  </w:num>
  <w:num w:numId="16" w16cid:durableId="334769354">
    <w:abstractNumId w:val="4"/>
  </w:num>
  <w:num w:numId="17" w16cid:durableId="103619035">
    <w:abstractNumId w:val="4"/>
  </w:num>
  <w:num w:numId="18" w16cid:durableId="109862612">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ocumentProtection w:edit="trackedChanges" w:enforcement="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21D"/>
    <w:rsid w:val="00000BC1"/>
    <w:rsid w:val="0000205B"/>
    <w:rsid w:val="000038E4"/>
    <w:rsid w:val="00011041"/>
    <w:rsid w:val="000131DC"/>
    <w:rsid w:val="000151F7"/>
    <w:rsid w:val="000162AD"/>
    <w:rsid w:val="00020D30"/>
    <w:rsid w:val="00023D78"/>
    <w:rsid w:val="000268FB"/>
    <w:rsid w:val="00030BFF"/>
    <w:rsid w:val="00037D9B"/>
    <w:rsid w:val="00040C0E"/>
    <w:rsid w:val="000436AD"/>
    <w:rsid w:val="00044209"/>
    <w:rsid w:val="000461E0"/>
    <w:rsid w:val="000514FF"/>
    <w:rsid w:val="00054549"/>
    <w:rsid w:val="00055C4E"/>
    <w:rsid w:val="00057F9C"/>
    <w:rsid w:val="0006633F"/>
    <w:rsid w:val="0007171B"/>
    <w:rsid w:val="00071E91"/>
    <w:rsid w:val="00071F1E"/>
    <w:rsid w:val="00076FA7"/>
    <w:rsid w:val="000826A3"/>
    <w:rsid w:val="00083E83"/>
    <w:rsid w:val="00083F73"/>
    <w:rsid w:val="0008466C"/>
    <w:rsid w:val="00090370"/>
    <w:rsid w:val="000939B3"/>
    <w:rsid w:val="000966F2"/>
    <w:rsid w:val="00096A57"/>
    <w:rsid w:val="000A1BA0"/>
    <w:rsid w:val="000A2820"/>
    <w:rsid w:val="000A2CA2"/>
    <w:rsid w:val="000B1977"/>
    <w:rsid w:val="000B1EB8"/>
    <w:rsid w:val="000C4E31"/>
    <w:rsid w:val="000C726E"/>
    <w:rsid w:val="000D071B"/>
    <w:rsid w:val="000D0F68"/>
    <w:rsid w:val="000D3C25"/>
    <w:rsid w:val="000D6D6B"/>
    <w:rsid w:val="000D7DF2"/>
    <w:rsid w:val="000E0592"/>
    <w:rsid w:val="000E08B2"/>
    <w:rsid w:val="000E0D55"/>
    <w:rsid w:val="000E1CA5"/>
    <w:rsid w:val="000E673A"/>
    <w:rsid w:val="000F0597"/>
    <w:rsid w:val="000F6945"/>
    <w:rsid w:val="000F74F5"/>
    <w:rsid w:val="000F78FC"/>
    <w:rsid w:val="001031DF"/>
    <w:rsid w:val="001036C0"/>
    <w:rsid w:val="001050A8"/>
    <w:rsid w:val="00105372"/>
    <w:rsid w:val="001054A6"/>
    <w:rsid w:val="00105649"/>
    <w:rsid w:val="00105D42"/>
    <w:rsid w:val="001078A1"/>
    <w:rsid w:val="00114B78"/>
    <w:rsid w:val="00114C94"/>
    <w:rsid w:val="00116BAB"/>
    <w:rsid w:val="00117BBF"/>
    <w:rsid w:val="00117D01"/>
    <w:rsid w:val="001208E7"/>
    <w:rsid w:val="001224A2"/>
    <w:rsid w:val="00123526"/>
    <w:rsid w:val="001237FB"/>
    <w:rsid w:val="00123B7B"/>
    <w:rsid w:val="001247DC"/>
    <w:rsid w:val="00125452"/>
    <w:rsid w:val="0012654D"/>
    <w:rsid w:val="00126CA5"/>
    <w:rsid w:val="00126DAA"/>
    <w:rsid w:val="001306A8"/>
    <w:rsid w:val="001312AD"/>
    <w:rsid w:val="00131E7A"/>
    <w:rsid w:val="001334A2"/>
    <w:rsid w:val="00133FFF"/>
    <w:rsid w:val="00134846"/>
    <w:rsid w:val="001414E5"/>
    <w:rsid w:val="00152014"/>
    <w:rsid w:val="0015394A"/>
    <w:rsid w:val="0015506B"/>
    <w:rsid w:val="001606B4"/>
    <w:rsid w:val="001641EF"/>
    <w:rsid w:val="001647D0"/>
    <w:rsid w:val="001666CD"/>
    <w:rsid w:val="00171E99"/>
    <w:rsid w:val="00172115"/>
    <w:rsid w:val="001726B7"/>
    <w:rsid w:val="00172AF6"/>
    <w:rsid w:val="00174785"/>
    <w:rsid w:val="00174A1D"/>
    <w:rsid w:val="00176CEE"/>
    <w:rsid w:val="001827D1"/>
    <w:rsid w:val="00186DD8"/>
    <w:rsid w:val="00187B3A"/>
    <w:rsid w:val="00191F76"/>
    <w:rsid w:val="00194850"/>
    <w:rsid w:val="001A34B1"/>
    <w:rsid w:val="001A35EC"/>
    <w:rsid w:val="001A6276"/>
    <w:rsid w:val="001A768C"/>
    <w:rsid w:val="001A7C4B"/>
    <w:rsid w:val="001B05C0"/>
    <w:rsid w:val="001B0DC2"/>
    <w:rsid w:val="001B13FE"/>
    <w:rsid w:val="001B2F33"/>
    <w:rsid w:val="001B390F"/>
    <w:rsid w:val="001B5F43"/>
    <w:rsid w:val="001B7339"/>
    <w:rsid w:val="001C2A87"/>
    <w:rsid w:val="001C33FD"/>
    <w:rsid w:val="001C4B90"/>
    <w:rsid w:val="001C4E35"/>
    <w:rsid w:val="001D0A7F"/>
    <w:rsid w:val="001D1B4D"/>
    <w:rsid w:val="001D25CA"/>
    <w:rsid w:val="001E141F"/>
    <w:rsid w:val="001E3BDD"/>
    <w:rsid w:val="001F0B4D"/>
    <w:rsid w:val="001F1E40"/>
    <w:rsid w:val="001F5D93"/>
    <w:rsid w:val="001F5F40"/>
    <w:rsid w:val="00205AAF"/>
    <w:rsid w:val="00206B01"/>
    <w:rsid w:val="00210A37"/>
    <w:rsid w:val="00211A38"/>
    <w:rsid w:val="0021598A"/>
    <w:rsid w:val="00221C3C"/>
    <w:rsid w:val="00224FF7"/>
    <w:rsid w:val="00225B3D"/>
    <w:rsid w:val="00227D0F"/>
    <w:rsid w:val="0023524F"/>
    <w:rsid w:val="002353AB"/>
    <w:rsid w:val="00235817"/>
    <w:rsid w:val="00236A33"/>
    <w:rsid w:val="0023727D"/>
    <w:rsid w:val="00242279"/>
    <w:rsid w:val="00244222"/>
    <w:rsid w:val="0024617E"/>
    <w:rsid w:val="00246304"/>
    <w:rsid w:val="002476FD"/>
    <w:rsid w:val="00251DA0"/>
    <w:rsid w:val="0025749C"/>
    <w:rsid w:val="00260D64"/>
    <w:rsid w:val="00262654"/>
    <w:rsid w:val="00272A64"/>
    <w:rsid w:val="00274577"/>
    <w:rsid w:val="00275AD8"/>
    <w:rsid w:val="0028008A"/>
    <w:rsid w:val="00280D18"/>
    <w:rsid w:val="002820CA"/>
    <w:rsid w:val="00282898"/>
    <w:rsid w:val="0028565E"/>
    <w:rsid w:val="002A3BD0"/>
    <w:rsid w:val="002A6CC7"/>
    <w:rsid w:val="002A6FD6"/>
    <w:rsid w:val="002B0789"/>
    <w:rsid w:val="002B64AB"/>
    <w:rsid w:val="002C076F"/>
    <w:rsid w:val="002C1FD5"/>
    <w:rsid w:val="002C2B87"/>
    <w:rsid w:val="002C7BBE"/>
    <w:rsid w:val="002E7299"/>
    <w:rsid w:val="002F00FC"/>
    <w:rsid w:val="002F0B11"/>
    <w:rsid w:val="002F416A"/>
    <w:rsid w:val="003008FE"/>
    <w:rsid w:val="00301239"/>
    <w:rsid w:val="0030169D"/>
    <w:rsid w:val="00301DE0"/>
    <w:rsid w:val="003060EB"/>
    <w:rsid w:val="00313759"/>
    <w:rsid w:val="003153EB"/>
    <w:rsid w:val="0032136E"/>
    <w:rsid w:val="0032183C"/>
    <w:rsid w:val="00321985"/>
    <w:rsid w:val="0032289C"/>
    <w:rsid w:val="00332223"/>
    <w:rsid w:val="0033606C"/>
    <w:rsid w:val="00343418"/>
    <w:rsid w:val="0034703D"/>
    <w:rsid w:val="00351205"/>
    <w:rsid w:val="00356E78"/>
    <w:rsid w:val="003574E4"/>
    <w:rsid w:val="003624B9"/>
    <w:rsid w:val="0036329D"/>
    <w:rsid w:val="00363A22"/>
    <w:rsid w:val="00364075"/>
    <w:rsid w:val="003644AF"/>
    <w:rsid w:val="00372F74"/>
    <w:rsid w:val="0037683C"/>
    <w:rsid w:val="00381692"/>
    <w:rsid w:val="003825B2"/>
    <w:rsid w:val="00390E46"/>
    <w:rsid w:val="00391FAB"/>
    <w:rsid w:val="00394129"/>
    <w:rsid w:val="003A0C90"/>
    <w:rsid w:val="003A13A3"/>
    <w:rsid w:val="003A33EE"/>
    <w:rsid w:val="003A71AF"/>
    <w:rsid w:val="003A7E3A"/>
    <w:rsid w:val="003B066C"/>
    <w:rsid w:val="003B2674"/>
    <w:rsid w:val="003B5A41"/>
    <w:rsid w:val="003B5FA1"/>
    <w:rsid w:val="003B743D"/>
    <w:rsid w:val="003C2296"/>
    <w:rsid w:val="003C4067"/>
    <w:rsid w:val="003D07D8"/>
    <w:rsid w:val="003D1F35"/>
    <w:rsid w:val="003D4134"/>
    <w:rsid w:val="003E290C"/>
    <w:rsid w:val="003E65D8"/>
    <w:rsid w:val="003E761C"/>
    <w:rsid w:val="003F1A75"/>
    <w:rsid w:val="003F1F23"/>
    <w:rsid w:val="003F2272"/>
    <w:rsid w:val="003F23EE"/>
    <w:rsid w:val="003F2EF6"/>
    <w:rsid w:val="003F3539"/>
    <w:rsid w:val="003F7224"/>
    <w:rsid w:val="0040745B"/>
    <w:rsid w:val="00410EDC"/>
    <w:rsid w:val="00411906"/>
    <w:rsid w:val="004149C8"/>
    <w:rsid w:val="004155B2"/>
    <w:rsid w:val="00415A7F"/>
    <w:rsid w:val="00417104"/>
    <w:rsid w:val="00422C24"/>
    <w:rsid w:val="004271F8"/>
    <w:rsid w:val="00427D21"/>
    <w:rsid w:val="0043053B"/>
    <w:rsid w:val="004306D4"/>
    <w:rsid w:val="00431F41"/>
    <w:rsid w:val="0043754E"/>
    <w:rsid w:val="00442938"/>
    <w:rsid w:val="00442AEC"/>
    <w:rsid w:val="00447F4A"/>
    <w:rsid w:val="00454626"/>
    <w:rsid w:val="00456F67"/>
    <w:rsid w:val="0045769D"/>
    <w:rsid w:val="00460835"/>
    <w:rsid w:val="00463ED8"/>
    <w:rsid w:val="004644C2"/>
    <w:rsid w:val="00464B24"/>
    <w:rsid w:val="0046783F"/>
    <w:rsid w:val="00467F9C"/>
    <w:rsid w:val="004749BA"/>
    <w:rsid w:val="004757D8"/>
    <w:rsid w:val="004816E3"/>
    <w:rsid w:val="004834E5"/>
    <w:rsid w:val="00484DC0"/>
    <w:rsid w:val="00485E28"/>
    <w:rsid w:val="004905A5"/>
    <w:rsid w:val="00490CD2"/>
    <w:rsid w:val="0049310E"/>
    <w:rsid w:val="00495854"/>
    <w:rsid w:val="00496420"/>
    <w:rsid w:val="004A366B"/>
    <w:rsid w:val="004B0A73"/>
    <w:rsid w:val="004B395C"/>
    <w:rsid w:val="004B68A4"/>
    <w:rsid w:val="004C07FE"/>
    <w:rsid w:val="004C3109"/>
    <w:rsid w:val="004C4975"/>
    <w:rsid w:val="004D0068"/>
    <w:rsid w:val="004D135F"/>
    <w:rsid w:val="004D1CBF"/>
    <w:rsid w:val="004D3BF0"/>
    <w:rsid w:val="004D482C"/>
    <w:rsid w:val="004E1ED8"/>
    <w:rsid w:val="004E528C"/>
    <w:rsid w:val="004F286C"/>
    <w:rsid w:val="004F2B4E"/>
    <w:rsid w:val="004F30E6"/>
    <w:rsid w:val="004F3D45"/>
    <w:rsid w:val="004F7529"/>
    <w:rsid w:val="00506B08"/>
    <w:rsid w:val="0051006C"/>
    <w:rsid w:val="00512F25"/>
    <w:rsid w:val="0051412F"/>
    <w:rsid w:val="0051579C"/>
    <w:rsid w:val="00532D5F"/>
    <w:rsid w:val="00534681"/>
    <w:rsid w:val="00534AB9"/>
    <w:rsid w:val="005357D9"/>
    <w:rsid w:val="005357E2"/>
    <w:rsid w:val="005373BC"/>
    <w:rsid w:val="0055041A"/>
    <w:rsid w:val="005528AC"/>
    <w:rsid w:val="005564E2"/>
    <w:rsid w:val="0055774B"/>
    <w:rsid w:val="0056068E"/>
    <w:rsid w:val="00563442"/>
    <w:rsid w:val="0056348E"/>
    <w:rsid w:val="00565027"/>
    <w:rsid w:val="00565B42"/>
    <w:rsid w:val="0057001F"/>
    <w:rsid w:val="00570DB2"/>
    <w:rsid w:val="00572A63"/>
    <w:rsid w:val="00574938"/>
    <w:rsid w:val="0057725C"/>
    <w:rsid w:val="00581E87"/>
    <w:rsid w:val="00583A43"/>
    <w:rsid w:val="00586820"/>
    <w:rsid w:val="00591D59"/>
    <w:rsid w:val="005940BF"/>
    <w:rsid w:val="00594CF2"/>
    <w:rsid w:val="005A136F"/>
    <w:rsid w:val="005A2119"/>
    <w:rsid w:val="005B12A4"/>
    <w:rsid w:val="005B35E2"/>
    <w:rsid w:val="005B5E3F"/>
    <w:rsid w:val="005B68C1"/>
    <w:rsid w:val="005B740E"/>
    <w:rsid w:val="005C4CE6"/>
    <w:rsid w:val="005D458E"/>
    <w:rsid w:val="005D6192"/>
    <w:rsid w:val="005E42A9"/>
    <w:rsid w:val="005E45A8"/>
    <w:rsid w:val="005E60C7"/>
    <w:rsid w:val="005E6976"/>
    <w:rsid w:val="005E698E"/>
    <w:rsid w:val="005E7E79"/>
    <w:rsid w:val="005F00C2"/>
    <w:rsid w:val="005F11EB"/>
    <w:rsid w:val="005F12B3"/>
    <w:rsid w:val="005F5664"/>
    <w:rsid w:val="005F621F"/>
    <w:rsid w:val="005F7391"/>
    <w:rsid w:val="00611AAA"/>
    <w:rsid w:val="006122BA"/>
    <w:rsid w:val="006147E8"/>
    <w:rsid w:val="006178B9"/>
    <w:rsid w:val="006211B0"/>
    <w:rsid w:val="00622824"/>
    <w:rsid w:val="00632BFF"/>
    <w:rsid w:val="00634547"/>
    <w:rsid w:val="0063758D"/>
    <w:rsid w:val="00643CF8"/>
    <w:rsid w:val="006478BF"/>
    <w:rsid w:val="00652D07"/>
    <w:rsid w:val="00652DBE"/>
    <w:rsid w:val="00657C4C"/>
    <w:rsid w:val="00661D95"/>
    <w:rsid w:val="00664C62"/>
    <w:rsid w:val="00665609"/>
    <w:rsid w:val="006704B2"/>
    <w:rsid w:val="00674274"/>
    <w:rsid w:val="00676695"/>
    <w:rsid w:val="0067730D"/>
    <w:rsid w:val="00680148"/>
    <w:rsid w:val="00682C19"/>
    <w:rsid w:val="00684233"/>
    <w:rsid w:val="00686CEA"/>
    <w:rsid w:val="00690594"/>
    <w:rsid w:val="006953BB"/>
    <w:rsid w:val="00697A3D"/>
    <w:rsid w:val="006A5973"/>
    <w:rsid w:val="006A73C1"/>
    <w:rsid w:val="006B2290"/>
    <w:rsid w:val="006B514F"/>
    <w:rsid w:val="006B5880"/>
    <w:rsid w:val="006C1763"/>
    <w:rsid w:val="006C1914"/>
    <w:rsid w:val="006C2F87"/>
    <w:rsid w:val="006C383F"/>
    <w:rsid w:val="006C5ACC"/>
    <w:rsid w:val="006C6410"/>
    <w:rsid w:val="006D1454"/>
    <w:rsid w:val="006D650E"/>
    <w:rsid w:val="006E2FD2"/>
    <w:rsid w:val="006F7228"/>
    <w:rsid w:val="007013B7"/>
    <w:rsid w:val="0070449A"/>
    <w:rsid w:val="007057B9"/>
    <w:rsid w:val="00706484"/>
    <w:rsid w:val="007102A1"/>
    <w:rsid w:val="00712112"/>
    <w:rsid w:val="0071221D"/>
    <w:rsid w:val="00712D4E"/>
    <w:rsid w:val="0071398A"/>
    <w:rsid w:val="00714E5E"/>
    <w:rsid w:val="007153F0"/>
    <w:rsid w:val="00717D88"/>
    <w:rsid w:val="00720E54"/>
    <w:rsid w:val="00726A43"/>
    <w:rsid w:val="00730629"/>
    <w:rsid w:val="007326D0"/>
    <w:rsid w:val="00735206"/>
    <w:rsid w:val="00740DF1"/>
    <w:rsid w:val="00740FA7"/>
    <w:rsid w:val="0074281C"/>
    <w:rsid w:val="00745D30"/>
    <w:rsid w:val="007537CD"/>
    <w:rsid w:val="00755F82"/>
    <w:rsid w:val="00756286"/>
    <w:rsid w:val="00763534"/>
    <w:rsid w:val="00767822"/>
    <w:rsid w:val="00767952"/>
    <w:rsid w:val="007705A0"/>
    <w:rsid w:val="00770DCA"/>
    <w:rsid w:val="007730F3"/>
    <w:rsid w:val="00777254"/>
    <w:rsid w:val="00786056"/>
    <w:rsid w:val="00787979"/>
    <w:rsid w:val="00791665"/>
    <w:rsid w:val="007916F5"/>
    <w:rsid w:val="00791A48"/>
    <w:rsid w:val="00793B3F"/>
    <w:rsid w:val="00793C93"/>
    <w:rsid w:val="007942D3"/>
    <w:rsid w:val="0079647B"/>
    <w:rsid w:val="007A12FA"/>
    <w:rsid w:val="007A2218"/>
    <w:rsid w:val="007A513C"/>
    <w:rsid w:val="007A653E"/>
    <w:rsid w:val="007B2099"/>
    <w:rsid w:val="007B6C09"/>
    <w:rsid w:val="007B7741"/>
    <w:rsid w:val="007B7D86"/>
    <w:rsid w:val="007C02D3"/>
    <w:rsid w:val="007C4951"/>
    <w:rsid w:val="007C61DC"/>
    <w:rsid w:val="007D3893"/>
    <w:rsid w:val="007D4373"/>
    <w:rsid w:val="007D66F8"/>
    <w:rsid w:val="007D7C0F"/>
    <w:rsid w:val="007E09DA"/>
    <w:rsid w:val="007E0F8A"/>
    <w:rsid w:val="007E4927"/>
    <w:rsid w:val="007E5131"/>
    <w:rsid w:val="007E6DCC"/>
    <w:rsid w:val="007F0DF5"/>
    <w:rsid w:val="007F100A"/>
    <w:rsid w:val="007F1E09"/>
    <w:rsid w:val="007F273A"/>
    <w:rsid w:val="007F718D"/>
    <w:rsid w:val="007F7BD7"/>
    <w:rsid w:val="00801FAD"/>
    <w:rsid w:val="008178B6"/>
    <w:rsid w:val="00821CD0"/>
    <w:rsid w:val="00824615"/>
    <w:rsid w:val="0082500E"/>
    <w:rsid w:val="008265C0"/>
    <w:rsid w:val="0083061C"/>
    <w:rsid w:val="008322C0"/>
    <w:rsid w:val="008421EB"/>
    <w:rsid w:val="008507B7"/>
    <w:rsid w:val="00854D43"/>
    <w:rsid w:val="00857CEC"/>
    <w:rsid w:val="00861A1D"/>
    <w:rsid w:val="00864B5B"/>
    <w:rsid w:val="00865B74"/>
    <w:rsid w:val="00866063"/>
    <w:rsid w:val="0086677B"/>
    <w:rsid w:val="0086763F"/>
    <w:rsid w:val="008678E3"/>
    <w:rsid w:val="00874FE6"/>
    <w:rsid w:val="008753B3"/>
    <w:rsid w:val="00875517"/>
    <w:rsid w:val="008758FB"/>
    <w:rsid w:val="00875A5A"/>
    <w:rsid w:val="00880FC0"/>
    <w:rsid w:val="00881D74"/>
    <w:rsid w:val="008830F8"/>
    <w:rsid w:val="00886D6C"/>
    <w:rsid w:val="00887C2C"/>
    <w:rsid w:val="008901EC"/>
    <w:rsid w:val="00893FFD"/>
    <w:rsid w:val="00896246"/>
    <w:rsid w:val="008974F0"/>
    <w:rsid w:val="008A1499"/>
    <w:rsid w:val="008A4278"/>
    <w:rsid w:val="008A65F2"/>
    <w:rsid w:val="008A7FF0"/>
    <w:rsid w:val="008B012A"/>
    <w:rsid w:val="008B0245"/>
    <w:rsid w:val="008B288D"/>
    <w:rsid w:val="008B530A"/>
    <w:rsid w:val="008C26FD"/>
    <w:rsid w:val="008C2D21"/>
    <w:rsid w:val="008C2EF6"/>
    <w:rsid w:val="008C44C1"/>
    <w:rsid w:val="008C4A9E"/>
    <w:rsid w:val="008C55A5"/>
    <w:rsid w:val="008C5E06"/>
    <w:rsid w:val="008D0601"/>
    <w:rsid w:val="008D25EB"/>
    <w:rsid w:val="008D4F75"/>
    <w:rsid w:val="008D5A81"/>
    <w:rsid w:val="008D67CF"/>
    <w:rsid w:val="008D7DA3"/>
    <w:rsid w:val="008E1CDE"/>
    <w:rsid w:val="008E2C0F"/>
    <w:rsid w:val="008F03F8"/>
    <w:rsid w:val="008F2514"/>
    <w:rsid w:val="008F2B89"/>
    <w:rsid w:val="008F5564"/>
    <w:rsid w:val="00905F30"/>
    <w:rsid w:val="00906E17"/>
    <w:rsid w:val="00911401"/>
    <w:rsid w:val="0091410B"/>
    <w:rsid w:val="0091573F"/>
    <w:rsid w:val="00916319"/>
    <w:rsid w:val="00917762"/>
    <w:rsid w:val="00921A09"/>
    <w:rsid w:val="0092341F"/>
    <w:rsid w:val="009234EE"/>
    <w:rsid w:val="00930BA1"/>
    <w:rsid w:val="0093169E"/>
    <w:rsid w:val="0093378C"/>
    <w:rsid w:val="00933BF9"/>
    <w:rsid w:val="00934108"/>
    <w:rsid w:val="009359AE"/>
    <w:rsid w:val="0094091B"/>
    <w:rsid w:val="0094335E"/>
    <w:rsid w:val="00946731"/>
    <w:rsid w:val="009505C9"/>
    <w:rsid w:val="00950752"/>
    <w:rsid w:val="0095214C"/>
    <w:rsid w:val="009527F0"/>
    <w:rsid w:val="00952B12"/>
    <w:rsid w:val="00955B7E"/>
    <w:rsid w:val="00961296"/>
    <w:rsid w:val="00963AB1"/>
    <w:rsid w:val="0096544E"/>
    <w:rsid w:val="00966424"/>
    <w:rsid w:val="00973491"/>
    <w:rsid w:val="00975047"/>
    <w:rsid w:val="00981939"/>
    <w:rsid w:val="009841C8"/>
    <w:rsid w:val="009842FC"/>
    <w:rsid w:val="00986EAF"/>
    <w:rsid w:val="00990ACC"/>
    <w:rsid w:val="00990B9E"/>
    <w:rsid w:val="00993C66"/>
    <w:rsid w:val="00997D70"/>
    <w:rsid w:val="009A7B10"/>
    <w:rsid w:val="009B0992"/>
    <w:rsid w:val="009B194A"/>
    <w:rsid w:val="009B2E47"/>
    <w:rsid w:val="009C2DE6"/>
    <w:rsid w:val="009D029C"/>
    <w:rsid w:val="009D55B4"/>
    <w:rsid w:val="009D7C34"/>
    <w:rsid w:val="009E22DA"/>
    <w:rsid w:val="009E31F1"/>
    <w:rsid w:val="009E3EC1"/>
    <w:rsid w:val="009F4AB9"/>
    <w:rsid w:val="009F4E14"/>
    <w:rsid w:val="00A023C6"/>
    <w:rsid w:val="00A02739"/>
    <w:rsid w:val="00A0332B"/>
    <w:rsid w:val="00A111D1"/>
    <w:rsid w:val="00A118A0"/>
    <w:rsid w:val="00A20353"/>
    <w:rsid w:val="00A235C0"/>
    <w:rsid w:val="00A23F62"/>
    <w:rsid w:val="00A301C7"/>
    <w:rsid w:val="00A304AE"/>
    <w:rsid w:val="00A30F5A"/>
    <w:rsid w:val="00A34F1A"/>
    <w:rsid w:val="00A373B9"/>
    <w:rsid w:val="00A41FC8"/>
    <w:rsid w:val="00A43036"/>
    <w:rsid w:val="00A44AF0"/>
    <w:rsid w:val="00A51D0B"/>
    <w:rsid w:val="00A52140"/>
    <w:rsid w:val="00A568AA"/>
    <w:rsid w:val="00A56DFD"/>
    <w:rsid w:val="00A5782B"/>
    <w:rsid w:val="00A65978"/>
    <w:rsid w:val="00A67668"/>
    <w:rsid w:val="00A82945"/>
    <w:rsid w:val="00A8544C"/>
    <w:rsid w:val="00A901E8"/>
    <w:rsid w:val="00A9077C"/>
    <w:rsid w:val="00A915BA"/>
    <w:rsid w:val="00A946E2"/>
    <w:rsid w:val="00A947FB"/>
    <w:rsid w:val="00A968C5"/>
    <w:rsid w:val="00A96BA9"/>
    <w:rsid w:val="00A96F74"/>
    <w:rsid w:val="00AA1F06"/>
    <w:rsid w:val="00AA46ED"/>
    <w:rsid w:val="00AA4721"/>
    <w:rsid w:val="00AA5190"/>
    <w:rsid w:val="00AA6F92"/>
    <w:rsid w:val="00AA72B9"/>
    <w:rsid w:val="00AB2852"/>
    <w:rsid w:val="00AB5D61"/>
    <w:rsid w:val="00AB6907"/>
    <w:rsid w:val="00AB6934"/>
    <w:rsid w:val="00AB6E88"/>
    <w:rsid w:val="00AC08B9"/>
    <w:rsid w:val="00AC10F2"/>
    <w:rsid w:val="00AC3A4B"/>
    <w:rsid w:val="00AC4688"/>
    <w:rsid w:val="00AC5EEA"/>
    <w:rsid w:val="00AC7FEB"/>
    <w:rsid w:val="00AD16FC"/>
    <w:rsid w:val="00AD38EF"/>
    <w:rsid w:val="00AD6C67"/>
    <w:rsid w:val="00AE683C"/>
    <w:rsid w:val="00AF01ED"/>
    <w:rsid w:val="00AF42DE"/>
    <w:rsid w:val="00AF4F96"/>
    <w:rsid w:val="00AF68BE"/>
    <w:rsid w:val="00B0007A"/>
    <w:rsid w:val="00B076EB"/>
    <w:rsid w:val="00B12857"/>
    <w:rsid w:val="00B1391D"/>
    <w:rsid w:val="00B13AE0"/>
    <w:rsid w:val="00B1439E"/>
    <w:rsid w:val="00B14751"/>
    <w:rsid w:val="00B14B2B"/>
    <w:rsid w:val="00B14C33"/>
    <w:rsid w:val="00B172C3"/>
    <w:rsid w:val="00B21590"/>
    <w:rsid w:val="00B3369F"/>
    <w:rsid w:val="00B42818"/>
    <w:rsid w:val="00B4298C"/>
    <w:rsid w:val="00B4700A"/>
    <w:rsid w:val="00B51CDE"/>
    <w:rsid w:val="00B51FC6"/>
    <w:rsid w:val="00B54931"/>
    <w:rsid w:val="00B64189"/>
    <w:rsid w:val="00B80C3A"/>
    <w:rsid w:val="00B80CBC"/>
    <w:rsid w:val="00B822BF"/>
    <w:rsid w:val="00B84770"/>
    <w:rsid w:val="00B8478B"/>
    <w:rsid w:val="00B8710F"/>
    <w:rsid w:val="00B876C9"/>
    <w:rsid w:val="00B90202"/>
    <w:rsid w:val="00B9140B"/>
    <w:rsid w:val="00B94DD9"/>
    <w:rsid w:val="00B94E6C"/>
    <w:rsid w:val="00B97120"/>
    <w:rsid w:val="00B978F9"/>
    <w:rsid w:val="00BA08E2"/>
    <w:rsid w:val="00BA0F53"/>
    <w:rsid w:val="00BA35F4"/>
    <w:rsid w:val="00BA613E"/>
    <w:rsid w:val="00BA69E6"/>
    <w:rsid w:val="00BA6E22"/>
    <w:rsid w:val="00BA733E"/>
    <w:rsid w:val="00BB4606"/>
    <w:rsid w:val="00BB4A43"/>
    <w:rsid w:val="00BB72A3"/>
    <w:rsid w:val="00BC0405"/>
    <w:rsid w:val="00BC0E34"/>
    <w:rsid w:val="00BD2CA7"/>
    <w:rsid w:val="00BD50D7"/>
    <w:rsid w:val="00BD5CAD"/>
    <w:rsid w:val="00BE10B9"/>
    <w:rsid w:val="00BE308B"/>
    <w:rsid w:val="00BE3676"/>
    <w:rsid w:val="00BE431A"/>
    <w:rsid w:val="00BE634D"/>
    <w:rsid w:val="00BE64D5"/>
    <w:rsid w:val="00BF0E44"/>
    <w:rsid w:val="00BF3C6E"/>
    <w:rsid w:val="00BF3E81"/>
    <w:rsid w:val="00BF5341"/>
    <w:rsid w:val="00BF7C9E"/>
    <w:rsid w:val="00C02320"/>
    <w:rsid w:val="00C028ED"/>
    <w:rsid w:val="00C02BB7"/>
    <w:rsid w:val="00C0758A"/>
    <w:rsid w:val="00C148E1"/>
    <w:rsid w:val="00C15DC6"/>
    <w:rsid w:val="00C16A5D"/>
    <w:rsid w:val="00C17485"/>
    <w:rsid w:val="00C20C58"/>
    <w:rsid w:val="00C23309"/>
    <w:rsid w:val="00C234F0"/>
    <w:rsid w:val="00C23D2F"/>
    <w:rsid w:val="00C276CD"/>
    <w:rsid w:val="00C34EC4"/>
    <w:rsid w:val="00C351D5"/>
    <w:rsid w:val="00C40527"/>
    <w:rsid w:val="00C443BD"/>
    <w:rsid w:val="00C451C5"/>
    <w:rsid w:val="00C45430"/>
    <w:rsid w:val="00C50640"/>
    <w:rsid w:val="00C50A33"/>
    <w:rsid w:val="00C52CCD"/>
    <w:rsid w:val="00C530FC"/>
    <w:rsid w:val="00C55366"/>
    <w:rsid w:val="00C55969"/>
    <w:rsid w:val="00C610FF"/>
    <w:rsid w:val="00C637EE"/>
    <w:rsid w:val="00C63D04"/>
    <w:rsid w:val="00C64277"/>
    <w:rsid w:val="00C67D3E"/>
    <w:rsid w:val="00C736EA"/>
    <w:rsid w:val="00C818D0"/>
    <w:rsid w:val="00C9161D"/>
    <w:rsid w:val="00C949B0"/>
    <w:rsid w:val="00C9583B"/>
    <w:rsid w:val="00CA0C1D"/>
    <w:rsid w:val="00CA3E73"/>
    <w:rsid w:val="00CA62CA"/>
    <w:rsid w:val="00CA7FEE"/>
    <w:rsid w:val="00CB60CE"/>
    <w:rsid w:val="00CC3500"/>
    <w:rsid w:val="00CD20FB"/>
    <w:rsid w:val="00CD4547"/>
    <w:rsid w:val="00CD7C07"/>
    <w:rsid w:val="00CE4191"/>
    <w:rsid w:val="00CE6EAF"/>
    <w:rsid w:val="00CF1848"/>
    <w:rsid w:val="00CF29B5"/>
    <w:rsid w:val="00CF63D9"/>
    <w:rsid w:val="00D000DB"/>
    <w:rsid w:val="00D03C57"/>
    <w:rsid w:val="00D12044"/>
    <w:rsid w:val="00D170D9"/>
    <w:rsid w:val="00D17C7B"/>
    <w:rsid w:val="00D2575D"/>
    <w:rsid w:val="00D25832"/>
    <w:rsid w:val="00D26428"/>
    <w:rsid w:val="00D33EFC"/>
    <w:rsid w:val="00D34147"/>
    <w:rsid w:val="00D3450B"/>
    <w:rsid w:val="00D40DBC"/>
    <w:rsid w:val="00D51B4E"/>
    <w:rsid w:val="00D52615"/>
    <w:rsid w:val="00D536B1"/>
    <w:rsid w:val="00D572A6"/>
    <w:rsid w:val="00D61C85"/>
    <w:rsid w:val="00D71799"/>
    <w:rsid w:val="00D72472"/>
    <w:rsid w:val="00D73283"/>
    <w:rsid w:val="00D73730"/>
    <w:rsid w:val="00D74CF4"/>
    <w:rsid w:val="00D74E62"/>
    <w:rsid w:val="00D75CA6"/>
    <w:rsid w:val="00D76A18"/>
    <w:rsid w:val="00D80849"/>
    <w:rsid w:val="00D82E8F"/>
    <w:rsid w:val="00D83A1D"/>
    <w:rsid w:val="00D90937"/>
    <w:rsid w:val="00D95E2F"/>
    <w:rsid w:val="00DA06E6"/>
    <w:rsid w:val="00DA2B46"/>
    <w:rsid w:val="00DA4ED0"/>
    <w:rsid w:val="00DA7C28"/>
    <w:rsid w:val="00DB24E3"/>
    <w:rsid w:val="00DB3831"/>
    <w:rsid w:val="00DB55A3"/>
    <w:rsid w:val="00DB5E0F"/>
    <w:rsid w:val="00DB6B36"/>
    <w:rsid w:val="00DC0230"/>
    <w:rsid w:val="00DC3E7D"/>
    <w:rsid w:val="00DD118C"/>
    <w:rsid w:val="00DD2C83"/>
    <w:rsid w:val="00DD63EE"/>
    <w:rsid w:val="00DE041E"/>
    <w:rsid w:val="00DE1F20"/>
    <w:rsid w:val="00DE4152"/>
    <w:rsid w:val="00DE66CA"/>
    <w:rsid w:val="00DE765C"/>
    <w:rsid w:val="00DF15E8"/>
    <w:rsid w:val="00DF2C52"/>
    <w:rsid w:val="00DF4204"/>
    <w:rsid w:val="00DF4A30"/>
    <w:rsid w:val="00DF7B73"/>
    <w:rsid w:val="00E003F8"/>
    <w:rsid w:val="00E02332"/>
    <w:rsid w:val="00E02F90"/>
    <w:rsid w:val="00E0422B"/>
    <w:rsid w:val="00E04B01"/>
    <w:rsid w:val="00E102BC"/>
    <w:rsid w:val="00E11980"/>
    <w:rsid w:val="00E129CA"/>
    <w:rsid w:val="00E15401"/>
    <w:rsid w:val="00E166D5"/>
    <w:rsid w:val="00E2204C"/>
    <w:rsid w:val="00E24E75"/>
    <w:rsid w:val="00E2719D"/>
    <w:rsid w:val="00E27858"/>
    <w:rsid w:val="00E322ED"/>
    <w:rsid w:val="00E33600"/>
    <w:rsid w:val="00E419F2"/>
    <w:rsid w:val="00E4698C"/>
    <w:rsid w:val="00E509B7"/>
    <w:rsid w:val="00E52214"/>
    <w:rsid w:val="00E55095"/>
    <w:rsid w:val="00E55169"/>
    <w:rsid w:val="00E56A24"/>
    <w:rsid w:val="00E57F33"/>
    <w:rsid w:val="00E66235"/>
    <w:rsid w:val="00E734D6"/>
    <w:rsid w:val="00E754DB"/>
    <w:rsid w:val="00E80157"/>
    <w:rsid w:val="00E80955"/>
    <w:rsid w:val="00E8242F"/>
    <w:rsid w:val="00E83635"/>
    <w:rsid w:val="00E83C24"/>
    <w:rsid w:val="00E847C5"/>
    <w:rsid w:val="00E84D84"/>
    <w:rsid w:val="00E9318D"/>
    <w:rsid w:val="00E9372E"/>
    <w:rsid w:val="00E937B5"/>
    <w:rsid w:val="00E93F3E"/>
    <w:rsid w:val="00E94460"/>
    <w:rsid w:val="00E94BF6"/>
    <w:rsid w:val="00E968EF"/>
    <w:rsid w:val="00EA0C48"/>
    <w:rsid w:val="00EA6398"/>
    <w:rsid w:val="00EA6553"/>
    <w:rsid w:val="00EC3A79"/>
    <w:rsid w:val="00EC5967"/>
    <w:rsid w:val="00ED2C52"/>
    <w:rsid w:val="00ED67E2"/>
    <w:rsid w:val="00ED7878"/>
    <w:rsid w:val="00EE28B7"/>
    <w:rsid w:val="00EE2AF8"/>
    <w:rsid w:val="00EF2E19"/>
    <w:rsid w:val="00EF3514"/>
    <w:rsid w:val="00EF73AE"/>
    <w:rsid w:val="00F044D6"/>
    <w:rsid w:val="00F0477B"/>
    <w:rsid w:val="00F063C2"/>
    <w:rsid w:val="00F06A59"/>
    <w:rsid w:val="00F1505D"/>
    <w:rsid w:val="00F22306"/>
    <w:rsid w:val="00F22351"/>
    <w:rsid w:val="00F23875"/>
    <w:rsid w:val="00F24E77"/>
    <w:rsid w:val="00F254D7"/>
    <w:rsid w:val="00F26222"/>
    <w:rsid w:val="00F26662"/>
    <w:rsid w:val="00F26B81"/>
    <w:rsid w:val="00F32D4F"/>
    <w:rsid w:val="00F32F71"/>
    <w:rsid w:val="00F33855"/>
    <w:rsid w:val="00F33E68"/>
    <w:rsid w:val="00F364FB"/>
    <w:rsid w:val="00F41AA5"/>
    <w:rsid w:val="00F458EC"/>
    <w:rsid w:val="00F45954"/>
    <w:rsid w:val="00F523BE"/>
    <w:rsid w:val="00F52893"/>
    <w:rsid w:val="00F52ABB"/>
    <w:rsid w:val="00F53193"/>
    <w:rsid w:val="00F5357E"/>
    <w:rsid w:val="00F554FA"/>
    <w:rsid w:val="00F60BAA"/>
    <w:rsid w:val="00F618BB"/>
    <w:rsid w:val="00F6586C"/>
    <w:rsid w:val="00F70935"/>
    <w:rsid w:val="00F71716"/>
    <w:rsid w:val="00F72CBE"/>
    <w:rsid w:val="00F766FD"/>
    <w:rsid w:val="00F80C64"/>
    <w:rsid w:val="00F8190B"/>
    <w:rsid w:val="00F83F08"/>
    <w:rsid w:val="00F9038B"/>
    <w:rsid w:val="00F92AC0"/>
    <w:rsid w:val="00F92D36"/>
    <w:rsid w:val="00F93F95"/>
    <w:rsid w:val="00F94774"/>
    <w:rsid w:val="00F97031"/>
    <w:rsid w:val="00F978CC"/>
    <w:rsid w:val="00F97A61"/>
    <w:rsid w:val="00FA015E"/>
    <w:rsid w:val="00FA03D0"/>
    <w:rsid w:val="00FA5271"/>
    <w:rsid w:val="00FA663B"/>
    <w:rsid w:val="00FA6A68"/>
    <w:rsid w:val="00FA788B"/>
    <w:rsid w:val="00FA7A0B"/>
    <w:rsid w:val="00FB16F0"/>
    <w:rsid w:val="00FC53DB"/>
    <w:rsid w:val="00FC66A2"/>
    <w:rsid w:val="00FD04E2"/>
    <w:rsid w:val="00FD1184"/>
    <w:rsid w:val="00FD3079"/>
    <w:rsid w:val="00FE6E7D"/>
    <w:rsid w:val="00FF60C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46B871"/>
  <w15:docId w15:val="{E86775B3-AF38-4125-A06F-E81431E4B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fr-FR"/>
    </w:rPr>
  </w:style>
  <w:style w:type="character" w:styleId="PlaceholderText">
    <w:name w:val="Placeholder Text"/>
    <w:basedOn w:val="DefaultParagraphFont"/>
    <w:uiPriority w:val="99"/>
    <w:semiHidden/>
    <w:rsid w:val="00105372"/>
    <w:rPr>
      <w:color w:val="808080"/>
      <w:lang w:val="fr-FR"/>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fr-FR"/>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fr-FR"/>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fr-FR"/>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fr-FR"/>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fr-FR"/>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fr-FR"/>
    </w:rPr>
  </w:style>
  <w:style w:type="character" w:styleId="CommentReference">
    <w:name w:val="annotation reference"/>
    <w:basedOn w:val="DefaultParagraphFont"/>
    <w:uiPriority w:val="99"/>
    <w:semiHidden/>
    <w:unhideWhenUsed/>
    <w:rsid w:val="003F1A75"/>
    <w:rPr>
      <w:sz w:val="16"/>
      <w:szCs w:val="16"/>
      <w:lang w:val="fr-FR"/>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fr-FR"/>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fr-FR"/>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fr-FR"/>
    </w:rPr>
  </w:style>
  <w:style w:type="character" w:styleId="FollowedHyperlink">
    <w:name w:val="FollowedHyperlink"/>
    <w:rsid w:val="007E09DA"/>
    <w:rPr>
      <w:color w:val="800080"/>
      <w:u w:val="single"/>
      <w:lang w:val="fr-FR"/>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
    <w:basedOn w:val="DefaultParagraphFont"/>
    <w:link w:val="BVIfnrChar"/>
    <w:uiPriority w:val="99"/>
    <w:unhideWhenUsed/>
    <w:qFormat/>
    <w:rsid w:val="003F1A75"/>
    <w:rPr>
      <w:vertAlign w:val="superscript"/>
      <w:lang w:val="fr-FR"/>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fr-FR"/>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fr-FR"/>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fr-FR"/>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fr-FR"/>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fr-FR"/>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fr-FR"/>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fr-FR"/>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fr-FR"/>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fr-FR"/>
    </w:rPr>
  </w:style>
  <w:style w:type="character" w:styleId="PageNumber">
    <w:name w:val="page number"/>
    <w:rsid w:val="007E09DA"/>
    <w:rPr>
      <w:rFonts w:ascii="Times New Roman" w:hAnsi="Times New Roman"/>
      <w:sz w:val="22"/>
      <w:lang w:val="fr-FR"/>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fr-FR"/>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fr-FR"/>
    </w:rPr>
  </w:style>
  <w:style w:type="character" w:customStyle="1" w:styleId="Para1Char">
    <w:name w:val="Para1 Char"/>
    <w:link w:val="Para1"/>
    <w:locked/>
    <w:rsid w:val="005B35E2"/>
    <w:rPr>
      <w:rFonts w:ascii="Times New Roman" w:eastAsia="SimSun" w:hAnsi="Times New Roman" w:cs="Times New Roman"/>
      <w:snapToGrid w:val="0"/>
      <w:sz w:val="22"/>
      <w:szCs w:val="18"/>
      <w:lang w:val="fr-FR"/>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fr-FR"/>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fr-FR"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fr-FR"/>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fr-FR"/>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fr-FR"/>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fr-FR"/>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fr-FR"/>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fr-FR"/>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fr-FR"/>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fr-FR"/>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fr-FR"/>
    </w:rPr>
  </w:style>
  <w:style w:type="character" w:styleId="BookTitle">
    <w:name w:val="Book Title"/>
    <w:basedOn w:val="DefaultParagraphFont"/>
    <w:uiPriority w:val="33"/>
    <w:qFormat/>
    <w:rsid w:val="00A111D1"/>
    <w:rPr>
      <w:b/>
      <w:bCs/>
      <w:i/>
      <w:iCs/>
      <w:spacing w:val="5"/>
      <w:lang w:val="fr-FR"/>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fr-FR"/>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fr-FR"/>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fr-FR"/>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fr-FR"/>
    </w:rPr>
  </w:style>
  <w:style w:type="character" w:styleId="Emphasis">
    <w:name w:val="Emphasis"/>
    <w:basedOn w:val="DefaultParagraphFont"/>
    <w:uiPriority w:val="20"/>
    <w:qFormat/>
    <w:rsid w:val="00A111D1"/>
    <w:rPr>
      <w:i/>
      <w:iCs/>
      <w:lang w:val="fr-FR"/>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fr-FR"/>
    </w:rPr>
  </w:style>
  <w:style w:type="character" w:styleId="HTMLAcronym">
    <w:name w:val="HTML Acronym"/>
    <w:basedOn w:val="DefaultParagraphFont"/>
    <w:uiPriority w:val="99"/>
    <w:semiHidden/>
    <w:unhideWhenUsed/>
    <w:rsid w:val="00A111D1"/>
    <w:rPr>
      <w:lang w:val="fr-FR"/>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fr-FR"/>
    </w:rPr>
  </w:style>
  <w:style w:type="character" w:styleId="HTMLCite">
    <w:name w:val="HTML Cite"/>
    <w:basedOn w:val="DefaultParagraphFont"/>
    <w:uiPriority w:val="99"/>
    <w:semiHidden/>
    <w:unhideWhenUsed/>
    <w:rsid w:val="00A111D1"/>
    <w:rPr>
      <w:i/>
      <w:iCs/>
      <w:lang w:val="fr-FR"/>
    </w:rPr>
  </w:style>
  <w:style w:type="character" w:styleId="HTMLCode">
    <w:name w:val="HTML Code"/>
    <w:basedOn w:val="DefaultParagraphFont"/>
    <w:uiPriority w:val="99"/>
    <w:semiHidden/>
    <w:unhideWhenUsed/>
    <w:rsid w:val="00A111D1"/>
    <w:rPr>
      <w:rFonts w:ascii="Consolas" w:hAnsi="Consolas"/>
      <w:sz w:val="20"/>
      <w:szCs w:val="20"/>
      <w:lang w:val="fr-FR"/>
    </w:rPr>
  </w:style>
  <w:style w:type="character" w:styleId="HTMLDefinition">
    <w:name w:val="HTML Definition"/>
    <w:basedOn w:val="DefaultParagraphFont"/>
    <w:uiPriority w:val="99"/>
    <w:semiHidden/>
    <w:unhideWhenUsed/>
    <w:rsid w:val="00A111D1"/>
    <w:rPr>
      <w:i/>
      <w:iCs/>
      <w:lang w:val="fr-FR"/>
    </w:rPr>
  </w:style>
  <w:style w:type="character" w:styleId="HTMLKeyboard">
    <w:name w:val="HTML Keyboard"/>
    <w:basedOn w:val="DefaultParagraphFont"/>
    <w:uiPriority w:val="99"/>
    <w:semiHidden/>
    <w:unhideWhenUsed/>
    <w:rsid w:val="00A111D1"/>
    <w:rPr>
      <w:rFonts w:ascii="Consolas" w:hAnsi="Consolas"/>
      <w:sz w:val="20"/>
      <w:szCs w:val="20"/>
      <w:lang w:val="fr-FR"/>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fr-FR"/>
    </w:rPr>
  </w:style>
  <w:style w:type="character" w:styleId="HTMLSample">
    <w:name w:val="HTML Sample"/>
    <w:basedOn w:val="DefaultParagraphFont"/>
    <w:uiPriority w:val="99"/>
    <w:semiHidden/>
    <w:unhideWhenUsed/>
    <w:rsid w:val="00A111D1"/>
    <w:rPr>
      <w:rFonts w:ascii="Consolas" w:hAnsi="Consolas"/>
      <w:sz w:val="24"/>
      <w:szCs w:val="24"/>
      <w:lang w:val="fr-FR"/>
    </w:rPr>
  </w:style>
  <w:style w:type="character" w:styleId="HTMLTypewriter">
    <w:name w:val="HTML Typewriter"/>
    <w:basedOn w:val="DefaultParagraphFont"/>
    <w:uiPriority w:val="99"/>
    <w:semiHidden/>
    <w:unhideWhenUsed/>
    <w:rsid w:val="00A111D1"/>
    <w:rPr>
      <w:rFonts w:ascii="Consolas" w:hAnsi="Consolas"/>
      <w:sz w:val="20"/>
      <w:szCs w:val="20"/>
      <w:lang w:val="fr-FR"/>
    </w:rPr>
  </w:style>
  <w:style w:type="character" w:styleId="HTMLVariable">
    <w:name w:val="HTML Variable"/>
    <w:basedOn w:val="DefaultParagraphFont"/>
    <w:uiPriority w:val="99"/>
    <w:semiHidden/>
    <w:unhideWhenUsed/>
    <w:rsid w:val="00A111D1"/>
    <w:rPr>
      <w:i/>
      <w:iCs/>
      <w:lang w:val="fr-FR"/>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fr-FR"/>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fr-FR"/>
    </w:rPr>
  </w:style>
  <w:style w:type="character" w:styleId="IntenseReference">
    <w:name w:val="Intense Reference"/>
    <w:basedOn w:val="DefaultParagraphFont"/>
    <w:uiPriority w:val="32"/>
    <w:qFormat/>
    <w:rsid w:val="00A111D1"/>
    <w:rPr>
      <w:b/>
      <w:bCs/>
      <w:smallCaps/>
      <w:color w:val="4F81BD" w:themeColor="accent1"/>
      <w:spacing w:val="5"/>
      <w:lang w:val="fr-FR"/>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fr-FR"/>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fr-FR"/>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fr-FR"/>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fr-FR"/>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fr-FR"/>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fr-FR"/>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fr-FR"/>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fr-FR"/>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fr-FR"/>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fr-FR"/>
    </w:rPr>
  </w:style>
  <w:style w:type="character" w:styleId="SmartHyperlink">
    <w:name w:val="Smart Hyperlink"/>
    <w:basedOn w:val="DefaultParagraphFont"/>
    <w:uiPriority w:val="99"/>
    <w:semiHidden/>
    <w:unhideWhenUsed/>
    <w:rsid w:val="00A111D1"/>
    <w:rPr>
      <w:u w:val="dotted"/>
      <w:lang w:val="fr-FR"/>
    </w:rPr>
  </w:style>
  <w:style w:type="character" w:styleId="SmartLink">
    <w:name w:val="Smart Link"/>
    <w:basedOn w:val="DefaultParagraphFont"/>
    <w:uiPriority w:val="99"/>
    <w:semiHidden/>
    <w:unhideWhenUsed/>
    <w:rsid w:val="00A111D1"/>
    <w:rPr>
      <w:color w:val="0000FF"/>
      <w:u w:val="single"/>
      <w:shd w:val="clear" w:color="auto" w:fill="F3F2F1"/>
      <w:lang w:val="fr-FR"/>
    </w:rPr>
  </w:style>
  <w:style w:type="character" w:styleId="Strong">
    <w:name w:val="Strong"/>
    <w:basedOn w:val="DefaultParagraphFont"/>
    <w:uiPriority w:val="22"/>
    <w:qFormat/>
    <w:rsid w:val="00A111D1"/>
    <w:rPr>
      <w:b/>
      <w:bCs/>
      <w:lang w:val="fr-FR"/>
    </w:rPr>
  </w:style>
  <w:style w:type="character" w:styleId="SubtleEmphasis">
    <w:name w:val="Subtle Emphasis"/>
    <w:basedOn w:val="DefaultParagraphFont"/>
    <w:uiPriority w:val="19"/>
    <w:qFormat/>
    <w:rsid w:val="00A111D1"/>
    <w:rPr>
      <w:i/>
      <w:iCs/>
      <w:color w:val="404040" w:themeColor="text1" w:themeTint="BF"/>
      <w:lang w:val="fr-FR"/>
    </w:rPr>
  </w:style>
  <w:style w:type="character" w:styleId="SubtleReference">
    <w:name w:val="Subtle Reference"/>
    <w:basedOn w:val="DefaultParagraphFont"/>
    <w:uiPriority w:val="31"/>
    <w:qFormat/>
    <w:rsid w:val="00A111D1"/>
    <w:rPr>
      <w:smallCaps/>
      <w:color w:val="5A5A5A" w:themeColor="text1" w:themeTint="A5"/>
      <w:lang w:val="fr-FR"/>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fr-FR"/>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955B7E"/>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yperlink" Target="https://www.cbd.int/decisions/?id=13410" TargetMode="External"/><Relationship Id="rId39" Type="http://schemas.openxmlformats.org/officeDocument/2006/relationships/hyperlink" Target="https://www.cbd.int/doc/meetings/abs/icnp-02/official/icnp-02-07-corr1-fr.pdf" TargetMode="External"/><Relationship Id="rId21" Type="http://schemas.openxmlformats.org/officeDocument/2006/relationships/hyperlink" Target="https://www.cbd.int/recommendation/icnp?id=13087" TargetMode="External"/><Relationship Id="rId34" Type="http://schemas.openxmlformats.org/officeDocument/2006/relationships/hyperlink" Target="https://www.cbd.int/decisions/?id=13695" TargetMode="External"/><Relationship Id="rId42" Type="http://schemas.openxmlformats.org/officeDocument/2006/relationships/hyperlink" Target="https://www.cbd.int/doc/meetings/abs/abs-a10em-2016-01/official/abs-a10em-2016-01-03-en.pdf" TargetMode="External"/><Relationship Id="rId47" Type="http://schemas.openxmlformats.org/officeDocument/2006/relationships/hyperlink" Target="https://www.cbd.int/decisions/np-mop/?m=np-mop-05" TargetMode="External"/><Relationship Id="rId50" Type="http://schemas.openxmlformats.org/officeDocument/2006/relationships/hyperlink" Target="https://www.cbd.int/decisions/cop/?m=cop-16" TargetMode="External"/><Relationship Id="rId55"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cbd.int/abs/art10.shtml" TargetMode="External"/><Relationship Id="rId11" Type="http://schemas.openxmlformats.org/officeDocument/2006/relationships/endnotes" Target="endnotes.xml"/><Relationship Id="rId24" Type="http://schemas.openxmlformats.org/officeDocument/2006/relationships/hyperlink" Target="https://www.cbd.int/recommendations/?id=13266" TargetMode="External"/><Relationship Id="rId32" Type="http://schemas.openxmlformats.org/officeDocument/2006/relationships/hyperlink" Target="https://www.cbd.int/decisions/?id=13695" TargetMode="External"/><Relationship Id="rId37" Type="http://schemas.openxmlformats.org/officeDocument/2006/relationships/hyperlink" Target="https://www.cbd.int/decisions/np-mop/?m=np-mop-05" TargetMode="External"/><Relationship Id="rId40" Type="http://schemas.openxmlformats.org/officeDocument/2006/relationships/hyperlink" Target="https://www.cbd.int/doc/meetings/abs/icnp-03/official/icnp-03-05-fr.pdf" TargetMode="External"/><Relationship Id="rId45" Type="http://schemas.openxmlformats.org/officeDocument/2006/relationships/hyperlink" Target="https://www.cbd.int/documents/CBD/SBI/3/15" TargetMode="External"/><Relationship Id="rId53" Type="http://schemas.openxmlformats.org/officeDocument/2006/relationships/hyperlink" Target="https://www.cbd.int/recommendations/sbi/?m=sbi-07" TargetMode="External"/><Relationship Id="rId5" Type="http://schemas.openxmlformats.org/officeDocument/2006/relationships/customXml" Target="../customXml/item5.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cop/default.shtml?id=13162" TargetMode="External"/><Relationship Id="rId27" Type="http://schemas.openxmlformats.org/officeDocument/2006/relationships/hyperlink" Target="https://www.cbd.int/decisions/?id=13531" TargetMode="External"/><Relationship Id="rId30" Type="http://schemas.openxmlformats.org/officeDocument/2006/relationships/hyperlink" Target="https://www.cbd.int/doc/recommendations/sbi-02/sbi-02-rec-04-fr.pdf" TargetMode="External"/><Relationship Id="rId35" Type="http://schemas.openxmlformats.org/officeDocument/2006/relationships/hyperlink" Target="https://www.cbd.int/recommendations/sbi/?m=sbi-03" TargetMode="External"/><Relationship Id="rId43" Type="http://schemas.openxmlformats.org/officeDocument/2006/relationships/hyperlink" Target="https://www.cbd.int/documents/UNEP/CBD/NP/COP-MOP/2/10" TargetMode="External"/><Relationship Id="rId48" Type="http://schemas.openxmlformats.org/officeDocument/2006/relationships/hyperlink" Target="https://www.cbd.int/decisions/np-mop/?m=np-mop-05" TargetMode="External"/><Relationship Id="rId56" Type="http://schemas.openxmlformats.org/officeDocument/2006/relationships/glossaryDocument" Target="glossary/document.xml"/><Relationship Id="rId8" Type="http://schemas.openxmlformats.org/officeDocument/2006/relationships/settings" Target="settings.xml"/><Relationship Id="rId51" Type="http://schemas.openxmlformats.org/officeDocument/2006/relationships/hyperlink" Target="https://www.cbd.int/decisions/np-mop/?m=np-mop-05"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yperlink" Target="https://www.cbd.int/decisions/?id=13410" TargetMode="External"/><Relationship Id="rId33" Type="http://schemas.openxmlformats.org/officeDocument/2006/relationships/hyperlink" Target="https://www.cbd.int/abs/art10/2019-2020/submissions.shtml" TargetMode="External"/><Relationship Id="rId38" Type="http://schemas.openxmlformats.org/officeDocument/2006/relationships/hyperlink" Target="https://www.cbd.int/doc/meetings/abs/icnp-02/official/icnp-02-07-fr.pdf" TargetMode="External"/><Relationship Id="rId46" Type="http://schemas.openxmlformats.org/officeDocument/2006/relationships/hyperlink" Target="https://www.cbd.int/documents/CBD/SBI/3/15/Add.1" TargetMode="External"/><Relationship Id="rId20" Type="http://schemas.openxmlformats.org/officeDocument/2006/relationships/hyperlink" Target="https://www.cbd.int/icnp2/submissions" TargetMode="External"/><Relationship Id="rId41" Type="http://schemas.openxmlformats.org/officeDocument/2006/relationships/hyperlink" Target="https://www.cbd.int/doc/meetings/abs/abs-a10em-2016-01/official/abs-a10em-2016-01-02-fr.pdf" TargetMode="External"/><Relationship Id="rId54" Type="http://schemas.openxmlformats.org/officeDocument/2006/relationships/hyperlink" Target="https://www.cbd.int/decisions/np-mop/?m=np-mop-05"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np-mop/?m=np-mop-05" TargetMode="External"/><Relationship Id="rId23" Type="http://schemas.openxmlformats.org/officeDocument/2006/relationships/hyperlink" Target="https://absch.cbd.int/fr/portals/forums/article-10-forum" TargetMode="External"/><Relationship Id="rId28" Type="http://schemas.openxmlformats.org/officeDocument/2006/relationships/hyperlink" Target="https://www.cbd.int/decisions/?id=13531" TargetMode="External"/><Relationship Id="rId36" Type="http://schemas.openxmlformats.org/officeDocument/2006/relationships/hyperlink" Target="https://www.cbd.int/decisions/np-mop/?m=np-mop-04" TargetMode="External"/><Relationship Id="rId49" Type="http://schemas.openxmlformats.org/officeDocument/2006/relationships/hyperlink" Target="https://www.cbd.int/recommendations/sbi/?m=sbi-07" TargetMode="External"/><Relationship Id="rId57"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hyperlink" Target="https://www.cbd.int/decisions/?id=13695" TargetMode="External"/><Relationship Id="rId44" Type="http://schemas.openxmlformats.org/officeDocument/2006/relationships/hyperlink" Target="https://www.cbd.int/documents/CBD/SBI/2/5" TargetMode="External"/><Relationship Id="rId52" Type="http://schemas.openxmlformats.org/officeDocument/2006/relationships/hyperlink" Target="https://www.cbd.int/decisions/np-mop/?m=np-mop-05"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INF/6" TargetMode="External"/><Relationship Id="rId3" Type="http://schemas.openxmlformats.org/officeDocument/2006/relationships/hyperlink" Target="https://www.cbd.int/documents/CBD/SBI/7/7/ADD1" TargetMode="External"/><Relationship Id="rId7" Type="http://schemas.openxmlformats.org/officeDocument/2006/relationships/hyperlink" Target="https://www.cbd.int/documents/CBD/SBI/7/INF/5" TargetMode="External"/><Relationship Id="rId2" Type="http://schemas.openxmlformats.org/officeDocument/2006/relationships/hyperlink" Target="https://www.cbd.int/documents/CBD/SBI/7/7"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ocuments/CBD/SBI/7/INF/4" TargetMode="External"/><Relationship Id="rId5" Type="http://schemas.openxmlformats.org/officeDocument/2006/relationships/hyperlink" Target="https://www.cbd.int/documents/CBD/SBI/7/INF/3/REV1" TargetMode="External"/><Relationship Id="rId4" Type="http://schemas.openxmlformats.org/officeDocument/2006/relationships/hyperlink" Target="https://www.cbd.int/documents/CBD/SBI/7/INF/2" TargetMode="External"/><Relationship Id="rId9" Type="http://schemas.openxmlformats.org/officeDocument/2006/relationships/hyperlink" Target="https://www.cbd.int/documents/CBD/SBI/7/INF/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EC2248A5B14DDD9BB0718D4EF8A48B"/>
        <w:category>
          <w:name w:val="General"/>
          <w:gallery w:val="placeholder"/>
        </w:category>
        <w:types>
          <w:type w:val="bbPlcHdr"/>
        </w:types>
        <w:behaviors>
          <w:behavior w:val="content"/>
        </w:behaviors>
        <w:guid w:val="{57E7456C-1A66-485A-9328-A4538352DACA}"/>
      </w:docPartPr>
      <w:docPartBody>
        <w:p w:rsidR="00D416BC" w:rsidRDefault="00A92229">
          <w:pPr>
            <w:pStyle w:val="40EC2248A5B14DDD9BB0718D4EF8A48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F2C"/>
    <w:rsid w:val="0000055D"/>
    <w:rsid w:val="00055C4E"/>
    <w:rsid w:val="000723BB"/>
    <w:rsid w:val="0008466C"/>
    <w:rsid w:val="00090C4A"/>
    <w:rsid w:val="00114C94"/>
    <w:rsid w:val="00192CEA"/>
    <w:rsid w:val="002476FD"/>
    <w:rsid w:val="00251DA0"/>
    <w:rsid w:val="002C2D9F"/>
    <w:rsid w:val="00373639"/>
    <w:rsid w:val="003B2674"/>
    <w:rsid w:val="004905A5"/>
    <w:rsid w:val="0055041A"/>
    <w:rsid w:val="00551FEB"/>
    <w:rsid w:val="00565027"/>
    <w:rsid w:val="00583A43"/>
    <w:rsid w:val="005A2119"/>
    <w:rsid w:val="00652DBE"/>
    <w:rsid w:val="00700C10"/>
    <w:rsid w:val="0073686F"/>
    <w:rsid w:val="00890DEF"/>
    <w:rsid w:val="00893F2C"/>
    <w:rsid w:val="008D5A81"/>
    <w:rsid w:val="00960A5A"/>
    <w:rsid w:val="00962E35"/>
    <w:rsid w:val="009D1CCA"/>
    <w:rsid w:val="00A92229"/>
    <w:rsid w:val="00B13AE0"/>
    <w:rsid w:val="00B21099"/>
    <w:rsid w:val="00C07213"/>
    <w:rsid w:val="00C15DC6"/>
    <w:rsid w:val="00C33049"/>
    <w:rsid w:val="00CA3E73"/>
    <w:rsid w:val="00CE2C97"/>
    <w:rsid w:val="00D416BC"/>
    <w:rsid w:val="00DB55A3"/>
    <w:rsid w:val="00E0422B"/>
    <w:rsid w:val="00E2204C"/>
    <w:rsid w:val="00E3736A"/>
    <w:rsid w:val="00E42029"/>
    <w:rsid w:val="00ED42E5"/>
    <w:rsid w:val="00F36FAA"/>
    <w:rsid w:val="00F8190B"/>
    <w:rsid w:val="00F92AC0"/>
    <w:rsid w:val="00FC74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0EC2248A5B14DDD9BB0718D4EF8A48B">
    <w:name w:val="40EC2248A5B14DDD9BB0718D4EF8A4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B3F7C3F2-826B-424E-8A29-B475AD94EB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6</TotalTime>
  <Pages>9</Pages>
  <Words>4351</Words>
  <Characters>24805</Characters>
  <Application>Microsoft Office Word</Application>
  <DocSecurity>0</DocSecurity>
  <Lines>206</Lines>
  <Paragraphs>58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Mécanisme multilatéral mondial de partage des avantages</vt:lpstr>
      <vt:lpstr>Mécanisme multilatéral mondial de partage des avantages</vt:lpstr>
    </vt:vector>
  </TitlesOfParts>
  <Company>SCBD</Company>
  <LinksUpToDate>false</LinksUpToDate>
  <CharactersWithSpaces>29098</CharactersWithSpaces>
  <SharedDoc>false</SharedDoc>
  <HLinks>
    <vt:vector size="180" baseType="variant">
      <vt:variant>
        <vt:i4>5439581</vt:i4>
      </vt:variant>
      <vt:variant>
        <vt:i4>42</vt:i4>
      </vt:variant>
      <vt:variant>
        <vt:i4>0</vt:i4>
      </vt:variant>
      <vt:variant>
        <vt:i4>5</vt:i4>
      </vt:variant>
      <vt:variant>
        <vt:lpwstr>https://www.cbd.int/decisions/np-mop/?m=np-mop-05</vt:lpwstr>
      </vt:variant>
      <vt:variant>
        <vt:lpwstr/>
      </vt:variant>
      <vt:variant>
        <vt:i4>5439581</vt:i4>
      </vt:variant>
      <vt:variant>
        <vt:i4>39</vt:i4>
      </vt:variant>
      <vt:variant>
        <vt:i4>0</vt:i4>
      </vt:variant>
      <vt:variant>
        <vt:i4>5</vt:i4>
      </vt:variant>
      <vt:variant>
        <vt:lpwstr>https://www.cbd.int/decisions/np-mop/?m=np-mop-04</vt:lpwstr>
      </vt:variant>
      <vt:variant>
        <vt:lpwstr/>
      </vt:variant>
      <vt:variant>
        <vt:i4>983064</vt:i4>
      </vt:variant>
      <vt:variant>
        <vt:i4>36</vt:i4>
      </vt:variant>
      <vt:variant>
        <vt:i4>0</vt:i4>
      </vt:variant>
      <vt:variant>
        <vt:i4>5</vt:i4>
      </vt:variant>
      <vt:variant>
        <vt:lpwstr>https://www.cbd.int/recommendations/sbi/?m=sbi-03</vt:lpwstr>
      </vt:variant>
      <vt:variant>
        <vt:lpwstr/>
      </vt:variant>
      <vt:variant>
        <vt:i4>327763</vt:i4>
      </vt:variant>
      <vt:variant>
        <vt:i4>33</vt:i4>
      </vt:variant>
      <vt:variant>
        <vt:i4>0</vt:i4>
      </vt:variant>
      <vt:variant>
        <vt:i4>5</vt:i4>
      </vt:variant>
      <vt:variant>
        <vt:lpwstr>https://www.cbd.int/abs/art10/2019-2020/submissions.shtml</vt:lpwstr>
      </vt:variant>
      <vt:variant>
        <vt:lpwstr/>
      </vt:variant>
      <vt:variant>
        <vt:i4>4128878</vt:i4>
      </vt:variant>
      <vt:variant>
        <vt:i4>30</vt:i4>
      </vt:variant>
      <vt:variant>
        <vt:i4>0</vt:i4>
      </vt:variant>
      <vt:variant>
        <vt:i4>5</vt:i4>
      </vt:variant>
      <vt:variant>
        <vt:lpwstr>https://www.cbd.int/decisions/?id=13695</vt:lpwstr>
      </vt:variant>
      <vt:variant>
        <vt:lpwstr/>
      </vt:variant>
      <vt:variant>
        <vt:i4>5242899</vt:i4>
      </vt:variant>
      <vt:variant>
        <vt:i4>27</vt:i4>
      </vt:variant>
      <vt:variant>
        <vt:i4>0</vt:i4>
      </vt:variant>
      <vt:variant>
        <vt:i4>5</vt:i4>
      </vt:variant>
      <vt:variant>
        <vt:lpwstr>https://www.cbd.int/recommendations/?id=13622</vt:lpwstr>
      </vt:variant>
      <vt:variant>
        <vt:lpwstr/>
      </vt:variant>
      <vt:variant>
        <vt:i4>3932284</vt:i4>
      </vt:variant>
      <vt:variant>
        <vt:i4>24</vt:i4>
      </vt:variant>
      <vt:variant>
        <vt:i4>0</vt:i4>
      </vt:variant>
      <vt:variant>
        <vt:i4>5</vt:i4>
      </vt:variant>
      <vt:variant>
        <vt:lpwstr>https://www.cbd.int/abs/art10.shtml</vt:lpwstr>
      </vt:variant>
      <vt:variant>
        <vt:lpwstr>tab=4</vt:lpwstr>
      </vt:variant>
      <vt:variant>
        <vt:i4>3473517</vt:i4>
      </vt:variant>
      <vt:variant>
        <vt:i4>21</vt:i4>
      </vt:variant>
      <vt:variant>
        <vt:i4>0</vt:i4>
      </vt:variant>
      <vt:variant>
        <vt:i4>5</vt:i4>
      </vt:variant>
      <vt:variant>
        <vt:lpwstr>https://www.cbd.int/decisions/?id=13531</vt:lpwstr>
      </vt:variant>
      <vt:variant>
        <vt:lpwstr/>
      </vt:variant>
      <vt:variant>
        <vt:i4>3604588</vt:i4>
      </vt:variant>
      <vt:variant>
        <vt:i4>18</vt:i4>
      </vt:variant>
      <vt:variant>
        <vt:i4>0</vt:i4>
      </vt:variant>
      <vt:variant>
        <vt:i4>5</vt:i4>
      </vt:variant>
      <vt:variant>
        <vt:lpwstr>https://www.cbd.int/decisions/?id=13410</vt:lpwstr>
      </vt:variant>
      <vt:variant>
        <vt:lpwstr/>
      </vt:variant>
      <vt:variant>
        <vt:i4>5505047</vt:i4>
      </vt:variant>
      <vt:variant>
        <vt:i4>15</vt:i4>
      </vt:variant>
      <vt:variant>
        <vt:i4>0</vt:i4>
      </vt:variant>
      <vt:variant>
        <vt:i4>5</vt:i4>
      </vt:variant>
      <vt:variant>
        <vt:lpwstr>https://www.cbd.int/recommendations/?id=13266</vt:lpwstr>
      </vt:variant>
      <vt:variant>
        <vt:lpwstr/>
      </vt:variant>
      <vt:variant>
        <vt:i4>1900566</vt:i4>
      </vt:variant>
      <vt:variant>
        <vt:i4>12</vt:i4>
      </vt:variant>
      <vt:variant>
        <vt:i4>0</vt:i4>
      </vt:variant>
      <vt:variant>
        <vt:i4>5</vt:i4>
      </vt:variant>
      <vt:variant>
        <vt:lpwstr>https://www.cbd.int/doc/?meeting=ABSEM-A10-01</vt:lpwstr>
      </vt:variant>
      <vt:variant>
        <vt:lpwstr/>
      </vt:variant>
      <vt:variant>
        <vt:i4>524366</vt:i4>
      </vt:variant>
      <vt:variant>
        <vt:i4>9</vt:i4>
      </vt:variant>
      <vt:variant>
        <vt:i4>0</vt:i4>
      </vt:variant>
      <vt:variant>
        <vt:i4>5</vt:i4>
      </vt:variant>
      <vt:variant>
        <vt:lpwstr>https://absch.cbd.int/en/portals/forums/article-10-forum</vt:lpwstr>
      </vt:variant>
      <vt:variant>
        <vt:lpwstr/>
      </vt:variant>
      <vt:variant>
        <vt:i4>6553654</vt:i4>
      </vt:variant>
      <vt:variant>
        <vt:i4>6</vt:i4>
      </vt:variant>
      <vt:variant>
        <vt:i4>0</vt:i4>
      </vt:variant>
      <vt:variant>
        <vt:i4>5</vt:i4>
      </vt:variant>
      <vt:variant>
        <vt:lpwstr>https://www.cbd.int/decision/cop/default.shtml?id=13162</vt:lpwstr>
      </vt:variant>
      <vt:variant>
        <vt:lpwstr/>
      </vt:variant>
      <vt:variant>
        <vt:i4>4194399</vt:i4>
      </vt:variant>
      <vt:variant>
        <vt:i4>3</vt:i4>
      </vt:variant>
      <vt:variant>
        <vt:i4>0</vt:i4>
      </vt:variant>
      <vt:variant>
        <vt:i4>5</vt:i4>
      </vt:variant>
      <vt:variant>
        <vt:lpwstr>https://www.cbd.int/recommendation/icnp?id=13087</vt:lpwstr>
      </vt:variant>
      <vt:variant>
        <vt:lpwstr/>
      </vt:variant>
      <vt:variant>
        <vt:i4>1376267</vt:i4>
      </vt:variant>
      <vt:variant>
        <vt:i4>0</vt:i4>
      </vt:variant>
      <vt:variant>
        <vt:i4>0</vt:i4>
      </vt:variant>
      <vt:variant>
        <vt:i4>5</vt:i4>
      </vt:variant>
      <vt:variant>
        <vt:lpwstr>https://www.cbd.int/icnp2/submissions</vt:lpwstr>
      </vt:variant>
      <vt:variant>
        <vt:lpwstr/>
      </vt:variant>
      <vt:variant>
        <vt:i4>983048</vt:i4>
      </vt:variant>
      <vt:variant>
        <vt:i4>42</vt:i4>
      </vt:variant>
      <vt:variant>
        <vt:i4>0</vt:i4>
      </vt:variant>
      <vt:variant>
        <vt:i4>5</vt:i4>
      </vt:variant>
      <vt:variant>
        <vt:lpwstr>https://www.cbd.int/documents/CBD/SBI/7/INF/7</vt:lpwstr>
      </vt:variant>
      <vt:variant>
        <vt:lpwstr/>
      </vt:variant>
      <vt:variant>
        <vt:i4>983048</vt:i4>
      </vt:variant>
      <vt:variant>
        <vt:i4>39</vt:i4>
      </vt:variant>
      <vt:variant>
        <vt:i4>0</vt:i4>
      </vt:variant>
      <vt:variant>
        <vt:i4>5</vt:i4>
      </vt:variant>
      <vt:variant>
        <vt:lpwstr>https://www.cbd.int/documents/CBD/SBI/7/INF/6</vt:lpwstr>
      </vt:variant>
      <vt:variant>
        <vt:lpwstr/>
      </vt:variant>
      <vt:variant>
        <vt:i4>983048</vt:i4>
      </vt:variant>
      <vt:variant>
        <vt:i4>36</vt:i4>
      </vt:variant>
      <vt:variant>
        <vt:i4>0</vt:i4>
      </vt:variant>
      <vt:variant>
        <vt:i4>5</vt:i4>
      </vt:variant>
      <vt:variant>
        <vt:lpwstr>https://www.cbd.int/documents/CBD/SBI/7/INF/5</vt:lpwstr>
      </vt:variant>
      <vt:variant>
        <vt:lpwstr/>
      </vt:variant>
      <vt:variant>
        <vt:i4>983048</vt:i4>
      </vt:variant>
      <vt:variant>
        <vt:i4>33</vt:i4>
      </vt:variant>
      <vt:variant>
        <vt:i4>0</vt:i4>
      </vt:variant>
      <vt:variant>
        <vt:i4>5</vt:i4>
      </vt:variant>
      <vt:variant>
        <vt:lpwstr>https://www.cbd.int/documents/CBD/SBI/7/INF/4</vt:lpwstr>
      </vt:variant>
      <vt:variant>
        <vt:lpwstr/>
      </vt:variant>
      <vt:variant>
        <vt:i4>7602239</vt:i4>
      </vt:variant>
      <vt:variant>
        <vt:i4>30</vt:i4>
      </vt:variant>
      <vt:variant>
        <vt:i4>0</vt:i4>
      </vt:variant>
      <vt:variant>
        <vt:i4>5</vt:i4>
      </vt:variant>
      <vt:variant>
        <vt:lpwstr>https://www.cbd.int/documents/CBD/SBI/7/INF/3/REV1</vt:lpwstr>
      </vt:variant>
      <vt:variant>
        <vt:lpwstr/>
      </vt:variant>
      <vt:variant>
        <vt:i4>983048</vt:i4>
      </vt:variant>
      <vt:variant>
        <vt:i4>27</vt:i4>
      </vt:variant>
      <vt:variant>
        <vt:i4>0</vt:i4>
      </vt:variant>
      <vt:variant>
        <vt:i4>5</vt:i4>
      </vt:variant>
      <vt:variant>
        <vt:lpwstr>https://www.cbd.int/documents/CBD/SBI/7/INF/2</vt:lpwstr>
      </vt:variant>
      <vt:variant>
        <vt:lpwstr/>
      </vt:variant>
      <vt:variant>
        <vt:i4>5177431</vt:i4>
      </vt:variant>
      <vt:variant>
        <vt:i4>24</vt:i4>
      </vt:variant>
      <vt:variant>
        <vt:i4>0</vt:i4>
      </vt:variant>
      <vt:variant>
        <vt:i4>5</vt:i4>
      </vt:variant>
      <vt:variant>
        <vt:lpwstr>https://www.cbd.int/documents/CBD/SBI/3/15/Add.1</vt:lpwstr>
      </vt:variant>
      <vt:variant>
        <vt:lpwstr/>
      </vt:variant>
      <vt:variant>
        <vt:i4>8060978</vt:i4>
      </vt:variant>
      <vt:variant>
        <vt:i4>21</vt:i4>
      </vt:variant>
      <vt:variant>
        <vt:i4>0</vt:i4>
      </vt:variant>
      <vt:variant>
        <vt:i4>5</vt:i4>
      </vt:variant>
      <vt:variant>
        <vt:lpwstr>https://www.cbd.int/documents/CBD/SBI/3/15</vt:lpwstr>
      </vt:variant>
      <vt:variant>
        <vt:lpwstr/>
      </vt:variant>
      <vt:variant>
        <vt:i4>5111810</vt:i4>
      </vt:variant>
      <vt:variant>
        <vt:i4>18</vt:i4>
      </vt:variant>
      <vt:variant>
        <vt:i4>0</vt:i4>
      </vt:variant>
      <vt:variant>
        <vt:i4>5</vt:i4>
      </vt:variant>
      <vt:variant>
        <vt:lpwstr>https://www.cbd.int/documents/CBD/SBI/2/5</vt:lpwstr>
      </vt:variant>
      <vt:variant>
        <vt:lpwstr/>
      </vt:variant>
      <vt:variant>
        <vt:i4>2359330</vt:i4>
      </vt:variant>
      <vt:variant>
        <vt:i4>15</vt:i4>
      </vt:variant>
      <vt:variant>
        <vt:i4>0</vt:i4>
      </vt:variant>
      <vt:variant>
        <vt:i4>5</vt:i4>
      </vt:variant>
      <vt:variant>
        <vt:lpwstr>https://www.cbd.int/documents/UNEP/CBD/NP/COP-MOP/2/10</vt:lpwstr>
      </vt:variant>
      <vt:variant>
        <vt:lpwstr/>
      </vt:variant>
      <vt:variant>
        <vt:i4>7864435</vt:i4>
      </vt:variant>
      <vt:variant>
        <vt:i4>12</vt:i4>
      </vt:variant>
      <vt:variant>
        <vt:i4>0</vt:i4>
      </vt:variant>
      <vt:variant>
        <vt:i4>5</vt:i4>
      </vt:variant>
      <vt:variant>
        <vt:lpwstr>https://www.cbd.int/meetings/ABS-A10EM-2016-01</vt:lpwstr>
      </vt:variant>
      <vt:variant>
        <vt:lpwstr/>
      </vt:variant>
      <vt:variant>
        <vt:i4>8323199</vt:i4>
      </vt:variant>
      <vt:variant>
        <vt:i4>9</vt:i4>
      </vt:variant>
      <vt:variant>
        <vt:i4>0</vt:i4>
      </vt:variant>
      <vt:variant>
        <vt:i4>5</vt:i4>
      </vt:variant>
      <vt:variant>
        <vt:lpwstr>https://www.cbd.int/documents/UNEP/CBD/ICNP/3/5</vt:lpwstr>
      </vt:variant>
      <vt:variant>
        <vt:lpwstr/>
      </vt:variant>
      <vt:variant>
        <vt:i4>1114132</vt:i4>
      </vt:variant>
      <vt:variant>
        <vt:i4>6</vt:i4>
      </vt:variant>
      <vt:variant>
        <vt:i4>0</vt:i4>
      </vt:variant>
      <vt:variant>
        <vt:i4>5</vt:i4>
      </vt:variant>
      <vt:variant>
        <vt:lpwstr>https://www.cbd.int/doc/meetings/abs/icnp-02/official/icnp-02-07-corr1-en.pdf</vt:lpwstr>
      </vt:variant>
      <vt:variant>
        <vt:lpwstr/>
      </vt:variant>
      <vt:variant>
        <vt:i4>3211300</vt:i4>
      </vt:variant>
      <vt:variant>
        <vt:i4>3</vt:i4>
      </vt:variant>
      <vt:variant>
        <vt:i4>0</vt:i4>
      </vt:variant>
      <vt:variant>
        <vt:i4>5</vt:i4>
      </vt:variant>
      <vt:variant>
        <vt:lpwstr>https://www.cbd.int/doc/meetings/abs/icnp-02/official/icnp-02-07-en.pdf</vt:lpwstr>
      </vt:variant>
      <vt:variant>
        <vt:lpwstr/>
      </vt:variant>
      <vt:variant>
        <vt:i4>4587524</vt:i4>
      </vt:variant>
      <vt:variant>
        <vt:i4>0</vt:i4>
      </vt:variant>
      <vt:variant>
        <vt:i4>0</vt:i4>
      </vt:variant>
      <vt:variant>
        <vt:i4>5</vt:i4>
      </vt:variant>
      <vt:variant>
        <vt:lpwstr>https://www.cbd.int/documents/CBD/NP/MOP/6/1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multilatéral mondial de partage des avantages</dc:title>
  <dc:subject>CBD/NP/MOP/6/10</dc:subject>
  <dc:creator>kathryn.garforth</dc:creator>
  <cp:keywords>Convention on Biological Diversity</cp:keywords>
  <cp:lastModifiedBy>Mariko Nishi</cp:lastModifiedBy>
  <cp:revision>10</cp:revision>
  <cp:lastPrinted>2020-01-21T19:56:00Z</cp:lastPrinted>
  <dcterms:created xsi:type="dcterms:W3CDTF">2026-09-28T16:40:00Z</dcterms:created>
  <dcterms:modified xsi:type="dcterms:W3CDTF">2026-09-29T18:42:00Z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