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14:paraId="6E1CA4DB" w14:textId="77777777" w:rsidTr="00540797">
        <w:trPr>
          <w:trHeight w:val="709"/>
        </w:trPr>
        <w:tc>
          <w:tcPr>
            <w:tcW w:w="976" w:type="dxa"/>
            <w:tcBorders>
              <w:bottom w:val="single" w:sz="12" w:space="0" w:color="auto"/>
            </w:tcBorders>
          </w:tcPr>
          <w:p w14:paraId="3920BD06" w14:textId="77777777" w:rsidR="00207A6E" w:rsidRDefault="00207A6E" w:rsidP="00540797">
            <w:r>
              <w:rPr>
                <w:noProof/>
                <w:lang w:val="fr-CA" w:eastAsia="fr-CA"/>
              </w:rPr>
              <w:drawing>
                <wp:inline distT="0" distB="0" distL="0" distR="0" wp14:anchorId="545FF979" wp14:editId="00F2745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8006220" w14:textId="77777777" w:rsidR="00207A6E" w:rsidRDefault="00207A6E" w:rsidP="00540797">
            <w:r>
              <w:rPr>
                <w:noProof/>
                <w:lang w:val="fr-CA" w:eastAsia="fr-CA"/>
              </w:rPr>
              <w:drawing>
                <wp:inline distT="0" distB="0" distL="0" distR="0" wp14:anchorId="70652DB3" wp14:editId="749729E8">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1C14264" w14:textId="77777777" w:rsidR="00207A6E" w:rsidRPr="00C9161D" w:rsidRDefault="00207A6E" w:rsidP="00540797">
            <w:pPr>
              <w:jc w:val="right"/>
              <w:rPr>
                <w:rFonts w:ascii="Arial" w:hAnsi="Arial" w:cs="Arial"/>
                <w:b/>
                <w:sz w:val="32"/>
                <w:szCs w:val="32"/>
              </w:rPr>
            </w:pPr>
            <w:r w:rsidRPr="00C9161D">
              <w:rPr>
                <w:rFonts w:ascii="Arial" w:hAnsi="Arial" w:cs="Arial"/>
                <w:b/>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5440A6" w14:paraId="51336FBF" w14:textId="77777777" w:rsidTr="009554D5">
        <w:trPr>
          <w:trHeight w:val="1693"/>
        </w:trPr>
        <w:tc>
          <w:tcPr>
            <w:tcW w:w="6227" w:type="dxa"/>
            <w:tcBorders>
              <w:top w:val="nil"/>
              <w:bottom w:val="single" w:sz="36" w:space="0" w:color="000000"/>
            </w:tcBorders>
          </w:tcPr>
          <w:p w14:paraId="5BED5E0B" w14:textId="77777777" w:rsidR="00F16F02" w:rsidRPr="005440A6" w:rsidRDefault="00F16F02">
            <w:pPr>
              <w:rPr>
                <w:snapToGrid w:val="0"/>
                <w:kern w:val="22"/>
              </w:rPr>
            </w:pPr>
          </w:p>
          <w:p w14:paraId="3C3DBFE9" w14:textId="2F6BBA71" w:rsidR="00F16F02" w:rsidRPr="005440A6" w:rsidRDefault="00E6616D" w:rsidP="00736BC2">
            <w:pPr>
              <w:rPr>
                <w:snapToGrid w:val="0"/>
                <w:kern w:val="22"/>
              </w:rPr>
            </w:pPr>
            <w:r w:rsidRPr="00BC4B45">
              <w:rPr>
                <w:noProof/>
                <w:lang w:val="fr-CA" w:eastAsia="fr-CA"/>
              </w:rPr>
              <w:drawing>
                <wp:inline distT="0" distB="0" distL="0" distR="0" wp14:anchorId="52DC43E3" wp14:editId="67253633">
                  <wp:extent cx="2867660" cy="1082675"/>
                  <wp:effectExtent l="0" t="0" r="889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660" cy="1082675"/>
                          </a:xfrm>
                          <a:prstGeom prst="rect">
                            <a:avLst/>
                          </a:prstGeom>
                          <a:noFill/>
                          <a:ln>
                            <a:noFill/>
                          </a:ln>
                        </pic:spPr>
                      </pic:pic>
                    </a:graphicData>
                  </a:graphic>
                </wp:inline>
              </w:drawing>
            </w:r>
          </w:p>
          <w:p w14:paraId="27F82769" w14:textId="77777777" w:rsidR="00F16F02" w:rsidRPr="005440A6" w:rsidRDefault="00F16F02">
            <w:pPr>
              <w:rPr>
                <w:rFonts w:ascii="Univers" w:hAnsi="Univers"/>
                <w:snapToGrid w:val="0"/>
                <w:kern w:val="22"/>
                <w:sz w:val="32"/>
              </w:rPr>
            </w:pPr>
          </w:p>
        </w:tc>
        <w:tc>
          <w:tcPr>
            <w:tcW w:w="1144" w:type="dxa"/>
            <w:tcBorders>
              <w:top w:val="nil"/>
              <w:bottom w:val="single" w:sz="36" w:space="0" w:color="000000"/>
            </w:tcBorders>
          </w:tcPr>
          <w:p w14:paraId="760CB1D8" w14:textId="77777777" w:rsidR="00F16F02" w:rsidRPr="005440A6" w:rsidRDefault="00F16F02">
            <w:pPr>
              <w:pStyle w:val="En-tte"/>
              <w:tabs>
                <w:tab w:val="clear" w:pos="4320"/>
                <w:tab w:val="clear" w:pos="8640"/>
              </w:tabs>
              <w:rPr>
                <w:b/>
                <w:snapToGrid w:val="0"/>
                <w:kern w:val="22"/>
                <w:sz w:val="32"/>
                <w:szCs w:val="32"/>
              </w:rPr>
            </w:pPr>
          </w:p>
        </w:tc>
        <w:tc>
          <w:tcPr>
            <w:tcW w:w="2977" w:type="dxa"/>
            <w:tcBorders>
              <w:top w:val="nil"/>
              <w:bottom w:val="single" w:sz="36" w:space="0" w:color="000000"/>
            </w:tcBorders>
          </w:tcPr>
          <w:p w14:paraId="600FAF57" w14:textId="77777777" w:rsidR="00F16F02" w:rsidRPr="008E6385" w:rsidRDefault="00F16F02" w:rsidP="00B271A0">
            <w:pPr>
              <w:ind w:left="63"/>
              <w:rPr>
                <w:snapToGrid w:val="0"/>
                <w:kern w:val="22"/>
                <w:szCs w:val="22"/>
                <w:lang w:val="fr-CA"/>
              </w:rPr>
            </w:pPr>
            <w:r w:rsidRPr="008E6385">
              <w:rPr>
                <w:snapToGrid w:val="0"/>
                <w:kern w:val="22"/>
                <w:szCs w:val="22"/>
                <w:lang w:val="fr-CA"/>
              </w:rPr>
              <w:t>Distr.</w:t>
            </w:r>
          </w:p>
          <w:p w14:paraId="54C690D1" w14:textId="2A69F88F" w:rsidR="00F16F02" w:rsidRPr="00D53CB9" w:rsidRDefault="00E6616D" w:rsidP="00B271A0">
            <w:pPr>
              <w:ind w:left="63"/>
              <w:rPr>
                <w:snapToGrid w:val="0"/>
                <w:kern w:val="22"/>
                <w:szCs w:val="22"/>
                <w:lang w:val="fr-CA"/>
              </w:rPr>
            </w:pPr>
            <w:r w:rsidRPr="00D53CB9">
              <w:rPr>
                <w:snapToGrid w:val="0"/>
                <w:kern w:val="22"/>
                <w:szCs w:val="22"/>
                <w:lang w:val="fr-CA"/>
              </w:rPr>
              <w:t>GÉNÉRALE</w:t>
            </w:r>
          </w:p>
          <w:p w14:paraId="60AE9790" w14:textId="77777777" w:rsidR="00F16F02" w:rsidRPr="00D53CB9" w:rsidRDefault="00F16F02" w:rsidP="00B271A0">
            <w:pPr>
              <w:ind w:left="63"/>
              <w:rPr>
                <w:snapToGrid w:val="0"/>
                <w:kern w:val="22"/>
                <w:szCs w:val="22"/>
                <w:lang w:val="fr-CA"/>
              </w:rPr>
            </w:pPr>
          </w:p>
          <w:sdt>
            <w:sdtPr>
              <w:rPr>
                <w:snapToGrid w:val="0"/>
                <w:kern w:val="22"/>
                <w:szCs w:val="22"/>
                <w:lang w:val="fr-CA"/>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14:paraId="24F94FE6" w14:textId="77777777" w:rsidR="00F16F02" w:rsidRPr="00D53CB9" w:rsidRDefault="00A85291" w:rsidP="007A4CE1">
                <w:pPr>
                  <w:ind w:left="63"/>
                  <w:rPr>
                    <w:snapToGrid w:val="0"/>
                    <w:kern w:val="22"/>
                    <w:szCs w:val="22"/>
                    <w:lang w:val="fr-CA"/>
                  </w:rPr>
                </w:pPr>
                <w:r w:rsidRPr="00D53CB9">
                  <w:rPr>
                    <w:snapToGrid w:val="0"/>
                    <w:kern w:val="22"/>
                    <w:szCs w:val="22"/>
                    <w:lang w:val="fr-CA"/>
                  </w:rPr>
                  <w:t>CBD/SBSTTA/22/</w:t>
                </w:r>
                <w:r w:rsidR="007A4CE1" w:rsidRPr="00D53CB9">
                  <w:rPr>
                    <w:snapToGrid w:val="0"/>
                    <w:kern w:val="22"/>
                    <w:szCs w:val="22"/>
                    <w:lang w:val="fr-CA"/>
                  </w:rPr>
                  <w:t>11</w:t>
                </w:r>
              </w:p>
            </w:sdtContent>
          </w:sdt>
          <w:p w14:paraId="0B7AE334" w14:textId="38D30174" w:rsidR="00F16F02" w:rsidRPr="00D53CB9" w:rsidRDefault="00DB236B" w:rsidP="00D44ACC">
            <w:pPr>
              <w:ind w:left="63"/>
              <w:rPr>
                <w:snapToGrid w:val="0"/>
                <w:kern w:val="22"/>
                <w:szCs w:val="22"/>
                <w:lang w:val="fr-CA"/>
              </w:rPr>
            </w:pPr>
            <w:r w:rsidRPr="00D53CB9">
              <w:rPr>
                <w:snapToGrid w:val="0"/>
                <w:kern w:val="22"/>
                <w:szCs w:val="22"/>
                <w:lang w:val="fr-CA"/>
              </w:rPr>
              <w:t>24</w:t>
            </w:r>
            <w:r w:rsidR="00D15589" w:rsidRPr="00D53CB9">
              <w:rPr>
                <w:snapToGrid w:val="0"/>
                <w:kern w:val="22"/>
                <w:szCs w:val="22"/>
                <w:lang w:val="fr-CA"/>
              </w:rPr>
              <w:t xml:space="preserve"> </w:t>
            </w:r>
            <w:r w:rsidR="00E6616D" w:rsidRPr="00D53CB9">
              <w:rPr>
                <w:snapToGrid w:val="0"/>
                <w:kern w:val="22"/>
                <w:szCs w:val="22"/>
                <w:lang w:val="fr-CA"/>
              </w:rPr>
              <w:t>avril</w:t>
            </w:r>
            <w:r w:rsidR="00277C97" w:rsidRPr="00D53CB9">
              <w:rPr>
                <w:snapToGrid w:val="0"/>
                <w:kern w:val="22"/>
                <w:szCs w:val="22"/>
                <w:lang w:val="fr-CA"/>
              </w:rPr>
              <w:t xml:space="preserve"> </w:t>
            </w:r>
            <w:r w:rsidR="00D15589" w:rsidRPr="00D53CB9">
              <w:rPr>
                <w:snapToGrid w:val="0"/>
                <w:kern w:val="22"/>
                <w:szCs w:val="22"/>
                <w:lang w:val="fr-CA"/>
              </w:rPr>
              <w:t>2018</w:t>
            </w:r>
            <w:r w:rsidR="00A04FF3">
              <w:rPr>
                <w:snapToGrid w:val="0"/>
                <w:kern w:val="22"/>
                <w:szCs w:val="22"/>
                <w:lang w:val="fr-CA"/>
              </w:rPr>
              <w:t>*</w:t>
            </w:r>
          </w:p>
          <w:p w14:paraId="046B01A9" w14:textId="77777777" w:rsidR="00F16F02" w:rsidRPr="00D53CB9" w:rsidRDefault="00F16F02" w:rsidP="00B271A0">
            <w:pPr>
              <w:ind w:left="63"/>
              <w:rPr>
                <w:snapToGrid w:val="0"/>
                <w:kern w:val="22"/>
                <w:szCs w:val="22"/>
                <w:lang w:val="fr-CA"/>
              </w:rPr>
            </w:pPr>
          </w:p>
          <w:p w14:paraId="4FE3E00D" w14:textId="77777777" w:rsidR="00E6616D" w:rsidRPr="00D53CB9" w:rsidRDefault="00E6616D" w:rsidP="00B271A0">
            <w:pPr>
              <w:ind w:left="63"/>
              <w:rPr>
                <w:snapToGrid w:val="0"/>
                <w:kern w:val="22"/>
                <w:szCs w:val="22"/>
                <w:lang w:val="fr-CA"/>
              </w:rPr>
            </w:pPr>
            <w:r w:rsidRPr="00D53CB9">
              <w:rPr>
                <w:snapToGrid w:val="0"/>
                <w:kern w:val="22"/>
                <w:szCs w:val="22"/>
                <w:lang w:val="fr-CA"/>
              </w:rPr>
              <w:t>FRANÇAIS</w:t>
            </w:r>
          </w:p>
          <w:p w14:paraId="182B539D" w14:textId="7320B76A" w:rsidR="00F16F02" w:rsidRPr="005440A6" w:rsidRDefault="00F16F02" w:rsidP="00E6616D">
            <w:pPr>
              <w:ind w:left="63"/>
              <w:rPr>
                <w:snapToGrid w:val="0"/>
                <w:color w:val="FF0000"/>
                <w:kern w:val="22"/>
                <w:szCs w:val="22"/>
                <w:u w:val="single"/>
              </w:rPr>
            </w:pPr>
            <w:r w:rsidRPr="00D53CB9">
              <w:rPr>
                <w:snapToGrid w:val="0"/>
                <w:kern w:val="22"/>
                <w:szCs w:val="22"/>
                <w:lang w:val="fr-CA"/>
              </w:rPr>
              <w:t>ORIGINAL</w:t>
            </w:r>
            <w:r w:rsidR="00E6616D" w:rsidRPr="00D53CB9">
              <w:rPr>
                <w:snapToGrid w:val="0"/>
                <w:kern w:val="22"/>
                <w:szCs w:val="22"/>
                <w:lang w:val="fr-CA"/>
              </w:rPr>
              <w:t xml:space="preserve"> </w:t>
            </w:r>
            <w:r w:rsidRPr="00D53CB9">
              <w:rPr>
                <w:snapToGrid w:val="0"/>
                <w:kern w:val="22"/>
                <w:szCs w:val="22"/>
                <w:lang w:val="fr-CA"/>
              </w:rPr>
              <w:t xml:space="preserve">: </w:t>
            </w:r>
            <w:r w:rsidR="00E6616D" w:rsidRPr="00D53CB9">
              <w:rPr>
                <w:snapToGrid w:val="0"/>
                <w:kern w:val="22"/>
                <w:szCs w:val="22"/>
                <w:lang w:val="fr-CA"/>
              </w:rPr>
              <w:t>ANGLAIS</w:t>
            </w:r>
          </w:p>
        </w:tc>
      </w:tr>
    </w:tbl>
    <w:bookmarkStart w:id="0" w:name="Meeting"/>
    <w:p w14:paraId="3D52D7B1" w14:textId="5A05EDA5" w:rsidR="00CA6B87" w:rsidRPr="00E6616D" w:rsidRDefault="00B54C07" w:rsidP="009201AD">
      <w:pPr>
        <w:pStyle w:val="meetingname"/>
        <w:ind w:right="4320"/>
        <w:rPr>
          <w:kern w:val="22"/>
          <w:szCs w:val="22"/>
          <w:lang w:val="fr-CA"/>
        </w:rPr>
      </w:pPr>
      <w:sdt>
        <w:sdtPr>
          <w:rPr>
            <w:kern w:val="22"/>
            <w:szCs w:val="22"/>
            <w:lang w:val="fr-CA"/>
          </w:rPr>
          <w:alias w:val="Meeting"/>
          <w:tag w:val="Meeting"/>
          <w:id w:val="1412045910"/>
          <w:placeholder>
            <w:docPart w:val="DefaultPlaceholder_1082065158"/>
          </w:placeholder>
          <w:text/>
        </w:sdtPr>
        <w:sdtEndPr/>
        <w:sdtContent>
          <w:r w:rsidR="00E6616D" w:rsidRPr="00E6616D">
            <w:rPr>
              <w:kern w:val="22"/>
              <w:szCs w:val="22"/>
              <w:lang w:val="fr-CA"/>
            </w:rPr>
            <w:t>ORGANE SUBSIDIAIRE CHARGÉ de FOURNIR      DES AVIS SCIENTIFIQUES, TECHNIQUES ET      TECHNOLOGIQUE</w:t>
          </w:r>
          <w:r w:rsidR="00E6616D">
            <w:rPr>
              <w:kern w:val="22"/>
              <w:szCs w:val="22"/>
              <w:lang w:val="fr-CA"/>
            </w:rPr>
            <w:t>S</w:t>
          </w:r>
          <w:r w:rsidR="00E6616D" w:rsidRPr="00E6616D">
            <w:rPr>
              <w:kern w:val="22"/>
              <w:szCs w:val="22"/>
              <w:lang w:val="fr-CA"/>
            </w:rPr>
            <w:t xml:space="preserve"> </w:t>
          </w:r>
        </w:sdtContent>
      </w:sdt>
      <w:bookmarkEnd w:id="0"/>
    </w:p>
    <w:p w14:paraId="5F2E33D1" w14:textId="77777777" w:rsidR="00E6616D" w:rsidRPr="00BC4B45" w:rsidRDefault="00E6616D" w:rsidP="00E6616D">
      <w:pPr>
        <w:suppressLineNumbers/>
        <w:suppressAutoHyphens/>
        <w:kinsoku w:val="0"/>
        <w:overflowPunct w:val="0"/>
        <w:autoSpaceDE w:val="0"/>
        <w:autoSpaceDN w:val="0"/>
        <w:rPr>
          <w:snapToGrid w:val="0"/>
          <w:kern w:val="22"/>
          <w:szCs w:val="22"/>
          <w:lang w:val="fr-CA" w:eastAsia="nb-NO"/>
        </w:rPr>
      </w:pPr>
      <w:r w:rsidRPr="00BC4B45">
        <w:rPr>
          <w:snapToGrid w:val="0"/>
          <w:kern w:val="22"/>
          <w:szCs w:val="22"/>
          <w:lang w:val="fr-CA" w:eastAsia="nb-NO"/>
        </w:rPr>
        <w:t>Vingt-deuxième réunion</w:t>
      </w:r>
    </w:p>
    <w:p w14:paraId="0A86C593" w14:textId="77777777" w:rsidR="00E6616D" w:rsidRPr="00BC4B45" w:rsidRDefault="00E6616D" w:rsidP="00E6616D">
      <w:pPr>
        <w:suppressLineNumbers/>
        <w:suppressAutoHyphens/>
        <w:kinsoku w:val="0"/>
        <w:overflowPunct w:val="0"/>
        <w:autoSpaceDE w:val="0"/>
        <w:autoSpaceDN w:val="0"/>
        <w:rPr>
          <w:snapToGrid w:val="0"/>
          <w:kern w:val="22"/>
          <w:szCs w:val="22"/>
          <w:lang w:val="fr-CA" w:eastAsia="nb-NO"/>
        </w:rPr>
      </w:pPr>
      <w:r w:rsidRPr="00BC4B45">
        <w:rPr>
          <w:snapToGrid w:val="0"/>
          <w:kern w:val="22"/>
          <w:szCs w:val="22"/>
          <w:lang w:val="fr-CA" w:eastAsia="nb-NO"/>
        </w:rPr>
        <w:t>Montréal, Canada, 2-7 juillet 2018</w:t>
      </w:r>
    </w:p>
    <w:p w14:paraId="3CC277C2" w14:textId="11CA5AB2" w:rsidR="00CA6B87" w:rsidRPr="00E6616D" w:rsidRDefault="00E6616D" w:rsidP="00E6616D">
      <w:pPr>
        <w:rPr>
          <w:snapToGrid w:val="0"/>
          <w:kern w:val="22"/>
          <w:szCs w:val="22"/>
          <w:lang w:val="fr-CA" w:eastAsia="nb-NO"/>
        </w:rPr>
      </w:pPr>
      <w:r w:rsidRPr="00BC4B45">
        <w:rPr>
          <w:snapToGrid w:val="0"/>
          <w:kern w:val="22"/>
          <w:szCs w:val="22"/>
          <w:lang w:val="fr-CA" w:eastAsia="nb-NO"/>
        </w:rPr>
        <w:t xml:space="preserve">Point </w:t>
      </w:r>
      <w:r>
        <w:rPr>
          <w:snapToGrid w:val="0"/>
          <w:kern w:val="22"/>
          <w:szCs w:val="22"/>
          <w:lang w:val="fr-CA" w:eastAsia="nb-NO"/>
        </w:rPr>
        <w:t>12</w:t>
      </w:r>
      <w:r w:rsidRPr="00BC4B45">
        <w:rPr>
          <w:snapToGrid w:val="0"/>
          <w:kern w:val="22"/>
          <w:szCs w:val="22"/>
          <w:lang w:val="fr-CA" w:eastAsia="nb-NO"/>
        </w:rPr>
        <w:t xml:space="preserve"> de l’ordre du jour provisoire</w:t>
      </w:r>
      <w:r w:rsidR="00A04FF3">
        <w:rPr>
          <w:snapToGrid w:val="0"/>
          <w:kern w:val="22"/>
          <w:szCs w:val="22"/>
          <w:lang w:val="fr-CA" w:eastAsia="nb-NO"/>
        </w:rPr>
        <w:t>**</w:t>
      </w:r>
    </w:p>
    <w:p w14:paraId="0B791782" w14:textId="04EF9A70" w:rsidR="00EF3973" w:rsidRPr="00052024" w:rsidRDefault="009104C7" w:rsidP="00540797">
      <w:pPr>
        <w:pStyle w:val="Titre2"/>
        <w:rPr>
          <w:b w:val="0"/>
          <w:i/>
          <w:lang w:val="fr-CA"/>
        </w:rPr>
      </w:pPr>
      <w:r w:rsidRPr="00052024">
        <w:rPr>
          <w:snapToGrid w:val="0"/>
          <w:kern w:val="22"/>
          <w:szCs w:val="22"/>
          <w:lang w:val="fr-CA"/>
        </w:rPr>
        <w:t>DEUXIÈME PROGRAMME DE TRAVAIL DE LA PLATEFORME INTERGOUVERNEMENTALE SUR LA BIODIVERSITÉ ET LES SERVICES ÉCOSYSTÉMIQUES</w:t>
      </w:r>
      <w:r w:rsidR="00EF3973" w:rsidRPr="00052024">
        <w:rPr>
          <w:rStyle w:val="Appelnotedebasdep"/>
          <w:snapToGrid w:val="0"/>
          <w:lang w:val="fr-CA"/>
        </w:rPr>
        <w:footnoteReference w:id="1"/>
      </w:r>
    </w:p>
    <w:p w14:paraId="3F879B63" w14:textId="20EBDD01" w:rsidR="00540797" w:rsidRPr="00052024" w:rsidRDefault="009104C7" w:rsidP="00540797">
      <w:pPr>
        <w:pStyle w:val="Titre2"/>
        <w:rPr>
          <w:b w:val="0"/>
          <w:i/>
          <w:lang w:val="fr-CA"/>
        </w:rPr>
      </w:pPr>
      <w:r w:rsidRPr="00052024">
        <w:rPr>
          <w:b w:val="0"/>
          <w:i/>
          <w:lang w:val="fr-CA"/>
        </w:rPr>
        <w:t>Note de la Secrétaire exécutive</w:t>
      </w:r>
    </w:p>
    <w:p w14:paraId="5060F18A" w14:textId="54D95500" w:rsidR="00540797" w:rsidRPr="00052024" w:rsidRDefault="00540797" w:rsidP="003E3A6F">
      <w:pPr>
        <w:pStyle w:val="Titre1"/>
        <w:rPr>
          <w:lang w:val="fr-CA"/>
        </w:rPr>
      </w:pPr>
      <w:r w:rsidRPr="00052024">
        <w:rPr>
          <w:lang w:val="fr-CA"/>
        </w:rPr>
        <w:t xml:space="preserve">I. </w:t>
      </w:r>
      <w:r w:rsidR="005804BA" w:rsidRPr="00052024">
        <w:rPr>
          <w:lang w:val="fr-CA"/>
        </w:rPr>
        <w:tab/>
      </w:r>
      <w:r w:rsidR="00052024">
        <w:rPr>
          <w:lang w:val="fr-CA"/>
        </w:rPr>
        <w:t>CONTEXTE</w:t>
      </w:r>
    </w:p>
    <w:p w14:paraId="321F2D66" w14:textId="2C4CAB65" w:rsidR="00C23FAC" w:rsidRPr="00052024" w:rsidRDefault="009104C7" w:rsidP="003E3A6F">
      <w:pPr>
        <w:pStyle w:val="StylePara1HeadingsCSTimesNewRoman"/>
        <w:rPr>
          <w:rFonts w:ascii="Times New Roman" w:hAnsi="Times New Roman"/>
          <w:lang w:val="fr-CA"/>
        </w:rPr>
      </w:pPr>
      <w:r w:rsidRPr="00052024">
        <w:rPr>
          <w:rFonts w:ascii="Times New Roman" w:hAnsi="Times New Roman"/>
          <w:lang w:val="fr-CA"/>
        </w:rPr>
        <w:t>Dans sa décision</w:t>
      </w:r>
      <w:r w:rsidR="007A4CE1" w:rsidRPr="00052024">
        <w:rPr>
          <w:rFonts w:ascii="Times New Roman" w:hAnsi="Times New Roman"/>
          <w:lang w:val="fr-CA"/>
        </w:rPr>
        <w:t xml:space="preserve"> </w:t>
      </w:r>
      <w:hyperlink r:id="rId11" w:history="1">
        <w:r w:rsidR="007A4CE1" w:rsidRPr="00052024">
          <w:rPr>
            <w:rStyle w:val="Lienhypertexte"/>
            <w:rFonts w:ascii="Times New Roman" w:hAnsi="Times New Roman"/>
            <w:lang w:val="fr-CA"/>
          </w:rPr>
          <w:t>XII/25</w:t>
        </w:r>
      </w:hyperlink>
      <w:r w:rsidR="007A4CE1" w:rsidRPr="00052024">
        <w:rPr>
          <w:rFonts w:ascii="Times New Roman" w:hAnsi="Times New Roman"/>
          <w:lang w:val="fr-CA"/>
        </w:rPr>
        <w:t xml:space="preserve">, </w:t>
      </w:r>
      <w:r w:rsidRPr="00052024">
        <w:rPr>
          <w:rFonts w:ascii="Times New Roman" w:hAnsi="Times New Roman"/>
          <w:lang w:val="fr-CA"/>
        </w:rPr>
        <w:t xml:space="preserve">la Conférence des Parties a décidé que l’Organe subsidiaire chargé de fournir des avis scientifiques, techniques et technologiques  </w:t>
      </w:r>
      <w:r w:rsidR="00C23FAC" w:rsidRPr="00052024">
        <w:rPr>
          <w:rFonts w:ascii="Times New Roman" w:hAnsi="Times New Roman"/>
          <w:lang w:val="fr-CA"/>
        </w:rPr>
        <w:t>:</w:t>
      </w:r>
    </w:p>
    <w:p w14:paraId="711D7BF7" w14:textId="1D8050BC" w:rsidR="007A4CE1" w:rsidRPr="00052024" w:rsidRDefault="009104C7" w:rsidP="00DB236B">
      <w:pPr>
        <w:pStyle w:val="Para1"/>
        <w:numPr>
          <w:ilvl w:val="0"/>
          <w:numId w:val="0"/>
        </w:numPr>
        <w:tabs>
          <w:tab w:val="num" w:pos="720"/>
        </w:tabs>
        <w:ind w:firstLine="709"/>
        <w:rPr>
          <w:szCs w:val="22"/>
          <w:lang w:val="fr-CA"/>
        </w:rPr>
      </w:pPr>
      <w:r w:rsidRPr="00052024">
        <w:rPr>
          <w:szCs w:val="22"/>
          <w:lang w:val="fr-CA"/>
        </w:rPr>
        <w:t>a</w:t>
      </w:r>
      <w:r w:rsidR="00C23FAC" w:rsidRPr="00052024">
        <w:rPr>
          <w:szCs w:val="22"/>
          <w:lang w:val="fr-CA"/>
        </w:rPr>
        <w:t>)</w:t>
      </w:r>
      <w:r w:rsidR="00DB236B" w:rsidRPr="00052024">
        <w:rPr>
          <w:szCs w:val="22"/>
          <w:lang w:val="fr-CA"/>
        </w:rPr>
        <w:tab/>
      </w:r>
      <w:r w:rsidR="004763D5" w:rsidRPr="00052024">
        <w:rPr>
          <w:szCs w:val="22"/>
          <w:lang w:val="fr-CA"/>
        </w:rPr>
        <w:t>P</w:t>
      </w:r>
      <w:r w:rsidRPr="00052024">
        <w:rPr>
          <w:lang w:val="fr-CA"/>
        </w:rPr>
        <w:t>résentera à la Conférence des Parties, pour approbation, toute demande pour le prochain programme de travail de la Plateforme intergouvernementale scientifique et politique sur la biodiversité et les services écosystémiques, et qu’il pourra préparer des recommandations à l’intention de la Conférence des Parties en ce qui concerne le programme de travail, sur des questions relevant du mandat qui lui a été confié par la Conférence des Parties, en tenant compte du programme de travail pluriannuel de la Conférence des Parties, du Plan stratégique 2011-2020 pour la diversité biologique, des communications des Parties et d’autres informations pertinentes (paragraphe</w:t>
      </w:r>
      <w:r w:rsidR="007A4CE1" w:rsidRPr="00052024">
        <w:rPr>
          <w:szCs w:val="22"/>
          <w:lang w:val="fr-CA"/>
        </w:rPr>
        <w:t xml:space="preserve"> 1)</w:t>
      </w:r>
      <w:r w:rsidR="00C23FAC" w:rsidRPr="00052024">
        <w:rPr>
          <w:szCs w:val="22"/>
          <w:lang w:val="fr-CA"/>
        </w:rPr>
        <w:t>;</w:t>
      </w:r>
    </w:p>
    <w:p w14:paraId="1329B1BD" w14:textId="7AD5F80A" w:rsidR="00C23FAC" w:rsidRPr="00052024" w:rsidRDefault="00C23FAC" w:rsidP="00DB236B">
      <w:pPr>
        <w:pStyle w:val="Para1"/>
        <w:numPr>
          <w:ilvl w:val="0"/>
          <w:numId w:val="0"/>
        </w:numPr>
        <w:tabs>
          <w:tab w:val="num" w:pos="720"/>
        </w:tabs>
        <w:ind w:firstLine="709"/>
        <w:rPr>
          <w:szCs w:val="22"/>
          <w:lang w:val="fr-CA"/>
        </w:rPr>
      </w:pPr>
      <w:r w:rsidRPr="00052024">
        <w:rPr>
          <w:szCs w:val="22"/>
          <w:lang w:val="fr-CA"/>
        </w:rPr>
        <w:t>b)</w:t>
      </w:r>
      <w:r w:rsidR="00DB236B" w:rsidRPr="00052024">
        <w:rPr>
          <w:szCs w:val="22"/>
          <w:lang w:val="fr-CA"/>
        </w:rPr>
        <w:tab/>
      </w:r>
      <w:r w:rsidR="004A159C">
        <w:rPr>
          <w:szCs w:val="22"/>
          <w:lang w:val="fr-CA"/>
        </w:rPr>
        <w:t>« P</w:t>
      </w:r>
      <w:r w:rsidR="004A159C" w:rsidRPr="004A159C">
        <w:rPr>
          <w:lang w:val="fr-CA"/>
        </w:rPr>
        <w:t>eut échanger des informations scientifiques et techniques avec la Plateforme intergouvernementale scientifique et politique sur la biodiversité et les services écosystémiques, lorsque le sujet relève du mandat qui lui a été confié par la Conférence des Parties</w:t>
      </w:r>
      <w:r w:rsidR="005804BA" w:rsidRPr="00052024">
        <w:rPr>
          <w:szCs w:val="22"/>
          <w:lang w:val="fr-CA"/>
        </w:rPr>
        <w:t>.</w:t>
      </w:r>
      <w:r w:rsidR="004A159C">
        <w:rPr>
          <w:szCs w:val="22"/>
          <w:lang w:val="fr-CA"/>
        </w:rPr>
        <w:t> »</w:t>
      </w:r>
    </w:p>
    <w:p w14:paraId="41944EA4" w14:textId="77A3C037" w:rsidR="007A4CE1" w:rsidRPr="00052024" w:rsidRDefault="004A159C" w:rsidP="003E3A6F">
      <w:pPr>
        <w:pStyle w:val="StylePara1HeadingsCSTimesNewRoman"/>
        <w:rPr>
          <w:rFonts w:ascii="Times New Roman" w:hAnsi="Times New Roman"/>
          <w:lang w:val="fr-CA"/>
        </w:rPr>
      </w:pPr>
      <w:r>
        <w:rPr>
          <w:rFonts w:ascii="Times New Roman" w:hAnsi="Times New Roman"/>
          <w:lang w:val="fr-CA"/>
        </w:rPr>
        <w:t>Au paragraphe 5 b) de</w:t>
      </w:r>
      <w:r w:rsidR="004763D5" w:rsidRPr="00052024">
        <w:rPr>
          <w:rFonts w:ascii="Times New Roman" w:hAnsi="Times New Roman"/>
          <w:lang w:val="fr-CA"/>
        </w:rPr>
        <w:t xml:space="preserve"> c</w:t>
      </w:r>
      <w:r>
        <w:rPr>
          <w:rFonts w:ascii="Times New Roman" w:hAnsi="Times New Roman"/>
          <w:lang w:val="fr-CA"/>
        </w:rPr>
        <w:t>ette même décision</w:t>
      </w:r>
      <w:r w:rsidR="004763D5" w:rsidRPr="00052024">
        <w:rPr>
          <w:rFonts w:ascii="Times New Roman" w:hAnsi="Times New Roman"/>
          <w:lang w:val="fr-CA"/>
        </w:rPr>
        <w:t xml:space="preserve">, la Conférence des Parties a </w:t>
      </w:r>
      <w:r>
        <w:rPr>
          <w:rFonts w:ascii="Times New Roman" w:hAnsi="Times New Roman"/>
          <w:lang w:val="fr-CA"/>
        </w:rPr>
        <w:t>demandé</w:t>
      </w:r>
      <w:r w:rsidR="004763D5" w:rsidRPr="00052024">
        <w:rPr>
          <w:rFonts w:ascii="Times New Roman" w:hAnsi="Times New Roman"/>
          <w:lang w:val="fr-CA"/>
        </w:rPr>
        <w:t xml:space="preserve"> à la </w:t>
      </w:r>
      <w:r>
        <w:rPr>
          <w:rFonts w:ascii="Times New Roman" w:hAnsi="Times New Roman"/>
          <w:lang w:val="fr-CA"/>
        </w:rPr>
        <w:t xml:space="preserve">Secrétaire exécutive </w:t>
      </w:r>
      <w:r w:rsidR="00F91790" w:rsidRPr="00052024">
        <w:rPr>
          <w:rFonts w:ascii="Times New Roman" w:hAnsi="Times New Roman"/>
          <w:lang w:val="fr-CA"/>
        </w:rPr>
        <w:t xml:space="preserve">de compiler des informations, selon que de besoin, pour </w:t>
      </w:r>
      <w:r>
        <w:rPr>
          <w:rFonts w:ascii="Times New Roman" w:hAnsi="Times New Roman"/>
          <w:lang w:val="fr-CA"/>
        </w:rPr>
        <w:t>examen par l’Organe subsidiaire</w:t>
      </w:r>
      <w:r w:rsidR="00F91790" w:rsidRPr="00052024">
        <w:rPr>
          <w:rFonts w:ascii="Times New Roman" w:hAnsi="Times New Roman"/>
          <w:lang w:val="fr-CA"/>
        </w:rPr>
        <w:t>, e</w:t>
      </w:r>
      <w:r>
        <w:rPr>
          <w:rFonts w:ascii="Times New Roman" w:hAnsi="Times New Roman"/>
          <w:lang w:val="fr-CA"/>
        </w:rPr>
        <w:t>n ce qui concerne ces questions</w:t>
      </w:r>
      <w:r w:rsidR="00C23FAC" w:rsidRPr="00052024">
        <w:rPr>
          <w:rFonts w:ascii="Times New Roman" w:hAnsi="Times New Roman"/>
          <w:lang w:val="fr-CA"/>
        </w:rPr>
        <w:t>.</w:t>
      </w:r>
    </w:p>
    <w:p w14:paraId="7199BF25" w14:textId="4288375B" w:rsidR="007A4CE1" w:rsidRPr="00052024" w:rsidRDefault="00F91790" w:rsidP="003E3A6F">
      <w:pPr>
        <w:pStyle w:val="StylePara1HeadingsCSTimesNewRoman"/>
        <w:rPr>
          <w:rFonts w:ascii="Times New Roman" w:hAnsi="Times New Roman"/>
          <w:lang w:val="fr-CA"/>
        </w:rPr>
      </w:pPr>
      <w:r w:rsidRPr="00052024">
        <w:rPr>
          <w:rFonts w:ascii="Times New Roman" w:hAnsi="Times New Roman"/>
          <w:lang w:val="fr-CA"/>
        </w:rPr>
        <w:t xml:space="preserve">La Conférence des Parties, à sa treizième réunion, </w:t>
      </w:r>
      <w:r w:rsidR="004A159C">
        <w:rPr>
          <w:rFonts w:ascii="Times New Roman" w:hAnsi="Times New Roman"/>
          <w:lang w:val="fr-CA"/>
        </w:rPr>
        <w:t>prie l’Organe subsidiaire</w:t>
      </w:r>
      <w:r w:rsidR="00B40019" w:rsidRPr="00052024">
        <w:rPr>
          <w:rFonts w:ascii="Times New Roman" w:hAnsi="Times New Roman"/>
          <w:lang w:val="fr-CA"/>
        </w:rPr>
        <w:t xml:space="preserve">, conformément à la procédure établie à la décision XII/25, de dresser une liste de requêtes pour le deuxième programme de travail de la Plateforme </w:t>
      </w:r>
      <w:r w:rsidR="007A4CE1" w:rsidRPr="00052024">
        <w:rPr>
          <w:rFonts w:ascii="Times New Roman" w:hAnsi="Times New Roman"/>
          <w:lang w:val="fr-CA"/>
        </w:rPr>
        <w:t>(</w:t>
      </w:r>
      <w:r w:rsidR="003A60D1">
        <w:rPr>
          <w:rFonts w:ascii="Times New Roman" w:hAnsi="Times New Roman"/>
          <w:lang w:val="fr-CA"/>
        </w:rPr>
        <w:t xml:space="preserve">paragraphe 11 de la </w:t>
      </w:r>
      <w:r w:rsidR="007A4CE1" w:rsidRPr="00052024">
        <w:rPr>
          <w:rFonts w:ascii="Times New Roman" w:hAnsi="Times New Roman"/>
          <w:lang w:val="fr-CA"/>
        </w:rPr>
        <w:t>d</w:t>
      </w:r>
      <w:r w:rsidR="00B40019" w:rsidRPr="00052024">
        <w:rPr>
          <w:rFonts w:ascii="Times New Roman" w:hAnsi="Times New Roman"/>
          <w:lang w:val="fr-CA"/>
        </w:rPr>
        <w:t>é</w:t>
      </w:r>
      <w:r w:rsidR="007A4CE1" w:rsidRPr="00052024">
        <w:rPr>
          <w:rFonts w:ascii="Times New Roman" w:hAnsi="Times New Roman"/>
          <w:lang w:val="fr-CA"/>
        </w:rPr>
        <w:t xml:space="preserve">cision </w:t>
      </w:r>
      <w:hyperlink r:id="rId12" w:history="1">
        <w:r w:rsidR="007A4CE1" w:rsidRPr="00052024">
          <w:rPr>
            <w:rStyle w:val="Lienhypertexte"/>
            <w:rFonts w:ascii="Times New Roman" w:hAnsi="Times New Roman"/>
            <w:lang w:val="fr-CA"/>
          </w:rPr>
          <w:t>XIII/29</w:t>
        </w:r>
      </w:hyperlink>
      <w:r w:rsidR="007A4CE1" w:rsidRPr="00052024">
        <w:rPr>
          <w:rFonts w:ascii="Times New Roman" w:hAnsi="Times New Roman"/>
          <w:lang w:val="fr-CA"/>
        </w:rPr>
        <w:t>).</w:t>
      </w:r>
    </w:p>
    <w:p w14:paraId="3246D8EA" w14:textId="10A822B7" w:rsidR="007A4CE1" w:rsidRPr="00052024" w:rsidRDefault="004A159C" w:rsidP="003E3A6F">
      <w:pPr>
        <w:pStyle w:val="StylePara1HeadingsCSTimesNewRoman"/>
        <w:rPr>
          <w:rFonts w:ascii="Times New Roman" w:hAnsi="Times New Roman"/>
          <w:lang w:val="fr-CA"/>
        </w:rPr>
      </w:pPr>
      <w:r>
        <w:rPr>
          <w:rFonts w:ascii="Times New Roman" w:hAnsi="Times New Roman"/>
          <w:lang w:val="fr-CA"/>
        </w:rPr>
        <w:t>Donnant suite</w:t>
      </w:r>
      <w:r w:rsidR="00B40019" w:rsidRPr="00052024">
        <w:rPr>
          <w:rFonts w:ascii="Times New Roman" w:hAnsi="Times New Roman"/>
          <w:lang w:val="fr-CA"/>
        </w:rPr>
        <w:t xml:space="preserve"> à la </w:t>
      </w:r>
      <w:r w:rsidR="00682AD5" w:rsidRPr="00052024">
        <w:rPr>
          <w:rFonts w:ascii="Times New Roman" w:hAnsi="Times New Roman"/>
          <w:lang w:val="fr-CA"/>
        </w:rPr>
        <w:t>dé</w:t>
      </w:r>
      <w:r w:rsidR="00B40019" w:rsidRPr="00052024">
        <w:rPr>
          <w:rFonts w:ascii="Times New Roman" w:hAnsi="Times New Roman"/>
          <w:lang w:val="fr-CA"/>
        </w:rPr>
        <w:t>cision</w:t>
      </w:r>
      <w:r w:rsidR="003255FE" w:rsidRPr="00052024">
        <w:rPr>
          <w:rFonts w:ascii="Times New Roman" w:hAnsi="Times New Roman"/>
          <w:lang w:val="fr-CA"/>
        </w:rPr>
        <w:t xml:space="preserve"> </w:t>
      </w:r>
      <w:hyperlink r:id="rId13" w:history="1">
        <w:r w:rsidR="003255FE" w:rsidRPr="00052024">
          <w:rPr>
            <w:rStyle w:val="Lienhypertexte"/>
            <w:rFonts w:ascii="Times New Roman" w:hAnsi="Times New Roman"/>
            <w:lang w:val="fr-CA"/>
          </w:rPr>
          <w:t>IPBES-5/3</w:t>
        </w:r>
      </w:hyperlink>
      <w:r w:rsidR="003255FE" w:rsidRPr="00052024">
        <w:rPr>
          <w:rFonts w:ascii="Times New Roman" w:hAnsi="Times New Roman"/>
          <w:lang w:val="fr-CA"/>
        </w:rPr>
        <w:t xml:space="preserve">, </w:t>
      </w:r>
      <w:r w:rsidR="003A60D1">
        <w:rPr>
          <w:rFonts w:ascii="Times New Roman" w:hAnsi="Times New Roman"/>
          <w:lang w:val="fr-CA"/>
        </w:rPr>
        <w:t>la P</w:t>
      </w:r>
      <w:r w:rsidR="00682AD5" w:rsidRPr="00052024">
        <w:rPr>
          <w:rFonts w:ascii="Times New Roman" w:hAnsi="Times New Roman"/>
          <w:lang w:val="fr-CA"/>
        </w:rPr>
        <w:t>lénière de la Plateforme intergouvernementale scientifique et politique sur la biodiversité et les services écosystémiques, à sa sixième session (Medellin, Colombie, 18-24 mars 2018)</w:t>
      </w:r>
      <w:r w:rsidR="00F34852">
        <w:rPr>
          <w:rFonts w:ascii="Times New Roman" w:hAnsi="Times New Roman"/>
          <w:lang w:val="fr-CA"/>
        </w:rPr>
        <w:t>,</w:t>
      </w:r>
      <w:r w:rsidR="00682AD5" w:rsidRPr="00052024">
        <w:rPr>
          <w:rFonts w:ascii="Times New Roman" w:hAnsi="Times New Roman"/>
          <w:lang w:val="fr-CA"/>
        </w:rPr>
        <w:t xml:space="preserve"> a mis sur pied</w:t>
      </w:r>
      <w:r w:rsidR="006A1E7C" w:rsidRPr="00052024">
        <w:rPr>
          <w:rFonts w:ascii="Times New Roman" w:hAnsi="Times New Roman"/>
          <w:lang w:val="fr-CA"/>
        </w:rPr>
        <w:t xml:space="preserve"> le processus de développement a</w:t>
      </w:r>
      <w:r w:rsidR="00682AD5" w:rsidRPr="00052024">
        <w:rPr>
          <w:rFonts w:ascii="Times New Roman" w:hAnsi="Times New Roman"/>
          <w:lang w:val="fr-CA"/>
        </w:rPr>
        <w:t xml:space="preserve">u cadre stratégique à </w:t>
      </w:r>
      <w:r w:rsidR="00ED3FAC" w:rsidRPr="00052024">
        <w:rPr>
          <w:rFonts w:ascii="Times New Roman" w:hAnsi="Times New Roman"/>
          <w:lang w:val="fr-CA"/>
        </w:rPr>
        <w:t>l’</w:t>
      </w:r>
      <w:r w:rsidR="00682AD5" w:rsidRPr="00052024">
        <w:rPr>
          <w:rFonts w:ascii="Times New Roman" w:hAnsi="Times New Roman"/>
          <w:lang w:val="fr-CA"/>
        </w:rPr>
        <w:t xml:space="preserve">horizon </w:t>
      </w:r>
      <w:r w:rsidR="00682AD5" w:rsidRPr="00052024">
        <w:rPr>
          <w:rFonts w:ascii="Times New Roman" w:hAnsi="Times New Roman"/>
          <w:lang w:val="fr-CA"/>
        </w:rPr>
        <w:lastRenderedPageBreak/>
        <w:t>2030 et les éléments du programme de travail à horizon mobile de la Plateforme</w:t>
      </w:r>
      <w:r w:rsidR="006A1E7C" w:rsidRPr="00052024">
        <w:rPr>
          <w:rFonts w:ascii="Times New Roman" w:hAnsi="Times New Roman"/>
          <w:vertAlign w:val="superscript"/>
        </w:rPr>
        <w:footnoteReference w:id="2"/>
      </w:r>
      <w:r>
        <w:rPr>
          <w:rFonts w:ascii="Times New Roman" w:hAnsi="Times New Roman"/>
          <w:lang w:val="fr-CA"/>
        </w:rPr>
        <w:t xml:space="preserve">, que la Plénière devrait examiner et approuver </w:t>
      </w:r>
      <w:r w:rsidR="00883768">
        <w:rPr>
          <w:rFonts w:ascii="Times New Roman" w:hAnsi="Times New Roman"/>
          <w:lang w:val="fr-CA"/>
        </w:rPr>
        <w:t>à sa septième session</w:t>
      </w:r>
      <w:r w:rsidR="00682AD5" w:rsidRPr="00052024">
        <w:rPr>
          <w:rFonts w:ascii="Times New Roman" w:hAnsi="Times New Roman"/>
          <w:lang w:val="fr-CA"/>
        </w:rPr>
        <w:t>.</w:t>
      </w:r>
    </w:p>
    <w:p w14:paraId="62FC6731" w14:textId="7F9B47C2" w:rsidR="007A4CE1" w:rsidRPr="00052024" w:rsidRDefault="004C2EE1" w:rsidP="003E3A6F">
      <w:pPr>
        <w:pStyle w:val="StylePara1HeadingsCSTimesNewRoman"/>
        <w:rPr>
          <w:rFonts w:ascii="Times New Roman" w:hAnsi="Times New Roman"/>
          <w:szCs w:val="22"/>
          <w:lang w:val="fr-CA"/>
        </w:rPr>
      </w:pPr>
      <w:r w:rsidRPr="00052024">
        <w:rPr>
          <w:rFonts w:ascii="Times New Roman" w:hAnsi="Times New Roman"/>
          <w:szCs w:val="22"/>
          <w:lang w:val="fr-CA"/>
        </w:rPr>
        <w:t>L’Organe subsidiaire prévoit développer une recommandation contenant la liste des requêtes pour le programme de travail de la Plateforme pou</w:t>
      </w:r>
      <w:r w:rsidR="003C1A81">
        <w:rPr>
          <w:rFonts w:ascii="Times New Roman" w:hAnsi="Times New Roman"/>
          <w:szCs w:val="22"/>
          <w:lang w:val="fr-CA"/>
        </w:rPr>
        <w:t>r examen par la Conférence des P</w:t>
      </w:r>
      <w:r w:rsidRPr="00052024">
        <w:rPr>
          <w:rFonts w:ascii="Times New Roman" w:hAnsi="Times New Roman"/>
          <w:szCs w:val="22"/>
          <w:lang w:val="fr-CA"/>
        </w:rPr>
        <w:t>arties à sa quatorzième réunion</w:t>
      </w:r>
      <w:r w:rsidR="003C1A81">
        <w:rPr>
          <w:rFonts w:ascii="Times New Roman" w:hAnsi="Times New Roman"/>
          <w:szCs w:val="22"/>
          <w:lang w:val="fr-CA"/>
        </w:rPr>
        <w:t>. Comme l’indique la décision XII</w:t>
      </w:r>
      <w:r w:rsidRPr="00052024">
        <w:rPr>
          <w:rFonts w:ascii="Times New Roman" w:hAnsi="Times New Roman"/>
          <w:szCs w:val="22"/>
          <w:lang w:val="fr-CA"/>
        </w:rPr>
        <w:t xml:space="preserve">/25, l’Organe subsidiaire peut, dans le cadre de son mandat, décider de transmettre à la Plateforme intergouvernementale scientifique et politique sur la biodiversité et les services écosystémiques </w:t>
      </w:r>
      <w:r w:rsidR="00940FB4" w:rsidRPr="00052024">
        <w:rPr>
          <w:rFonts w:ascii="Times New Roman" w:hAnsi="Times New Roman"/>
          <w:szCs w:val="22"/>
          <w:lang w:val="fr-CA"/>
        </w:rPr>
        <w:t>toute information scientifique ou technique</w:t>
      </w:r>
      <w:r w:rsidR="003C1A81">
        <w:rPr>
          <w:rFonts w:ascii="Times New Roman" w:hAnsi="Times New Roman"/>
          <w:szCs w:val="22"/>
          <w:lang w:val="fr-CA"/>
        </w:rPr>
        <w:t xml:space="preserve"> d</w:t>
      </w:r>
      <w:r w:rsidR="00940FB4" w:rsidRPr="00052024">
        <w:rPr>
          <w:rFonts w:ascii="Times New Roman" w:hAnsi="Times New Roman"/>
          <w:szCs w:val="22"/>
          <w:lang w:val="fr-CA"/>
        </w:rPr>
        <w:t xml:space="preserve">écoulant de l’examen </w:t>
      </w:r>
      <w:r w:rsidR="003C1A81">
        <w:rPr>
          <w:rFonts w:ascii="Times New Roman" w:hAnsi="Times New Roman"/>
          <w:szCs w:val="22"/>
          <w:lang w:val="fr-CA"/>
        </w:rPr>
        <w:t>de ce</w:t>
      </w:r>
      <w:r w:rsidR="00940FB4" w:rsidRPr="00052024">
        <w:rPr>
          <w:rFonts w:ascii="Times New Roman" w:hAnsi="Times New Roman"/>
          <w:szCs w:val="22"/>
          <w:lang w:val="fr-CA"/>
        </w:rPr>
        <w:t xml:space="preserve"> point à l’ordre du jour.</w:t>
      </w:r>
    </w:p>
    <w:p w14:paraId="080FA902" w14:textId="6664A44B" w:rsidR="007A4CE1" w:rsidRPr="00052024" w:rsidRDefault="00940FB4" w:rsidP="003E3A6F">
      <w:pPr>
        <w:pStyle w:val="Para1"/>
        <w:tabs>
          <w:tab w:val="clear" w:pos="360"/>
        </w:tabs>
        <w:rPr>
          <w:lang w:val="fr-CA"/>
        </w:rPr>
      </w:pPr>
      <w:r w:rsidRPr="00052024">
        <w:rPr>
          <w:lang w:val="fr-CA"/>
        </w:rPr>
        <w:t>L</w:t>
      </w:r>
      <w:r w:rsidR="00883768">
        <w:rPr>
          <w:lang w:val="fr-CA"/>
        </w:rPr>
        <w:t>e Secrétariat, dans cette</w:t>
      </w:r>
      <w:r w:rsidRPr="00052024">
        <w:rPr>
          <w:lang w:val="fr-CA"/>
        </w:rPr>
        <w:t xml:space="preserve"> présente note</w:t>
      </w:r>
      <w:r w:rsidR="00C21FF1" w:rsidRPr="00052024">
        <w:rPr>
          <w:vertAlign w:val="superscript"/>
          <w:lang w:val="fr-CA"/>
        </w:rPr>
        <w:footnoteReference w:id="3"/>
      </w:r>
      <w:r w:rsidR="00883768">
        <w:rPr>
          <w:lang w:val="fr-CA"/>
        </w:rPr>
        <w:t>,</w:t>
      </w:r>
      <w:r w:rsidR="007A4CE1" w:rsidRPr="00052024">
        <w:rPr>
          <w:lang w:val="fr-CA"/>
        </w:rPr>
        <w:t xml:space="preserve"> </w:t>
      </w:r>
      <w:r w:rsidRPr="00052024">
        <w:rPr>
          <w:lang w:val="fr-CA"/>
        </w:rPr>
        <w:t xml:space="preserve">examine l’utilisation par la Convention des </w:t>
      </w:r>
      <w:r w:rsidR="00D959B3" w:rsidRPr="00052024">
        <w:rPr>
          <w:lang w:val="fr-CA"/>
        </w:rPr>
        <w:t>résultats concrets</w:t>
      </w:r>
      <w:r w:rsidR="00ED3FAC" w:rsidRPr="00052024">
        <w:rPr>
          <w:lang w:val="fr-CA"/>
        </w:rPr>
        <w:t xml:space="preserve"> </w:t>
      </w:r>
      <w:r w:rsidRPr="00052024">
        <w:rPr>
          <w:lang w:val="fr-CA"/>
        </w:rPr>
        <w:t>du programme de travail d</w:t>
      </w:r>
      <w:r w:rsidR="003C1A81">
        <w:rPr>
          <w:lang w:val="fr-CA"/>
        </w:rPr>
        <w:t>e la</w:t>
      </w:r>
      <w:r w:rsidRPr="00052024">
        <w:rPr>
          <w:lang w:val="fr-CA"/>
        </w:rPr>
        <w:t xml:space="preserve"> Plateforme intergouvernementale scientifique et politique sur la biodiversité et les se</w:t>
      </w:r>
      <w:r w:rsidR="00883768">
        <w:rPr>
          <w:lang w:val="fr-CA"/>
        </w:rPr>
        <w:t>rvices écosystémiques (partie I</w:t>
      </w:r>
      <w:r w:rsidRPr="00052024">
        <w:rPr>
          <w:lang w:val="fr-CA"/>
        </w:rPr>
        <w:t xml:space="preserve">), </w:t>
      </w:r>
      <w:r w:rsidR="00B531CB" w:rsidRPr="00052024">
        <w:rPr>
          <w:lang w:val="fr-CA"/>
        </w:rPr>
        <w:t xml:space="preserve">résume le processus d’élaboration du cadre stratégique à </w:t>
      </w:r>
      <w:r w:rsidR="00ED3FAC" w:rsidRPr="00052024">
        <w:rPr>
          <w:lang w:val="fr-CA"/>
        </w:rPr>
        <w:t>l’</w:t>
      </w:r>
      <w:r w:rsidR="00B531CB" w:rsidRPr="00052024">
        <w:rPr>
          <w:lang w:val="fr-CA"/>
        </w:rPr>
        <w:t>horizon 2030 et les éléments du programme de travail à horizon m</w:t>
      </w:r>
      <w:r w:rsidR="00883768">
        <w:rPr>
          <w:lang w:val="fr-CA"/>
        </w:rPr>
        <w:t xml:space="preserve">obile de la Plateforme (partie </w:t>
      </w:r>
      <w:r w:rsidR="00B531CB" w:rsidRPr="00052024">
        <w:rPr>
          <w:lang w:val="fr-CA"/>
        </w:rPr>
        <w:t xml:space="preserve">II) et propose des éléments d’examen en vue de la préparation de la liste de requêtes de la Convention concernant le programme de travail de la </w:t>
      </w:r>
      <w:r w:rsidR="00883768">
        <w:rPr>
          <w:lang w:val="fr-CA"/>
        </w:rPr>
        <w:t>Plateforme après 2019 (partie III</w:t>
      </w:r>
      <w:r w:rsidR="00B531CB" w:rsidRPr="00052024">
        <w:rPr>
          <w:lang w:val="fr-CA"/>
        </w:rPr>
        <w:t xml:space="preserve">). Elle présente également une série de conclusions (partie </w:t>
      </w:r>
      <w:r w:rsidR="00883768">
        <w:rPr>
          <w:lang w:val="fr-CA"/>
        </w:rPr>
        <w:t>I</w:t>
      </w:r>
      <w:r w:rsidR="00B531CB" w:rsidRPr="00052024">
        <w:rPr>
          <w:lang w:val="fr-CA"/>
        </w:rPr>
        <w:t xml:space="preserve">V) ainsi qu’un projet de recommandation pour examen par l’Organe subsidiaire </w:t>
      </w:r>
      <w:r w:rsidR="00D73B56">
        <w:rPr>
          <w:lang w:val="fr-CA"/>
        </w:rPr>
        <w:t xml:space="preserve"> (partie </w:t>
      </w:r>
      <w:r w:rsidR="00B531CB" w:rsidRPr="00052024">
        <w:rPr>
          <w:lang w:val="fr-CA"/>
        </w:rPr>
        <w:t>V).</w:t>
      </w:r>
      <w:r w:rsidR="007A4CE1" w:rsidRPr="00052024">
        <w:rPr>
          <w:lang w:val="fr-CA"/>
        </w:rPr>
        <w:t xml:space="preserve"> </w:t>
      </w:r>
    </w:p>
    <w:p w14:paraId="5BD35BE9" w14:textId="3DFFD053" w:rsidR="007A4CE1" w:rsidRPr="00052024" w:rsidRDefault="00FA31E7" w:rsidP="003E3A6F">
      <w:pPr>
        <w:pStyle w:val="Heading1multiline"/>
        <w:rPr>
          <w:lang w:val="fr-CA"/>
        </w:rPr>
      </w:pPr>
      <w:r w:rsidRPr="00052024">
        <w:rPr>
          <w:lang w:val="fr-CA"/>
        </w:rPr>
        <w:t xml:space="preserve">I. </w:t>
      </w:r>
      <w:r w:rsidR="00AF3EA1" w:rsidRPr="00052024">
        <w:rPr>
          <w:lang w:val="fr-CA"/>
        </w:rPr>
        <w:tab/>
      </w:r>
      <w:r w:rsidR="00B531CB" w:rsidRPr="00052024">
        <w:rPr>
          <w:lang w:val="fr-CA"/>
        </w:rPr>
        <w:t xml:space="preserve">CONTEXTE : PREMIER PROGRAMME DE TRAVAIL DE LA Plateforme intergouvernementale scientifique et politique sur la biodiversité et les services écosystémiques </w:t>
      </w:r>
      <w:r w:rsidR="009C0D46" w:rsidRPr="00052024">
        <w:rPr>
          <w:lang w:val="fr-CA"/>
        </w:rPr>
        <w:t xml:space="preserve"> ET L’UTILISATION DES PRINCIPA</w:t>
      </w:r>
      <w:r w:rsidR="00195E63" w:rsidRPr="00052024">
        <w:rPr>
          <w:lang w:val="fr-CA"/>
        </w:rPr>
        <w:t>UX</w:t>
      </w:r>
      <w:r w:rsidR="009C0D46" w:rsidRPr="00052024">
        <w:rPr>
          <w:lang w:val="fr-CA"/>
        </w:rPr>
        <w:t xml:space="preserve"> </w:t>
      </w:r>
      <w:r w:rsidR="00195E63" w:rsidRPr="00052024">
        <w:rPr>
          <w:lang w:val="fr-CA"/>
        </w:rPr>
        <w:t>RÉSULTATS CONCRETS</w:t>
      </w:r>
      <w:r w:rsidR="009C0D46" w:rsidRPr="00052024">
        <w:rPr>
          <w:lang w:val="fr-CA"/>
        </w:rPr>
        <w:t xml:space="preserve"> PAR LA CONVENTION</w:t>
      </w:r>
    </w:p>
    <w:p w14:paraId="5679DD99" w14:textId="574FF662" w:rsidR="007A4CE1" w:rsidRPr="00052024" w:rsidRDefault="00D73B56" w:rsidP="003E3A6F">
      <w:pPr>
        <w:pStyle w:val="StylePara1HeadingsCSTimesNewRoman"/>
        <w:rPr>
          <w:rFonts w:ascii="Times New Roman" w:hAnsi="Times New Roman"/>
          <w:lang w:val="fr-CA"/>
        </w:rPr>
      </w:pPr>
      <w:r>
        <w:rPr>
          <w:rFonts w:ascii="Times New Roman" w:hAnsi="Times New Roman"/>
          <w:lang w:val="fr-CA"/>
        </w:rPr>
        <w:t>Dans sa décision XXI/25, l</w:t>
      </w:r>
      <w:r w:rsidR="008C346B" w:rsidRPr="00052024">
        <w:rPr>
          <w:rFonts w:ascii="Times New Roman" w:hAnsi="Times New Roman"/>
          <w:lang w:val="fr-CA"/>
        </w:rPr>
        <w:t>a Conférence des Parties s’est réjoui de l’adoption du programme de travail d</w:t>
      </w:r>
      <w:r w:rsidR="000E2AC7">
        <w:rPr>
          <w:rFonts w:ascii="Times New Roman" w:hAnsi="Times New Roman"/>
          <w:lang w:val="fr-CA"/>
        </w:rPr>
        <w:t>e</w:t>
      </w:r>
      <w:r w:rsidR="008C346B" w:rsidRPr="00052024">
        <w:rPr>
          <w:rFonts w:ascii="Times New Roman" w:hAnsi="Times New Roman"/>
          <w:lang w:val="fr-CA"/>
        </w:rPr>
        <w:t xml:space="preserve"> la Plateforme intergouvernementale scientifique et politique sur la biodiversité</w:t>
      </w:r>
      <w:r>
        <w:rPr>
          <w:rFonts w:ascii="Times New Roman" w:hAnsi="Times New Roman"/>
          <w:lang w:val="fr-CA"/>
        </w:rPr>
        <w:t xml:space="preserve"> et les services écosystémiques</w:t>
      </w:r>
      <w:r w:rsidR="00DB236B" w:rsidRPr="00052024">
        <w:rPr>
          <w:rFonts w:ascii="Times New Roman" w:hAnsi="Times New Roman"/>
          <w:lang w:val="fr-CA"/>
        </w:rPr>
        <w:t xml:space="preserve"> </w:t>
      </w:r>
      <w:r w:rsidR="00227E93" w:rsidRPr="00052024">
        <w:rPr>
          <w:rFonts w:ascii="Times New Roman" w:hAnsi="Times New Roman"/>
          <w:lang w:val="fr-CA"/>
        </w:rPr>
        <w:t xml:space="preserve">en prenant note que l’Organe subsidiaire s’attend à </w:t>
      </w:r>
      <w:r w:rsidR="00F34852">
        <w:rPr>
          <w:rFonts w:ascii="Times New Roman" w:hAnsi="Times New Roman"/>
          <w:lang w:val="fr-CA"/>
        </w:rPr>
        <w:t>fournir</w:t>
      </w:r>
      <w:r w:rsidR="00227E93" w:rsidRPr="00052024">
        <w:rPr>
          <w:rFonts w:ascii="Times New Roman" w:hAnsi="Times New Roman"/>
          <w:lang w:val="fr-CA"/>
        </w:rPr>
        <w:t xml:space="preserve"> de l’information utile </w:t>
      </w:r>
      <w:r w:rsidR="000E2AC7">
        <w:rPr>
          <w:rFonts w:ascii="Times New Roman" w:hAnsi="Times New Roman"/>
          <w:lang w:val="fr-CA"/>
        </w:rPr>
        <w:t>et basée sur des faits pour la C</w:t>
      </w:r>
      <w:r w:rsidR="00227E93" w:rsidRPr="00052024">
        <w:rPr>
          <w:rFonts w:ascii="Times New Roman" w:hAnsi="Times New Roman"/>
          <w:lang w:val="fr-CA"/>
        </w:rPr>
        <w:t>onvention (recommandation</w:t>
      </w:r>
      <w:r w:rsidR="007A4CE1" w:rsidRPr="00052024">
        <w:rPr>
          <w:rFonts w:ascii="Times New Roman" w:hAnsi="Times New Roman"/>
          <w:lang w:val="fr-CA"/>
        </w:rPr>
        <w:t xml:space="preserve"> </w:t>
      </w:r>
      <w:hyperlink r:id="rId14" w:history="1">
        <w:r w:rsidR="007A4CE1" w:rsidRPr="00052024">
          <w:rPr>
            <w:rStyle w:val="Lienhypertexte"/>
            <w:rFonts w:ascii="Times New Roman" w:hAnsi="Times New Roman"/>
            <w:lang w:val="fr-CA"/>
          </w:rPr>
          <w:t>XVII/3</w:t>
        </w:r>
      </w:hyperlink>
      <w:r w:rsidR="007A4CE1" w:rsidRPr="00052024">
        <w:rPr>
          <w:rFonts w:ascii="Times New Roman" w:hAnsi="Times New Roman"/>
          <w:lang w:val="fr-CA"/>
        </w:rPr>
        <w:t xml:space="preserve">). </w:t>
      </w:r>
    </w:p>
    <w:p w14:paraId="1C371C43" w14:textId="182CAE4C" w:rsidR="00D54340" w:rsidRPr="00052024" w:rsidRDefault="00227E93" w:rsidP="003E3A6F">
      <w:pPr>
        <w:pStyle w:val="StylePara1HeadingsCSTimesNewRoman"/>
        <w:rPr>
          <w:rFonts w:ascii="Times New Roman" w:hAnsi="Times New Roman"/>
          <w:szCs w:val="22"/>
          <w:lang w:val="fr-CA"/>
        </w:rPr>
      </w:pPr>
      <w:r w:rsidRPr="00052024">
        <w:rPr>
          <w:rFonts w:ascii="Times New Roman" w:hAnsi="Times New Roman"/>
          <w:szCs w:val="22"/>
          <w:lang w:val="fr-CA"/>
        </w:rPr>
        <w:t xml:space="preserve">La Plateforme a établi des procédés et des mécanismes pour renforcer les capacités techniques et soutenir les processus de politiques en lien avec la </w:t>
      </w:r>
      <w:r w:rsidR="000E2AC7">
        <w:rPr>
          <w:rFonts w:ascii="Times New Roman" w:hAnsi="Times New Roman"/>
          <w:szCs w:val="22"/>
          <w:lang w:val="fr-CA"/>
        </w:rPr>
        <w:t>biodiversité</w:t>
      </w:r>
      <w:r w:rsidRPr="00052024">
        <w:rPr>
          <w:rFonts w:ascii="Times New Roman" w:hAnsi="Times New Roman"/>
          <w:szCs w:val="22"/>
          <w:lang w:val="fr-CA"/>
        </w:rPr>
        <w:t xml:space="preserve"> et les services écosystémiques de multiples façons</w:t>
      </w:r>
      <w:r w:rsidR="007A4CE1" w:rsidRPr="00052024">
        <w:rPr>
          <w:rFonts w:ascii="Times New Roman" w:hAnsi="Times New Roman"/>
          <w:szCs w:val="22"/>
          <w:lang w:val="fr-CA"/>
        </w:rPr>
        <w:t xml:space="preserve">. </w:t>
      </w:r>
    </w:p>
    <w:p w14:paraId="0943FC7A" w14:textId="36C5BE95" w:rsidR="007A4CE1" w:rsidRPr="00052024" w:rsidRDefault="000F3312" w:rsidP="003E3A6F">
      <w:pPr>
        <w:pStyle w:val="StylePara1HeadingsCSTimesNewRoman"/>
        <w:rPr>
          <w:rFonts w:ascii="Times New Roman" w:hAnsi="Times New Roman"/>
          <w:lang w:val="fr-CA"/>
        </w:rPr>
      </w:pPr>
      <w:r>
        <w:rPr>
          <w:rFonts w:ascii="Times New Roman" w:hAnsi="Times New Roman"/>
          <w:szCs w:val="22"/>
          <w:lang w:val="fr-CA"/>
        </w:rPr>
        <w:t>L</w:t>
      </w:r>
      <w:r w:rsidRPr="00052024">
        <w:rPr>
          <w:rFonts w:ascii="Times New Roman" w:hAnsi="Times New Roman"/>
          <w:szCs w:val="22"/>
          <w:lang w:val="fr-CA"/>
        </w:rPr>
        <w:t>es évaluations en cours et achevées</w:t>
      </w:r>
      <w:r>
        <w:rPr>
          <w:rFonts w:ascii="Times New Roman" w:hAnsi="Times New Roman"/>
          <w:szCs w:val="22"/>
          <w:lang w:val="fr-CA"/>
        </w:rPr>
        <w:t xml:space="preserve"> ont été les </w:t>
      </w:r>
      <w:r w:rsidR="005551EE" w:rsidRPr="00052024">
        <w:rPr>
          <w:rFonts w:ascii="Times New Roman" w:hAnsi="Times New Roman"/>
          <w:szCs w:val="22"/>
          <w:lang w:val="fr-CA"/>
        </w:rPr>
        <w:t xml:space="preserve">réalisations les plus tangibles du premier programme </w:t>
      </w:r>
      <w:r w:rsidR="00D73B56">
        <w:rPr>
          <w:rFonts w:ascii="Times New Roman" w:hAnsi="Times New Roman"/>
          <w:szCs w:val="22"/>
          <w:lang w:val="fr-CA"/>
        </w:rPr>
        <w:t xml:space="preserve">de travail </w:t>
      </w:r>
      <w:r w:rsidR="005551EE" w:rsidRPr="00052024">
        <w:rPr>
          <w:rFonts w:ascii="Times New Roman" w:hAnsi="Times New Roman"/>
          <w:szCs w:val="22"/>
          <w:lang w:val="fr-CA"/>
        </w:rPr>
        <w:t>de la Plateforme intergouvernementale scientifique et politique sur la biodiversité et les services écosystémiques</w:t>
      </w:r>
      <w:r>
        <w:rPr>
          <w:rFonts w:ascii="Times New Roman" w:hAnsi="Times New Roman"/>
          <w:szCs w:val="22"/>
          <w:lang w:val="fr-CA"/>
        </w:rPr>
        <w:t xml:space="preserve">, mais </w:t>
      </w:r>
      <w:r w:rsidR="005551EE" w:rsidRPr="00052024">
        <w:rPr>
          <w:rFonts w:ascii="Times New Roman" w:hAnsi="Times New Roman"/>
          <w:szCs w:val="22"/>
          <w:lang w:val="fr-CA"/>
        </w:rPr>
        <w:t xml:space="preserve">la Convention et la grande communauté de la diversité biologique ont également profité d’autres éléments des travaux de la Plateforme et de la façon intégrée dont les quatre fonctions ont été réalisées. Le Secrétariat de la Plateforme a </w:t>
      </w:r>
      <w:r>
        <w:rPr>
          <w:rFonts w:ascii="Times New Roman" w:hAnsi="Times New Roman"/>
          <w:szCs w:val="22"/>
          <w:lang w:val="fr-CA"/>
        </w:rPr>
        <w:t>fourni</w:t>
      </w:r>
      <w:r w:rsidR="003C1046" w:rsidRPr="00052024">
        <w:rPr>
          <w:rFonts w:ascii="Times New Roman" w:hAnsi="Times New Roman"/>
          <w:szCs w:val="22"/>
          <w:lang w:val="fr-CA"/>
        </w:rPr>
        <w:t xml:space="preserve"> régulièrement des rapports sur les activités per</w:t>
      </w:r>
      <w:r w:rsidR="003E1C6B">
        <w:rPr>
          <w:rFonts w:ascii="Times New Roman" w:hAnsi="Times New Roman"/>
          <w:szCs w:val="22"/>
          <w:lang w:val="fr-CA"/>
        </w:rPr>
        <w:t>tinentes à l’Organe subsidiaire</w:t>
      </w:r>
      <w:r w:rsidR="003C1046" w:rsidRPr="00052024">
        <w:rPr>
          <w:rFonts w:ascii="Times New Roman" w:hAnsi="Times New Roman"/>
          <w:szCs w:val="22"/>
          <w:lang w:val="fr-CA"/>
        </w:rPr>
        <w:t xml:space="preserve"> et à la Conférence des Parties</w:t>
      </w:r>
      <w:r w:rsidR="007A4CE1" w:rsidRPr="00052024">
        <w:rPr>
          <w:rFonts w:ascii="Times New Roman" w:hAnsi="Times New Roman"/>
          <w:szCs w:val="22"/>
          <w:lang w:val="fr-CA"/>
        </w:rPr>
        <w:t>.</w:t>
      </w:r>
      <w:r w:rsidR="007A4CE1" w:rsidRPr="00052024">
        <w:rPr>
          <w:rFonts w:ascii="Times New Roman" w:hAnsi="Times New Roman"/>
          <w:szCs w:val="22"/>
          <w:vertAlign w:val="superscript"/>
          <w:lang w:val="fr-CA"/>
        </w:rPr>
        <w:footnoteReference w:id="4"/>
      </w:r>
      <w:r w:rsidR="007A4CE1" w:rsidRPr="00052024">
        <w:rPr>
          <w:rFonts w:ascii="Times New Roman" w:hAnsi="Times New Roman"/>
          <w:lang w:val="fr-CA"/>
        </w:rPr>
        <w:t xml:space="preserve"> </w:t>
      </w:r>
      <w:r w:rsidR="003C1046" w:rsidRPr="00052024">
        <w:rPr>
          <w:rFonts w:ascii="Times New Roman" w:hAnsi="Times New Roman"/>
          <w:lang w:val="fr-CA"/>
        </w:rPr>
        <w:t xml:space="preserve">Les paragraphes ci-dessous offrent un bref aperçu du suivi des principaux résultats escomptés de la Plateforme ainsi que de l’examen des activités </w:t>
      </w:r>
      <w:r>
        <w:rPr>
          <w:rFonts w:ascii="Times New Roman" w:hAnsi="Times New Roman"/>
          <w:lang w:val="fr-CA"/>
        </w:rPr>
        <w:t xml:space="preserve">en cours </w:t>
      </w:r>
      <w:r w:rsidR="003C1046" w:rsidRPr="00052024">
        <w:rPr>
          <w:rFonts w:ascii="Times New Roman" w:hAnsi="Times New Roman"/>
          <w:lang w:val="fr-CA"/>
        </w:rPr>
        <w:t>de la Convention</w:t>
      </w:r>
      <w:r w:rsidR="007A4CE1" w:rsidRPr="00052024">
        <w:rPr>
          <w:rFonts w:ascii="Times New Roman" w:hAnsi="Times New Roman"/>
          <w:lang w:val="fr-CA"/>
        </w:rPr>
        <w:t>.</w:t>
      </w:r>
    </w:p>
    <w:p w14:paraId="10398866" w14:textId="5D29FB3E" w:rsidR="007A4CE1" w:rsidRPr="00052024" w:rsidRDefault="003C1046" w:rsidP="0085547E">
      <w:pPr>
        <w:pStyle w:val="Titre2"/>
        <w:numPr>
          <w:ilvl w:val="0"/>
          <w:numId w:val="10"/>
        </w:numPr>
        <w:rPr>
          <w:lang w:val="fr-CA"/>
        </w:rPr>
      </w:pPr>
      <w:r w:rsidRPr="00052024">
        <w:rPr>
          <w:lang w:val="fr-CA"/>
        </w:rPr>
        <w:lastRenderedPageBreak/>
        <w:t>Évaluation thématique des pollinisateurs, de la pollinisation et de la production alimentaire</w:t>
      </w:r>
    </w:p>
    <w:p w14:paraId="0A326DC0" w14:textId="06BA5420" w:rsidR="007A4CE1" w:rsidRPr="00052024" w:rsidRDefault="003C1046" w:rsidP="003E3A6F">
      <w:pPr>
        <w:pStyle w:val="StylePara1HeadingsCSTimesNewRoman"/>
        <w:rPr>
          <w:rFonts w:ascii="Times New Roman" w:hAnsi="Times New Roman"/>
          <w:lang w:val="fr-CA"/>
        </w:rPr>
      </w:pPr>
      <w:r w:rsidRPr="00052024">
        <w:rPr>
          <w:rFonts w:ascii="Times New Roman" w:hAnsi="Times New Roman"/>
          <w:lang w:val="fr-CA"/>
        </w:rPr>
        <w:t xml:space="preserve">Après avoir pris connaissance de l’examen thématique des pollinisateurs, de la pollinisation et de la production alimentaire, et de </w:t>
      </w:r>
      <w:r w:rsidR="005C5CDC" w:rsidRPr="00052024">
        <w:rPr>
          <w:rFonts w:ascii="Times New Roman" w:hAnsi="Times New Roman"/>
          <w:lang w:val="fr-CA"/>
        </w:rPr>
        <w:t>ses</w:t>
      </w:r>
      <w:r w:rsidRPr="00052024">
        <w:rPr>
          <w:rFonts w:ascii="Times New Roman" w:hAnsi="Times New Roman"/>
          <w:lang w:val="fr-CA"/>
        </w:rPr>
        <w:t xml:space="preserve"> </w:t>
      </w:r>
      <w:r w:rsidR="00BE29FB" w:rsidRPr="00052024">
        <w:rPr>
          <w:rFonts w:ascii="Times New Roman" w:hAnsi="Times New Roman"/>
          <w:lang w:val="fr-CA"/>
        </w:rPr>
        <w:t>consé</w:t>
      </w:r>
      <w:r w:rsidRPr="00052024">
        <w:rPr>
          <w:rFonts w:ascii="Times New Roman" w:hAnsi="Times New Roman"/>
          <w:lang w:val="fr-CA"/>
        </w:rPr>
        <w:t>quences sur les travaux de la C</w:t>
      </w:r>
      <w:r w:rsidR="003E1C6B">
        <w:rPr>
          <w:rFonts w:ascii="Times New Roman" w:hAnsi="Times New Roman"/>
          <w:lang w:val="fr-CA"/>
        </w:rPr>
        <w:t>onvention, l’Organe subsidiaire</w:t>
      </w:r>
      <w:r w:rsidRPr="00052024">
        <w:rPr>
          <w:rFonts w:ascii="Times New Roman" w:hAnsi="Times New Roman"/>
          <w:lang w:val="fr-CA"/>
        </w:rPr>
        <w:t>,</w:t>
      </w:r>
      <w:r w:rsidR="007A4CE1" w:rsidRPr="00052024">
        <w:rPr>
          <w:rFonts w:ascii="Times New Roman" w:hAnsi="Times New Roman"/>
          <w:lang w:val="fr-CA"/>
        </w:rPr>
        <w:t xml:space="preserve"> </w:t>
      </w:r>
      <w:r w:rsidRPr="00052024">
        <w:rPr>
          <w:rFonts w:ascii="Times New Roman" w:hAnsi="Times New Roman"/>
          <w:lang w:val="fr-CA"/>
        </w:rPr>
        <w:t xml:space="preserve">dans sa </w:t>
      </w:r>
      <w:r w:rsidR="00BE29FB" w:rsidRPr="00052024">
        <w:rPr>
          <w:rFonts w:ascii="Times New Roman" w:hAnsi="Times New Roman"/>
          <w:lang w:val="fr-CA"/>
        </w:rPr>
        <w:t xml:space="preserve">recommandation </w:t>
      </w:r>
      <w:hyperlink r:id="rId15" w:history="1">
        <w:r w:rsidR="007A4CE1" w:rsidRPr="00052024">
          <w:rPr>
            <w:rStyle w:val="Lienhypertexte"/>
            <w:rFonts w:ascii="Times New Roman" w:hAnsi="Times New Roman"/>
            <w:lang w:val="fr-CA"/>
          </w:rPr>
          <w:t>XX/9</w:t>
        </w:r>
      </w:hyperlink>
      <w:r w:rsidR="00BE29FB" w:rsidRPr="00052024">
        <w:rPr>
          <w:rFonts w:ascii="Times New Roman" w:hAnsi="Times New Roman"/>
          <w:lang w:val="fr-CA"/>
        </w:rPr>
        <w:t xml:space="preserve">, et la Conférence des Parties, dans sa décision </w:t>
      </w:r>
      <w:hyperlink r:id="rId16" w:history="1">
        <w:r w:rsidR="007A4CE1" w:rsidRPr="00052024">
          <w:rPr>
            <w:rStyle w:val="Lienhypertexte"/>
            <w:rFonts w:ascii="Times New Roman" w:hAnsi="Times New Roman"/>
            <w:lang w:val="fr-CA"/>
          </w:rPr>
          <w:t>XIII/15</w:t>
        </w:r>
      </w:hyperlink>
      <w:r w:rsidR="007A4CE1" w:rsidRPr="00052024">
        <w:rPr>
          <w:rFonts w:ascii="Times New Roman" w:hAnsi="Times New Roman"/>
          <w:lang w:val="fr-CA"/>
        </w:rPr>
        <w:t xml:space="preserve">, </w:t>
      </w:r>
      <w:r w:rsidR="00E15D91" w:rsidRPr="00052024">
        <w:rPr>
          <w:rFonts w:ascii="Times New Roman" w:hAnsi="Times New Roman"/>
          <w:lang w:val="fr-CA"/>
        </w:rPr>
        <w:t>ont accueilli avec satisfaction le Résumé à l’intention des décideurs approuvé par la Plénière de la Plateforme intergouvernementale scientifique et politique sur la biodiversité et les services écosystémiques à sa quatrième session, ainsi que le rapport complet de l’évaluation, et leur ont donné leur appui (paragraphes 1 et 2). La Conférence des Parties a également encouragé les Parties, les autr</w:t>
      </w:r>
      <w:r w:rsidR="005C5CDC" w:rsidRPr="00052024">
        <w:rPr>
          <w:rFonts w:ascii="Times New Roman" w:hAnsi="Times New Roman"/>
          <w:lang w:val="fr-CA"/>
        </w:rPr>
        <w:t>es gouvernements, les organisati</w:t>
      </w:r>
      <w:r w:rsidR="00E15D91" w:rsidRPr="00052024">
        <w:rPr>
          <w:rFonts w:ascii="Times New Roman" w:hAnsi="Times New Roman"/>
          <w:lang w:val="fr-CA"/>
        </w:rPr>
        <w:t>ons des Nations Unies et autres organisations</w:t>
      </w:r>
      <w:r w:rsidR="005C5CDC" w:rsidRPr="00052024">
        <w:rPr>
          <w:rFonts w:ascii="Times New Roman" w:hAnsi="Times New Roman"/>
          <w:lang w:val="fr-CA"/>
        </w:rPr>
        <w:t xml:space="preserve"> concernées, ainsi que les acco</w:t>
      </w:r>
      <w:r w:rsidR="00E15D91" w:rsidRPr="00052024">
        <w:rPr>
          <w:rFonts w:ascii="Times New Roman" w:hAnsi="Times New Roman"/>
          <w:lang w:val="fr-CA"/>
        </w:rPr>
        <w:t>rds multilatéraux sur l’environnement et les parties prenantes, à</w:t>
      </w:r>
      <w:r w:rsidR="00715971" w:rsidRPr="00052024">
        <w:rPr>
          <w:rFonts w:ascii="Times New Roman" w:hAnsi="Times New Roman"/>
          <w:lang w:val="fr-CA"/>
        </w:rPr>
        <w:t xml:space="preserve"> utiliser</w:t>
      </w:r>
      <w:r w:rsidR="00B121A8">
        <w:rPr>
          <w:rFonts w:ascii="Times New Roman" w:hAnsi="Times New Roman"/>
          <w:lang w:val="fr-CA"/>
        </w:rPr>
        <w:t xml:space="preserve"> l’évaluation</w:t>
      </w:r>
      <w:r w:rsidR="00715971" w:rsidRPr="00052024">
        <w:rPr>
          <w:rFonts w:ascii="Times New Roman" w:hAnsi="Times New Roman"/>
          <w:lang w:val="fr-CA"/>
        </w:rPr>
        <w:t>, selon qu’il</w:t>
      </w:r>
      <w:r w:rsidR="005C5CDC" w:rsidRPr="00052024">
        <w:rPr>
          <w:rFonts w:ascii="Times New Roman" w:hAnsi="Times New Roman"/>
          <w:lang w:val="fr-CA"/>
        </w:rPr>
        <w:t xml:space="preserve"> </w:t>
      </w:r>
      <w:r w:rsidR="00715971" w:rsidRPr="00052024">
        <w:rPr>
          <w:rFonts w:ascii="Times New Roman" w:hAnsi="Times New Roman"/>
          <w:lang w:val="fr-CA"/>
        </w:rPr>
        <w:t xml:space="preserve">convient, pour aider à orienter leurs initiatives visant </w:t>
      </w:r>
      <w:r w:rsidR="005C5CDC" w:rsidRPr="00052024">
        <w:rPr>
          <w:rFonts w:ascii="Times New Roman" w:hAnsi="Times New Roman"/>
          <w:lang w:val="fr-CA"/>
        </w:rPr>
        <w:t>à amél</w:t>
      </w:r>
      <w:r w:rsidR="00715971" w:rsidRPr="00052024">
        <w:rPr>
          <w:rFonts w:ascii="Times New Roman" w:hAnsi="Times New Roman"/>
          <w:lang w:val="fr-CA"/>
        </w:rPr>
        <w:t>iorer la cons</w:t>
      </w:r>
      <w:r w:rsidR="005C5CDC" w:rsidRPr="00052024">
        <w:rPr>
          <w:rFonts w:ascii="Times New Roman" w:hAnsi="Times New Roman"/>
          <w:lang w:val="fr-CA"/>
        </w:rPr>
        <w:t>ervation et la gestion des poll</w:t>
      </w:r>
      <w:r w:rsidR="00715971" w:rsidRPr="00052024">
        <w:rPr>
          <w:rFonts w:ascii="Times New Roman" w:hAnsi="Times New Roman"/>
          <w:lang w:val="fr-CA"/>
        </w:rPr>
        <w:t>inisateurs, à gérer les facteurs de déclin des pollinisateurs et à œuvrer en faveur des systèmes de production alimentaire et d’agriculture durables (paragraphe 3). Dans cette même décision, et s’appuyant sur la recommandati</w:t>
      </w:r>
      <w:r w:rsidR="00826AFC">
        <w:rPr>
          <w:rFonts w:ascii="Times New Roman" w:hAnsi="Times New Roman"/>
          <w:lang w:val="fr-CA"/>
        </w:rPr>
        <w:t>on XX/9 de l’Organe subsidiaire</w:t>
      </w:r>
      <w:r w:rsidR="00715971" w:rsidRPr="00052024">
        <w:rPr>
          <w:rFonts w:ascii="Times New Roman" w:hAnsi="Times New Roman"/>
          <w:lang w:val="fr-CA"/>
        </w:rPr>
        <w:t xml:space="preserve">, la Conférence des Parties a aussi </w:t>
      </w:r>
      <w:r w:rsidR="005C5CDC" w:rsidRPr="00052024">
        <w:rPr>
          <w:rFonts w:ascii="Times New Roman" w:hAnsi="Times New Roman"/>
          <w:lang w:val="fr-CA"/>
        </w:rPr>
        <w:t>offert une orientation détail</w:t>
      </w:r>
      <w:r w:rsidR="00715971" w:rsidRPr="00052024">
        <w:rPr>
          <w:rFonts w:ascii="Times New Roman" w:hAnsi="Times New Roman"/>
          <w:lang w:val="fr-CA"/>
        </w:rPr>
        <w:t>lée sur</w:t>
      </w:r>
      <w:r w:rsidR="00826AFC">
        <w:rPr>
          <w:rFonts w:ascii="Times New Roman" w:hAnsi="Times New Roman"/>
          <w:lang w:val="fr-CA"/>
        </w:rPr>
        <w:t xml:space="preserve"> : a) </w:t>
      </w:r>
      <w:r w:rsidR="00715971" w:rsidRPr="00052024">
        <w:rPr>
          <w:rFonts w:ascii="Times New Roman" w:hAnsi="Times New Roman"/>
          <w:lang w:val="fr-CA"/>
        </w:rPr>
        <w:t>l’intégration des questions liées aux pollinisateurs</w:t>
      </w:r>
      <w:r w:rsidR="005C5CDC" w:rsidRPr="00052024">
        <w:rPr>
          <w:rFonts w:ascii="Times New Roman" w:hAnsi="Times New Roman"/>
          <w:lang w:val="fr-CA"/>
        </w:rPr>
        <w:t xml:space="preserve"> aux politiques et stratégies, </w:t>
      </w:r>
      <w:r w:rsidR="00826AFC">
        <w:rPr>
          <w:rFonts w:ascii="Times New Roman" w:hAnsi="Times New Roman"/>
          <w:lang w:val="fr-CA"/>
        </w:rPr>
        <w:t xml:space="preserve">b) </w:t>
      </w:r>
      <w:r w:rsidR="005C5CDC" w:rsidRPr="00052024">
        <w:rPr>
          <w:rFonts w:ascii="Times New Roman" w:hAnsi="Times New Roman"/>
          <w:lang w:val="fr-CA"/>
        </w:rPr>
        <w:t>la</w:t>
      </w:r>
      <w:r w:rsidR="003A3E17" w:rsidRPr="00052024">
        <w:rPr>
          <w:rFonts w:ascii="Times New Roman" w:hAnsi="Times New Roman"/>
          <w:lang w:val="fr-CA"/>
        </w:rPr>
        <w:t xml:space="preserve"> promotion des habitats convenant aux pollinisateurs, </w:t>
      </w:r>
      <w:r w:rsidR="00826AFC">
        <w:rPr>
          <w:rFonts w:ascii="Times New Roman" w:hAnsi="Times New Roman"/>
          <w:lang w:val="fr-CA"/>
        </w:rPr>
        <w:t xml:space="preserve">c) </w:t>
      </w:r>
      <w:r w:rsidR="003A3E17" w:rsidRPr="00052024">
        <w:rPr>
          <w:rFonts w:ascii="Times New Roman" w:hAnsi="Times New Roman"/>
          <w:lang w:val="fr-CA"/>
        </w:rPr>
        <w:t>l’</w:t>
      </w:r>
      <w:r w:rsidR="005C5CDC" w:rsidRPr="00052024">
        <w:rPr>
          <w:rFonts w:ascii="Times New Roman" w:hAnsi="Times New Roman"/>
          <w:lang w:val="fr-CA"/>
        </w:rPr>
        <w:t>amél</w:t>
      </w:r>
      <w:r w:rsidR="003A3E17" w:rsidRPr="00052024">
        <w:rPr>
          <w:rFonts w:ascii="Times New Roman" w:hAnsi="Times New Roman"/>
          <w:lang w:val="fr-CA"/>
        </w:rPr>
        <w:t xml:space="preserve">ioration de </w:t>
      </w:r>
      <w:r w:rsidR="005C5CDC" w:rsidRPr="00052024">
        <w:rPr>
          <w:rFonts w:ascii="Times New Roman" w:hAnsi="Times New Roman"/>
          <w:lang w:val="fr-CA"/>
        </w:rPr>
        <w:t>la gestion des pollinisateurs</w:t>
      </w:r>
      <w:r w:rsidR="003A3E17" w:rsidRPr="00052024">
        <w:rPr>
          <w:rFonts w:ascii="Times New Roman" w:hAnsi="Times New Roman"/>
          <w:lang w:val="fr-CA"/>
        </w:rPr>
        <w:t xml:space="preserve"> et la réduction des risques associés aux parasites, agents pathogènes et espèces envahissantes</w:t>
      </w:r>
      <w:r w:rsidR="00826AFC">
        <w:rPr>
          <w:rFonts w:ascii="Times New Roman" w:hAnsi="Times New Roman"/>
          <w:lang w:val="fr-CA"/>
        </w:rPr>
        <w:t xml:space="preserve">, d) </w:t>
      </w:r>
      <w:r w:rsidR="003A3E17" w:rsidRPr="00052024">
        <w:rPr>
          <w:rFonts w:ascii="Times New Roman" w:hAnsi="Times New Roman"/>
          <w:lang w:val="fr-CA"/>
        </w:rPr>
        <w:t xml:space="preserve"> la réduction des risques que posent les pesticides, y compris les insecticides, les herbicides et les f</w:t>
      </w:r>
      <w:r w:rsidR="00826AFC">
        <w:rPr>
          <w:rFonts w:ascii="Times New Roman" w:hAnsi="Times New Roman"/>
          <w:lang w:val="fr-CA"/>
        </w:rPr>
        <w:t>ongicides</w:t>
      </w:r>
      <w:r w:rsidR="003A3E17" w:rsidRPr="00052024">
        <w:rPr>
          <w:rFonts w:ascii="Times New Roman" w:hAnsi="Times New Roman"/>
          <w:lang w:val="fr-CA"/>
        </w:rPr>
        <w:t xml:space="preserve"> et </w:t>
      </w:r>
      <w:r w:rsidR="00826AFC">
        <w:rPr>
          <w:rFonts w:ascii="Times New Roman" w:hAnsi="Times New Roman"/>
          <w:lang w:val="fr-CA"/>
        </w:rPr>
        <w:t xml:space="preserve">e) </w:t>
      </w:r>
      <w:r w:rsidR="003A3E17" w:rsidRPr="00052024">
        <w:rPr>
          <w:rFonts w:ascii="Times New Roman" w:hAnsi="Times New Roman"/>
          <w:lang w:val="fr-CA"/>
        </w:rPr>
        <w:t>les élément</w:t>
      </w:r>
      <w:r w:rsidR="005C5CDC" w:rsidRPr="00052024">
        <w:rPr>
          <w:rFonts w:ascii="Times New Roman" w:hAnsi="Times New Roman"/>
          <w:lang w:val="fr-CA"/>
        </w:rPr>
        <w:t>s suggérés de politiques et act</w:t>
      </w:r>
      <w:r w:rsidR="003A3E17" w:rsidRPr="00052024">
        <w:rPr>
          <w:rFonts w:ascii="Times New Roman" w:hAnsi="Times New Roman"/>
          <w:lang w:val="fr-CA"/>
        </w:rPr>
        <w:t>ivités habilitantes, ai</w:t>
      </w:r>
      <w:r w:rsidR="005C5CDC" w:rsidRPr="00052024">
        <w:rPr>
          <w:rFonts w:ascii="Times New Roman" w:hAnsi="Times New Roman"/>
          <w:lang w:val="fr-CA"/>
        </w:rPr>
        <w:t>nsi</w:t>
      </w:r>
      <w:r w:rsidR="003A3E17" w:rsidRPr="00052024">
        <w:rPr>
          <w:rFonts w:ascii="Times New Roman" w:hAnsi="Times New Roman"/>
          <w:lang w:val="fr-CA"/>
        </w:rPr>
        <w:t xml:space="preserve"> </w:t>
      </w:r>
      <w:r w:rsidR="00826AFC">
        <w:rPr>
          <w:rFonts w:ascii="Times New Roman" w:hAnsi="Times New Roman"/>
          <w:lang w:val="fr-CA"/>
        </w:rPr>
        <w:t>que de</w:t>
      </w:r>
      <w:r w:rsidR="003A3E17" w:rsidRPr="00052024">
        <w:rPr>
          <w:rFonts w:ascii="Times New Roman" w:hAnsi="Times New Roman"/>
          <w:lang w:val="fr-CA"/>
        </w:rPr>
        <w:t xml:space="preserve"> la</w:t>
      </w:r>
      <w:r w:rsidR="005C5CDC" w:rsidRPr="00052024">
        <w:rPr>
          <w:rFonts w:ascii="Times New Roman" w:hAnsi="Times New Roman"/>
          <w:lang w:val="fr-CA"/>
        </w:rPr>
        <w:t xml:space="preserve"> </w:t>
      </w:r>
      <w:r w:rsidR="003A3E17" w:rsidRPr="00052024">
        <w:rPr>
          <w:rFonts w:ascii="Times New Roman" w:hAnsi="Times New Roman"/>
          <w:lang w:val="fr-CA"/>
        </w:rPr>
        <w:t xml:space="preserve">recherche, </w:t>
      </w:r>
      <w:r w:rsidR="00826AFC">
        <w:rPr>
          <w:rFonts w:ascii="Times New Roman" w:hAnsi="Times New Roman"/>
          <w:lang w:val="fr-CA"/>
        </w:rPr>
        <w:t>du</w:t>
      </w:r>
      <w:r w:rsidR="003A3E17" w:rsidRPr="00052024">
        <w:rPr>
          <w:rFonts w:ascii="Times New Roman" w:hAnsi="Times New Roman"/>
          <w:lang w:val="fr-CA"/>
        </w:rPr>
        <w:t xml:space="preserve"> suivi et </w:t>
      </w:r>
      <w:r w:rsidR="00826AFC">
        <w:rPr>
          <w:rFonts w:ascii="Times New Roman" w:hAnsi="Times New Roman"/>
          <w:lang w:val="fr-CA"/>
        </w:rPr>
        <w:t xml:space="preserve">de </w:t>
      </w:r>
      <w:r w:rsidR="003A3E17" w:rsidRPr="00052024">
        <w:rPr>
          <w:rFonts w:ascii="Times New Roman" w:hAnsi="Times New Roman"/>
          <w:lang w:val="fr-CA"/>
        </w:rPr>
        <w:t>l’évaluation</w:t>
      </w:r>
      <w:r w:rsidR="007A4CE1" w:rsidRPr="00052024">
        <w:rPr>
          <w:rFonts w:ascii="Times New Roman" w:hAnsi="Times New Roman"/>
          <w:lang w:val="fr-CA"/>
        </w:rPr>
        <w:t>.</w:t>
      </w:r>
    </w:p>
    <w:p w14:paraId="4BA9172C" w14:textId="353A0FFD" w:rsidR="00F01823" w:rsidRPr="00052024" w:rsidRDefault="00B047BF" w:rsidP="003E3A6F">
      <w:pPr>
        <w:pStyle w:val="StylePara1HeadingsCSTimesNewRoman"/>
        <w:rPr>
          <w:rFonts w:ascii="Times New Roman" w:hAnsi="Times New Roman"/>
          <w:lang w:val="fr-CA"/>
        </w:rPr>
      </w:pPr>
      <w:r w:rsidRPr="00052024">
        <w:rPr>
          <w:rFonts w:ascii="Times New Roman" w:hAnsi="Times New Roman"/>
          <w:lang w:val="fr-CA"/>
        </w:rPr>
        <w:t>Le plan d’action révisé de l’Initiative internationale sur la conservation et l’utilisation durable des pollinisateurs, préparé conjointement par le Secrétariat de la Convention sur la diversité biologique et l’Organisation des Nations Unies pour l’alimentation et l’agriculture</w:t>
      </w:r>
      <w:r w:rsidR="00826AFC">
        <w:rPr>
          <w:rFonts w:ascii="Times New Roman" w:hAnsi="Times New Roman"/>
          <w:lang w:val="fr-CA"/>
        </w:rPr>
        <w:t xml:space="preserve"> (FAO)</w:t>
      </w:r>
      <w:r w:rsidRPr="00052024">
        <w:rPr>
          <w:rFonts w:ascii="Times New Roman" w:hAnsi="Times New Roman"/>
          <w:lang w:val="fr-CA"/>
        </w:rPr>
        <w:t>, en consultation avec la Plateforme intergouvernementale scientifique et politique sur la biodiversité et les services écosystémiques et autres partenaires en réponse à la décision XIII/5</w:t>
      </w:r>
      <w:r w:rsidR="008A0051">
        <w:rPr>
          <w:rFonts w:ascii="Times New Roman" w:hAnsi="Times New Roman"/>
          <w:lang w:val="fr-CA"/>
        </w:rPr>
        <w:t>,</w:t>
      </w:r>
      <w:r w:rsidRPr="00052024">
        <w:rPr>
          <w:rFonts w:ascii="Times New Roman" w:hAnsi="Times New Roman"/>
          <w:lang w:val="fr-CA"/>
        </w:rPr>
        <w:t xml:space="preserve"> est joint à la note de la Secrétaire exécutive sur la conservation et l’utilisation durable des pollinisateurs</w:t>
      </w:r>
      <w:r w:rsidR="006B093D" w:rsidRPr="00052024">
        <w:rPr>
          <w:rFonts w:ascii="Times New Roman" w:hAnsi="Times New Roman"/>
          <w:lang w:val="fr-CA"/>
        </w:rPr>
        <w:t xml:space="preserve"> (</w:t>
      </w:r>
      <w:r w:rsidR="00DB236B" w:rsidRPr="00052024">
        <w:rPr>
          <w:rFonts w:ascii="Times New Roman" w:hAnsi="Times New Roman"/>
          <w:lang w:val="fr-CA"/>
        </w:rPr>
        <w:t>CBD/SBSTTA/22/10</w:t>
      </w:r>
      <w:r w:rsidR="006B093D" w:rsidRPr="00052024">
        <w:rPr>
          <w:rFonts w:ascii="Times New Roman" w:hAnsi="Times New Roman"/>
          <w:lang w:val="fr-CA"/>
        </w:rPr>
        <w:t>)</w:t>
      </w:r>
      <w:r w:rsidR="00DB236B" w:rsidRPr="00052024">
        <w:rPr>
          <w:rFonts w:ascii="Times New Roman" w:hAnsi="Times New Roman"/>
          <w:lang w:val="fr-CA"/>
        </w:rPr>
        <w:t>.</w:t>
      </w:r>
    </w:p>
    <w:p w14:paraId="30EAC435" w14:textId="3C792C98" w:rsidR="007A4CE1" w:rsidRPr="00052024" w:rsidRDefault="00220097" w:rsidP="0085547E">
      <w:pPr>
        <w:pStyle w:val="Heading2longmultiline"/>
        <w:numPr>
          <w:ilvl w:val="0"/>
          <w:numId w:val="10"/>
        </w:numPr>
        <w:tabs>
          <w:tab w:val="clear" w:pos="720"/>
          <w:tab w:val="left" w:pos="1701"/>
        </w:tabs>
        <w:ind w:left="1701" w:hanging="567"/>
        <w:rPr>
          <w:lang w:val="fr-CA"/>
        </w:rPr>
      </w:pPr>
      <w:r w:rsidRPr="00052024">
        <w:rPr>
          <w:lang w:val="fr-CA"/>
        </w:rPr>
        <w:t>Analyse</w:t>
      </w:r>
      <w:r w:rsidR="00B047BF" w:rsidRPr="00052024">
        <w:rPr>
          <w:lang w:val="fr-CA"/>
        </w:rPr>
        <w:t xml:space="preserve"> méthodologique des scénarios et </w:t>
      </w:r>
      <w:r w:rsidR="00954568">
        <w:rPr>
          <w:lang w:val="fr-CA"/>
        </w:rPr>
        <w:t xml:space="preserve">de </w:t>
      </w:r>
      <w:r w:rsidRPr="00052024">
        <w:rPr>
          <w:lang w:val="fr-CA"/>
        </w:rPr>
        <w:t>la modélisation de la</w:t>
      </w:r>
      <w:r w:rsidR="00B047BF" w:rsidRPr="00052024">
        <w:rPr>
          <w:lang w:val="fr-CA"/>
        </w:rPr>
        <w:t xml:space="preserve"> </w:t>
      </w:r>
      <w:r w:rsidR="00954568">
        <w:rPr>
          <w:lang w:val="fr-CA"/>
        </w:rPr>
        <w:t>biodiversité</w:t>
      </w:r>
      <w:r w:rsidR="00B047BF" w:rsidRPr="00052024">
        <w:rPr>
          <w:lang w:val="fr-CA"/>
        </w:rPr>
        <w:t xml:space="preserve"> et de</w:t>
      </w:r>
      <w:r w:rsidRPr="00052024">
        <w:rPr>
          <w:lang w:val="fr-CA"/>
        </w:rPr>
        <w:t>s</w:t>
      </w:r>
      <w:r w:rsidR="00B047BF" w:rsidRPr="00052024">
        <w:rPr>
          <w:lang w:val="fr-CA"/>
        </w:rPr>
        <w:t xml:space="preserve"> services écosystémiques</w:t>
      </w:r>
    </w:p>
    <w:p w14:paraId="3975FB33" w14:textId="0567AF31" w:rsidR="007A4CE1" w:rsidRPr="00052024" w:rsidRDefault="00F92CBB" w:rsidP="003E3A6F">
      <w:pPr>
        <w:pStyle w:val="StylePara1HeadingsCSTimesNewRoman"/>
        <w:rPr>
          <w:rFonts w:ascii="Times New Roman" w:hAnsi="Times New Roman"/>
          <w:lang w:val="fr-CA"/>
        </w:rPr>
      </w:pPr>
      <w:r w:rsidRPr="00052024">
        <w:rPr>
          <w:rFonts w:ascii="Times New Roman" w:hAnsi="Times New Roman"/>
          <w:lang w:val="fr-CA"/>
        </w:rPr>
        <w:t>Prenant appui sur l’exame</w:t>
      </w:r>
      <w:r w:rsidR="002E2D25">
        <w:rPr>
          <w:rFonts w:ascii="Times New Roman" w:hAnsi="Times New Roman"/>
          <w:lang w:val="fr-CA"/>
        </w:rPr>
        <w:t>n mené par l’Organe subsidiaire</w:t>
      </w:r>
      <w:r w:rsidRPr="00052024">
        <w:rPr>
          <w:rFonts w:ascii="Times New Roman" w:hAnsi="Times New Roman"/>
          <w:lang w:val="fr-CA"/>
        </w:rPr>
        <w:t xml:space="preserve">, la Conférence des Parties, dans sa décision XIII/29, a accueilli avec satisfaction </w:t>
      </w:r>
      <w:r w:rsidR="00811AD5" w:rsidRPr="00052024">
        <w:rPr>
          <w:rFonts w:ascii="Times New Roman" w:hAnsi="Times New Roman"/>
          <w:lang w:val="fr-CA"/>
        </w:rPr>
        <w:t xml:space="preserve">l’achèvement et l’acceptation de </w:t>
      </w:r>
      <w:r w:rsidR="00220097" w:rsidRPr="00052024">
        <w:rPr>
          <w:rFonts w:ascii="Times New Roman" w:hAnsi="Times New Roman"/>
          <w:lang w:val="fr-CA"/>
        </w:rPr>
        <w:t>l’analyse</w:t>
      </w:r>
      <w:r w:rsidR="00811AD5" w:rsidRPr="00052024">
        <w:rPr>
          <w:rFonts w:ascii="Times New Roman" w:hAnsi="Times New Roman"/>
          <w:lang w:val="fr-CA"/>
        </w:rPr>
        <w:t xml:space="preserve"> méthodique des scénarios et </w:t>
      </w:r>
      <w:r w:rsidR="00220097" w:rsidRPr="00052024">
        <w:rPr>
          <w:rFonts w:ascii="Times New Roman" w:hAnsi="Times New Roman"/>
          <w:lang w:val="fr-CA"/>
        </w:rPr>
        <w:t>de la modélisation</w:t>
      </w:r>
      <w:r w:rsidR="00811AD5" w:rsidRPr="00052024">
        <w:rPr>
          <w:rFonts w:ascii="Times New Roman" w:hAnsi="Times New Roman"/>
          <w:lang w:val="fr-CA"/>
        </w:rPr>
        <w:t xml:space="preserve"> de</w:t>
      </w:r>
      <w:r w:rsidR="00220097" w:rsidRPr="00052024">
        <w:rPr>
          <w:rFonts w:ascii="Times New Roman" w:hAnsi="Times New Roman"/>
          <w:lang w:val="fr-CA"/>
        </w:rPr>
        <w:t xml:space="preserve"> la</w:t>
      </w:r>
      <w:r w:rsidR="00811AD5" w:rsidRPr="00052024">
        <w:rPr>
          <w:rFonts w:ascii="Times New Roman" w:hAnsi="Times New Roman"/>
          <w:lang w:val="fr-CA"/>
        </w:rPr>
        <w:t xml:space="preserve"> </w:t>
      </w:r>
      <w:r w:rsidR="00954568">
        <w:rPr>
          <w:rFonts w:ascii="Times New Roman" w:hAnsi="Times New Roman"/>
          <w:lang w:val="fr-CA"/>
        </w:rPr>
        <w:t>biodiversité</w:t>
      </w:r>
      <w:r w:rsidR="00811AD5" w:rsidRPr="00052024">
        <w:rPr>
          <w:rFonts w:ascii="Times New Roman" w:hAnsi="Times New Roman"/>
          <w:lang w:val="fr-CA"/>
        </w:rPr>
        <w:t xml:space="preserve"> et de</w:t>
      </w:r>
      <w:r w:rsidR="00220097" w:rsidRPr="00052024">
        <w:rPr>
          <w:rFonts w:ascii="Times New Roman" w:hAnsi="Times New Roman"/>
          <w:lang w:val="fr-CA"/>
        </w:rPr>
        <w:t>s</w:t>
      </w:r>
      <w:r w:rsidR="00811AD5" w:rsidRPr="00052024">
        <w:rPr>
          <w:rFonts w:ascii="Times New Roman" w:hAnsi="Times New Roman"/>
          <w:lang w:val="fr-CA"/>
        </w:rPr>
        <w:t xml:space="preserve"> services écosystémiques par la Plateforme intergouvernementale scientifique et politique sur la biodiversité et les services écosystémiques </w:t>
      </w:r>
      <w:r w:rsidR="002C5CD3">
        <w:rPr>
          <w:rFonts w:ascii="Times New Roman" w:hAnsi="Times New Roman"/>
          <w:lang w:val="fr-CA"/>
        </w:rPr>
        <w:t xml:space="preserve">et l’approbation du Résumé à l’intention des décideurs de la Plénière de la Plateforme, </w:t>
      </w:r>
      <w:r w:rsidR="00811AD5" w:rsidRPr="00052024">
        <w:rPr>
          <w:rFonts w:ascii="Times New Roman" w:hAnsi="Times New Roman"/>
          <w:lang w:val="fr-CA"/>
        </w:rPr>
        <w:t xml:space="preserve">et a reconnu la pertinence de cette évaluation pour les travaux </w:t>
      </w:r>
      <w:r w:rsidR="008A0051">
        <w:rPr>
          <w:rFonts w:ascii="Times New Roman" w:hAnsi="Times New Roman"/>
          <w:lang w:val="fr-CA"/>
        </w:rPr>
        <w:t>menés au titre de la Convention</w:t>
      </w:r>
      <w:r w:rsidR="00811AD5" w:rsidRPr="00052024">
        <w:rPr>
          <w:rFonts w:ascii="Times New Roman" w:hAnsi="Times New Roman"/>
          <w:lang w:val="fr-CA"/>
        </w:rPr>
        <w:t xml:space="preserve"> et</w:t>
      </w:r>
      <w:r w:rsidR="008A0051">
        <w:rPr>
          <w:rFonts w:ascii="Times New Roman" w:hAnsi="Times New Roman"/>
          <w:lang w:val="fr-CA"/>
        </w:rPr>
        <w:t>,</w:t>
      </w:r>
      <w:r w:rsidR="00811AD5" w:rsidRPr="00052024">
        <w:rPr>
          <w:rFonts w:ascii="Times New Roman" w:hAnsi="Times New Roman"/>
          <w:lang w:val="fr-CA"/>
        </w:rPr>
        <w:t xml:space="preserve"> en particulier, la cinquième édition des </w:t>
      </w:r>
      <w:r w:rsidR="00811AD5" w:rsidRPr="00052024">
        <w:rPr>
          <w:rFonts w:ascii="Times New Roman" w:hAnsi="Times New Roman"/>
          <w:i/>
          <w:lang w:val="fr-CA"/>
        </w:rPr>
        <w:t>Perspectives mondiales de la diversité biologique</w:t>
      </w:r>
      <w:r w:rsidR="007A4CE1" w:rsidRPr="00052024">
        <w:rPr>
          <w:rFonts w:ascii="Times New Roman" w:hAnsi="Times New Roman"/>
          <w:lang w:val="fr-CA"/>
        </w:rPr>
        <w:t>.</w:t>
      </w:r>
    </w:p>
    <w:p w14:paraId="7E32941D" w14:textId="7B92D861" w:rsidR="007A4CE1" w:rsidRPr="00052024" w:rsidRDefault="00220097" w:rsidP="003E3A6F">
      <w:pPr>
        <w:pStyle w:val="StylePara1HeadingsCSTimesNewRoman"/>
        <w:rPr>
          <w:rFonts w:ascii="Times New Roman" w:hAnsi="Times New Roman"/>
          <w:lang w:val="fr-CA"/>
        </w:rPr>
      </w:pPr>
      <w:r w:rsidRPr="00052024">
        <w:rPr>
          <w:rFonts w:ascii="Times New Roman" w:hAnsi="Times New Roman"/>
          <w:lang w:val="fr-CA"/>
        </w:rPr>
        <w:t>Dans cette même décision, la Conférence des Parties a également reconnu l’importance de faire correspondre les scénarios aux besoins d’une politique ou d’une décision, dont l’examen de scén</w:t>
      </w:r>
      <w:r w:rsidR="00DB02AC" w:rsidRPr="00052024">
        <w:rPr>
          <w:rFonts w:ascii="Times New Roman" w:hAnsi="Times New Roman"/>
          <w:lang w:val="fr-CA"/>
        </w:rPr>
        <w:t>arios de politique</w:t>
      </w:r>
      <w:r w:rsidR="002C5CD3">
        <w:rPr>
          <w:rFonts w:ascii="Times New Roman" w:hAnsi="Times New Roman"/>
          <w:lang w:val="fr-CA"/>
        </w:rPr>
        <w:t>s</w:t>
      </w:r>
      <w:r w:rsidR="00DB02AC" w:rsidRPr="00052024">
        <w:rPr>
          <w:rFonts w:ascii="Times New Roman" w:hAnsi="Times New Roman"/>
          <w:lang w:val="fr-CA"/>
        </w:rPr>
        <w:t xml:space="preserve"> pour l’après-</w:t>
      </w:r>
      <w:r w:rsidRPr="00052024">
        <w:rPr>
          <w:rFonts w:ascii="Times New Roman" w:hAnsi="Times New Roman"/>
          <w:lang w:val="fr-CA"/>
        </w:rPr>
        <w:t>2020</w:t>
      </w:r>
      <w:r w:rsidR="003524BB">
        <w:rPr>
          <w:rFonts w:ascii="Times New Roman" w:hAnsi="Times New Roman"/>
          <w:lang w:val="fr-CA"/>
        </w:rPr>
        <w:t xml:space="preserve"> et</w:t>
      </w:r>
      <w:r w:rsidR="006C6F74" w:rsidRPr="00052024">
        <w:rPr>
          <w:rFonts w:ascii="Times New Roman" w:hAnsi="Times New Roman"/>
          <w:lang w:val="fr-CA"/>
        </w:rPr>
        <w:t xml:space="preserve"> </w:t>
      </w:r>
      <w:r w:rsidR="002C5CD3">
        <w:rPr>
          <w:rFonts w:ascii="Times New Roman" w:hAnsi="Times New Roman"/>
          <w:lang w:val="fr-CA"/>
        </w:rPr>
        <w:t>l’amélioration et l’application à plus grande échelle d</w:t>
      </w:r>
      <w:r w:rsidR="006C6F74" w:rsidRPr="00052024">
        <w:rPr>
          <w:rFonts w:ascii="Times New Roman" w:hAnsi="Times New Roman"/>
          <w:lang w:val="fr-CA"/>
        </w:rPr>
        <w:t>es scénarios participatifs et inter-échelles</w:t>
      </w:r>
      <w:r w:rsidR="003524BB">
        <w:rPr>
          <w:rFonts w:ascii="Times New Roman" w:hAnsi="Times New Roman"/>
          <w:lang w:val="fr-CA"/>
        </w:rPr>
        <w:t>,</w:t>
      </w:r>
      <w:r w:rsidR="006C6F74" w:rsidRPr="00052024">
        <w:rPr>
          <w:rFonts w:ascii="Times New Roman" w:hAnsi="Times New Roman"/>
          <w:lang w:val="fr-CA"/>
        </w:rPr>
        <w:t xml:space="preserve"> afin d’améliorer la pertinence et d’utiliser des scénarios régionaux, sectoriels et thématiques pour la diversité biologique et les services écosystémiques</w:t>
      </w:r>
      <w:r w:rsidR="007A4CE1" w:rsidRPr="00052024">
        <w:rPr>
          <w:rFonts w:ascii="Times New Roman" w:hAnsi="Times New Roman"/>
          <w:lang w:val="fr-CA"/>
        </w:rPr>
        <w:t xml:space="preserve">. </w:t>
      </w:r>
    </w:p>
    <w:p w14:paraId="75690C66" w14:textId="15C72F63" w:rsidR="0019654F" w:rsidRPr="00052024" w:rsidRDefault="004B2D21" w:rsidP="003E3A6F">
      <w:pPr>
        <w:pStyle w:val="StylePara1HeadingsCSTimesNewRoman"/>
        <w:rPr>
          <w:rFonts w:ascii="Times New Roman" w:hAnsi="Times New Roman"/>
          <w:lang w:val="fr-CA"/>
        </w:rPr>
      </w:pPr>
      <w:r w:rsidRPr="00052024">
        <w:rPr>
          <w:rFonts w:ascii="Times New Roman" w:eastAsia="Malgun Gothic" w:hAnsi="Times New Roman"/>
          <w:kern w:val="22"/>
          <w:lang w:val="fr-CA"/>
        </w:rPr>
        <w:t>L’analyse méthodologique des scénarios et de la modélisation de la diversité biologique et des services écosystémiques a ensuite servi de base pou</w:t>
      </w:r>
      <w:r w:rsidR="002E2D25">
        <w:rPr>
          <w:rFonts w:ascii="Times New Roman" w:eastAsia="Malgun Gothic" w:hAnsi="Times New Roman"/>
          <w:kern w:val="22"/>
          <w:lang w:val="fr-CA"/>
        </w:rPr>
        <w:t>r l’examen des scénarios de la V</w:t>
      </w:r>
      <w:r w:rsidRPr="00052024">
        <w:rPr>
          <w:rFonts w:ascii="Times New Roman" w:eastAsia="Malgun Gothic" w:hAnsi="Times New Roman"/>
          <w:kern w:val="22"/>
          <w:lang w:val="fr-CA"/>
        </w:rPr>
        <w:t>ision de 2050 pour la diversité biologique à la vingt et unième réunion de l’</w:t>
      </w:r>
      <w:r w:rsidR="002E2D25">
        <w:rPr>
          <w:rFonts w:ascii="Times New Roman" w:hAnsi="Times New Roman"/>
          <w:kern w:val="22"/>
          <w:lang w:val="fr-CA"/>
        </w:rPr>
        <w:t>Organe subsidiaire</w:t>
      </w:r>
      <w:r w:rsidR="0019654F" w:rsidRPr="00052024">
        <w:rPr>
          <w:rFonts w:ascii="Times New Roman" w:eastAsia="Malgun Gothic" w:hAnsi="Times New Roman"/>
          <w:kern w:val="22"/>
          <w:lang w:val="fr-CA"/>
        </w:rPr>
        <w:t>.</w:t>
      </w:r>
      <w:r w:rsidR="0019654F" w:rsidRPr="00052024">
        <w:rPr>
          <w:rStyle w:val="Appelnotedebasdep"/>
          <w:rFonts w:ascii="Times New Roman" w:eastAsia="Malgun Gothic" w:hAnsi="Times New Roman"/>
          <w:kern w:val="22"/>
          <w:lang w:val="fr-CA"/>
        </w:rPr>
        <w:footnoteReference w:id="5"/>
      </w:r>
      <w:r w:rsidR="0019654F" w:rsidRPr="00052024">
        <w:rPr>
          <w:rFonts w:ascii="Times New Roman" w:eastAsia="Malgun Gothic" w:hAnsi="Times New Roman"/>
          <w:kern w:val="22"/>
          <w:lang w:val="fr-CA"/>
        </w:rPr>
        <w:t xml:space="preserve"> </w:t>
      </w:r>
      <w:r w:rsidR="00A07E23" w:rsidRPr="00052024">
        <w:rPr>
          <w:rFonts w:ascii="Times New Roman" w:eastAsia="Malgun Gothic" w:hAnsi="Times New Roman"/>
          <w:kern w:val="22"/>
          <w:lang w:val="fr-CA"/>
        </w:rPr>
        <w:t>Dans sa recommandation</w:t>
      </w:r>
      <w:r w:rsidR="00497964" w:rsidRPr="00052024">
        <w:rPr>
          <w:rFonts w:ascii="Times New Roman" w:eastAsia="Malgun Gothic" w:hAnsi="Times New Roman"/>
          <w:kern w:val="22"/>
          <w:lang w:val="fr-CA"/>
        </w:rPr>
        <w:t xml:space="preserve"> </w:t>
      </w:r>
      <w:hyperlink r:id="rId17" w:history="1">
        <w:r w:rsidR="00497964" w:rsidRPr="00052024">
          <w:rPr>
            <w:rStyle w:val="Lienhypertexte"/>
            <w:rFonts w:ascii="Times New Roman" w:eastAsia="Malgun Gothic" w:hAnsi="Times New Roman"/>
            <w:kern w:val="22"/>
            <w:lang w:val="fr-CA"/>
          </w:rPr>
          <w:t>XXI/1</w:t>
        </w:r>
      </w:hyperlink>
      <w:r w:rsidR="00497964" w:rsidRPr="00052024">
        <w:rPr>
          <w:rFonts w:ascii="Times New Roman" w:eastAsia="Malgun Gothic" w:hAnsi="Times New Roman"/>
          <w:kern w:val="22"/>
          <w:lang w:val="fr-CA"/>
        </w:rPr>
        <w:t xml:space="preserve">, </w:t>
      </w:r>
      <w:r w:rsidR="00A07E23" w:rsidRPr="00052024">
        <w:rPr>
          <w:rFonts w:ascii="Times New Roman" w:hAnsi="Times New Roman"/>
          <w:lang w:val="fr-CA"/>
        </w:rPr>
        <w:t>l’Organe subsidiaire chargé de fournir des avis scientifiques, techniques et technologiques a accueilli avec satisfaction les travaux continus du Groupe d’experts sur la mod</w:t>
      </w:r>
      <w:r w:rsidR="004F57F2" w:rsidRPr="00052024">
        <w:rPr>
          <w:rFonts w:ascii="Times New Roman" w:hAnsi="Times New Roman"/>
          <w:lang w:val="fr-CA"/>
        </w:rPr>
        <w:t>élisati</w:t>
      </w:r>
      <w:r w:rsidR="003524BB">
        <w:rPr>
          <w:rFonts w:ascii="Times New Roman" w:hAnsi="Times New Roman"/>
          <w:lang w:val="fr-CA"/>
        </w:rPr>
        <w:t>on et les scé</w:t>
      </w:r>
      <w:r w:rsidR="00A07E23" w:rsidRPr="00052024">
        <w:rPr>
          <w:rFonts w:ascii="Times New Roman" w:hAnsi="Times New Roman"/>
          <w:lang w:val="fr-CA"/>
        </w:rPr>
        <w:t xml:space="preserve">narios de la </w:t>
      </w:r>
      <w:r w:rsidR="004F57F2" w:rsidRPr="00052024">
        <w:rPr>
          <w:rFonts w:ascii="Times New Roman" w:hAnsi="Times New Roman"/>
          <w:lang w:val="fr-CA"/>
        </w:rPr>
        <w:t>Plateforme intergouvernementale scientifique et politique sur la biodiversité et les services écosystémiques</w:t>
      </w:r>
      <w:r w:rsidR="00A07E23" w:rsidRPr="00052024">
        <w:rPr>
          <w:rFonts w:ascii="Times New Roman" w:hAnsi="Times New Roman"/>
          <w:lang w:val="fr-CA"/>
        </w:rPr>
        <w:t xml:space="preserve"> sur le développement d’u</w:t>
      </w:r>
      <w:r w:rsidR="008A0051">
        <w:rPr>
          <w:rFonts w:ascii="Times New Roman" w:hAnsi="Times New Roman"/>
          <w:lang w:val="fr-CA"/>
        </w:rPr>
        <w:t>ne série de nouveaux scenarios</w:t>
      </w:r>
      <w:r w:rsidR="00A07E23" w:rsidRPr="00052024">
        <w:rPr>
          <w:rFonts w:ascii="Times New Roman" w:hAnsi="Times New Roman"/>
          <w:lang w:val="fr-CA"/>
        </w:rPr>
        <w:t xml:space="preserve"> </w:t>
      </w:r>
      <w:r w:rsidR="003524BB">
        <w:rPr>
          <w:rFonts w:ascii="Times New Roman" w:hAnsi="Times New Roman"/>
          <w:lang w:val="fr-CA"/>
        </w:rPr>
        <w:t>multi-échelles</w:t>
      </w:r>
      <w:r w:rsidR="00A07E23" w:rsidRPr="00052024">
        <w:rPr>
          <w:rFonts w:ascii="Times New Roman" w:hAnsi="Times New Roman"/>
          <w:lang w:val="fr-CA"/>
        </w:rPr>
        <w:t xml:space="preserve"> pour la diversité biologique au moyen </w:t>
      </w:r>
      <w:r w:rsidR="00A07E23" w:rsidRPr="00052024">
        <w:rPr>
          <w:rFonts w:ascii="Times New Roman" w:hAnsi="Times New Roman"/>
          <w:lang w:val="fr-CA"/>
        </w:rPr>
        <w:lastRenderedPageBreak/>
        <w:t>d’un proce</w:t>
      </w:r>
      <w:r w:rsidR="004F57F2" w:rsidRPr="00052024">
        <w:rPr>
          <w:rFonts w:ascii="Times New Roman" w:hAnsi="Times New Roman"/>
          <w:lang w:val="fr-CA"/>
        </w:rPr>
        <w:t>s</w:t>
      </w:r>
      <w:r w:rsidR="00A07E23" w:rsidRPr="00052024">
        <w:rPr>
          <w:rFonts w:ascii="Times New Roman" w:hAnsi="Times New Roman"/>
          <w:lang w:val="fr-CA"/>
        </w:rPr>
        <w:t>sus dirigé par</w:t>
      </w:r>
      <w:r w:rsidR="004F57F2" w:rsidRPr="00052024">
        <w:rPr>
          <w:rFonts w:ascii="Times New Roman" w:hAnsi="Times New Roman"/>
          <w:lang w:val="fr-CA"/>
        </w:rPr>
        <w:t xml:space="preserve"> </w:t>
      </w:r>
      <w:r w:rsidR="00A07E23" w:rsidRPr="00052024">
        <w:rPr>
          <w:rFonts w:ascii="Times New Roman" w:hAnsi="Times New Roman"/>
          <w:lang w:val="fr-CA"/>
        </w:rPr>
        <w:t xml:space="preserve">les parties </w:t>
      </w:r>
      <w:r w:rsidR="004F57F2" w:rsidRPr="00052024">
        <w:rPr>
          <w:rFonts w:ascii="Times New Roman" w:hAnsi="Times New Roman"/>
          <w:lang w:val="fr-CA"/>
        </w:rPr>
        <w:t>prenantes</w:t>
      </w:r>
      <w:r w:rsidR="0019654F" w:rsidRPr="00052024">
        <w:rPr>
          <w:rFonts w:ascii="Times New Roman" w:eastAsia="Malgun Gothic" w:hAnsi="Times New Roman"/>
          <w:snapToGrid/>
          <w:kern w:val="22"/>
          <w:lang w:val="fr-CA"/>
          <w14:cntxtAlts/>
        </w:rPr>
        <w:t>,</w:t>
      </w:r>
      <w:r w:rsidR="0019654F" w:rsidRPr="00052024">
        <w:rPr>
          <w:rStyle w:val="Appelnotedebasdep"/>
          <w:rFonts w:ascii="Times New Roman" w:eastAsia="Malgun Gothic" w:hAnsi="Times New Roman"/>
          <w:snapToGrid/>
          <w:kern w:val="22"/>
          <w:szCs w:val="22"/>
          <w:lang w:val="fr-CA"/>
          <w14:cntxtAlts/>
        </w:rPr>
        <w:footnoteReference w:id="6"/>
      </w:r>
      <w:r w:rsidR="0019654F" w:rsidRPr="00052024">
        <w:rPr>
          <w:rFonts w:ascii="Times New Roman" w:eastAsia="Malgun Gothic" w:hAnsi="Times New Roman"/>
          <w:snapToGrid/>
          <w:kern w:val="22"/>
          <w:lang w:val="fr-CA"/>
          <w14:cntxtAlts/>
        </w:rPr>
        <w:t xml:space="preserve"> </w:t>
      </w:r>
      <w:r w:rsidR="00A07E23" w:rsidRPr="00052024">
        <w:rPr>
          <w:rFonts w:ascii="Times New Roman" w:eastAsia="Malgun Gothic" w:hAnsi="Times New Roman"/>
          <w:snapToGrid/>
          <w:kern w:val="22"/>
          <w:lang w:val="fr-CA"/>
          <w14:cntxtAlts/>
        </w:rPr>
        <w:t xml:space="preserve">et a pris note de la pertinence de ces travaux pour le développement du </w:t>
      </w:r>
      <w:r w:rsidR="00DB02AC" w:rsidRPr="00052024">
        <w:rPr>
          <w:rFonts w:ascii="Times New Roman" w:hAnsi="Times New Roman"/>
          <w:lang w:val="fr-CA"/>
        </w:rPr>
        <w:t>cadre mondial de la diversité biologique pour l’après-2020</w:t>
      </w:r>
      <w:r w:rsidR="00497964" w:rsidRPr="00052024">
        <w:rPr>
          <w:rFonts w:ascii="Times New Roman" w:eastAsia="Malgun Gothic" w:hAnsi="Times New Roman"/>
          <w:snapToGrid/>
          <w:kern w:val="22"/>
          <w:lang w:val="fr-CA"/>
          <w14:cntxtAlts/>
        </w:rPr>
        <w:t>.</w:t>
      </w:r>
    </w:p>
    <w:p w14:paraId="5A0DAC99" w14:textId="4B2728B5" w:rsidR="007A4CE1" w:rsidRPr="00052024" w:rsidRDefault="004F57F2" w:rsidP="0085547E">
      <w:pPr>
        <w:pStyle w:val="Titre2"/>
        <w:numPr>
          <w:ilvl w:val="0"/>
          <w:numId w:val="10"/>
        </w:numPr>
        <w:tabs>
          <w:tab w:val="clear" w:pos="720"/>
        </w:tabs>
        <w:ind w:left="0" w:hanging="11"/>
        <w:rPr>
          <w:lang w:val="fr-CA"/>
        </w:rPr>
      </w:pPr>
      <w:r w:rsidRPr="00052024">
        <w:rPr>
          <w:lang w:val="fr-CA"/>
        </w:rPr>
        <w:t xml:space="preserve">Évaluation mondiale de la </w:t>
      </w:r>
      <w:r w:rsidR="003524BB">
        <w:rPr>
          <w:lang w:val="fr-CA"/>
        </w:rPr>
        <w:t>biodiversité</w:t>
      </w:r>
      <w:r w:rsidRPr="00052024">
        <w:rPr>
          <w:lang w:val="fr-CA"/>
        </w:rPr>
        <w:t xml:space="preserve"> et des services écosystémiques</w:t>
      </w:r>
    </w:p>
    <w:p w14:paraId="59A35A0C" w14:textId="55FAA5FA" w:rsidR="007A4CE1" w:rsidRPr="00052024" w:rsidRDefault="00B70462" w:rsidP="003E3A6F">
      <w:pPr>
        <w:pStyle w:val="StylePara1HeadingsCSTimesNewRoman"/>
        <w:rPr>
          <w:rFonts w:ascii="Times New Roman" w:hAnsi="Times New Roman"/>
          <w:lang w:val="fr-CA"/>
        </w:rPr>
      </w:pPr>
      <w:r w:rsidRPr="00052024">
        <w:rPr>
          <w:rFonts w:ascii="Times New Roman" w:hAnsi="Times New Roman"/>
          <w:lang w:val="fr-CA"/>
        </w:rPr>
        <w:t>La Plateforme intergouvernementale scientifique et politique sur la biodiversité et les services écosystémiques prépare une évaluation mondiale de la diversité biologique et des services écosystémiques</w:t>
      </w:r>
      <w:r w:rsidR="007A4CE1" w:rsidRPr="00052024">
        <w:rPr>
          <w:rFonts w:ascii="Times New Roman" w:hAnsi="Times New Roman"/>
          <w:lang w:val="fr-CA"/>
        </w:rPr>
        <w:t xml:space="preserve"> </w:t>
      </w:r>
      <w:r w:rsidRPr="00052024">
        <w:rPr>
          <w:rFonts w:ascii="Times New Roman" w:hAnsi="Times New Roman"/>
          <w:lang w:val="fr-CA"/>
        </w:rPr>
        <w:t xml:space="preserve">en réponse à l’invitation lancée par la Conférence des Parties dans sa décision </w:t>
      </w:r>
      <w:hyperlink r:id="rId18" w:history="1">
        <w:r w:rsidRPr="00052024">
          <w:rPr>
            <w:rStyle w:val="Lienhypertexte"/>
            <w:rFonts w:ascii="Times New Roman" w:hAnsi="Times New Roman"/>
            <w:lang w:val="fr-CA"/>
          </w:rPr>
          <w:t>XI/2</w:t>
        </w:r>
      </w:hyperlink>
      <w:r w:rsidRPr="00052024">
        <w:rPr>
          <w:rFonts w:ascii="Times New Roman" w:hAnsi="Times New Roman"/>
          <w:lang w:val="fr-CA"/>
        </w:rPr>
        <w:t xml:space="preserve"> </w:t>
      </w:r>
      <w:r w:rsidR="007A4CE1" w:rsidRPr="00052024">
        <w:rPr>
          <w:rFonts w:ascii="Times New Roman" w:hAnsi="Times New Roman"/>
          <w:lang w:val="fr-CA"/>
        </w:rPr>
        <w:t>(para</w:t>
      </w:r>
      <w:r w:rsidRPr="00052024">
        <w:rPr>
          <w:rFonts w:ascii="Times New Roman" w:hAnsi="Times New Roman"/>
          <w:lang w:val="fr-CA"/>
        </w:rPr>
        <w:t>graphe</w:t>
      </w:r>
      <w:r w:rsidR="007A4CE1" w:rsidRPr="00052024">
        <w:rPr>
          <w:rFonts w:ascii="Times New Roman" w:hAnsi="Times New Roman"/>
          <w:lang w:val="fr-CA"/>
        </w:rPr>
        <w:t xml:space="preserve"> 28). </w:t>
      </w:r>
      <w:r w:rsidRPr="00052024">
        <w:rPr>
          <w:rFonts w:ascii="Times New Roman" w:hAnsi="Times New Roman"/>
          <w:lang w:val="fr-CA"/>
        </w:rPr>
        <w:t>L</w:t>
      </w:r>
      <w:r w:rsidR="009E7296" w:rsidRPr="00052024">
        <w:rPr>
          <w:rFonts w:ascii="Times New Roman" w:hAnsi="Times New Roman"/>
          <w:lang w:val="fr-CA"/>
        </w:rPr>
        <w:t>a décision XIII/29 souligne l</w:t>
      </w:r>
      <w:r w:rsidRPr="00052024">
        <w:rPr>
          <w:rFonts w:ascii="Times New Roman" w:hAnsi="Times New Roman"/>
          <w:lang w:val="fr-CA"/>
        </w:rPr>
        <w:t>’importance de l’év</w:t>
      </w:r>
      <w:r w:rsidR="009E7296" w:rsidRPr="00052024">
        <w:rPr>
          <w:rFonts w:ascii="Times New Roman" w:hAnsi="Times New Roman"/>
          <w:lang w:val="fr-CA"/>
        </w:rPr>
        <w:t>aluation mondiale dans le contex</w:t>
      </w:r>
      <w:r w:rsidRPr="00052024">
        <w:rPr>
          <w:rFonts w:ascii="Times New Roman" w:hAnsi="Times New Roman"/>
          <w:lang w:val="fr-CA"/>
        </w:rPr>
        <w:t>te de l’analyse des progr</w:t>
      </w:r>
      <w:r w:rsidR="009E7296" w:rsidRPr="00052024">
        <w:rPr>
          <w:rFonts w:ascii="Times New Roman" w:hAnsi="Times New Roman"/>
          <w:lang w:val="fr-CA"/>
        </w:rPr>
        <w:t>ès en vue de la réalisati</w:t>
      </w:r>
      <w:r w:rsidRPr="00052024">
        <w:rPr>
          <w:rFonts w:ascii="Times New Roman" w:hAnsi="Times New Roman"/>
          <w:lang w:val="fr-CA"/>
        </w:rPr>
        <w:t xml:space="preserve">on du Plan </w:t>
      </w:r>
      <w:r w:rsidR="009E7296" w:rsidRPr="00052024">
        <w:rPr>
          <w:rFonts w:ascii="Times New Roman" w:hAnsi="Times New Roman"/>
          <w:lang w:val="fr-CA"/>
        </w:rPr>
        <w:t>s</w:t>
      </w:r>
      <w:r w:rsidRPr="00052024">
        <w:rPr>
          <w:rFonts w:ascii="Times New Roman" w:hAnsi="Times New Roman"/>
          <w:lang w:val="fr-CA"/>
        </w:rPr>
        <w:t xml:space="preserve">tratégique 2011-2020 pour la diversité biologique </w:t>
      </w:r>
      <w:r w:rsidR="009E7296" w:rsidRPr="00052024">
        <w:rPr>
          <w:rFonts w:ascii="Times New Roman" w:hAnsi="Times New Roman"/>
          <w:lang w:val="fr-CA"/>
        </w:rPr>
        <w:t>et des Objectifs d’Aichi relatifs à la diversité biologique</w:t>
      </w:r>
      <w:r w:rsidR="007A4CE1" w:rsidRPr="00052024">
        <w:rPr>
          <w:rFonts w:ascii="Times New Roman" w:hAnsi="Times New Roman"/>
          <w:lang w:val="fr-CA"/>
        </w:rPr>
        <w:t>.</w:t>
      </w:r>
      <w:r w:rsidR="009E7296" w:rsidRPr="00052024">
        <w:rPr>
          <w:rFonts w:ascii="Times New Roman" w:hAnsi="Times New Roman"/>
          <w:lang w:val="fr-CA"/>
        </w:rPr>
        <w:t xml:space="preserve"> La </w:t>
      </w:r>
      <w:r w:rsidR="00B75821" w:rsidRPr="00052024">
        <w:rPr>
          <w:rFonts w:ascii="Times New Roman" w:hAnsi="Times New Roman"/>
          <w:lang w:val="fr-CA"/>
        </w:rPr>
        <w:t>Conférence</w:t>
      </w:r>
      <w:r w:rsidR="009E7296" w:rsidRPr="00052024">
        <w:rPr>
          <w:rFonts w:ascii="Times New Roman" w:hAnsi="Times New Roman"/>
          <w:lang w:val="fr-CA"/>
        </w:rPr>
        <w:t xml:space="preserve"> des Parties a décidé, dans cette décision, que la c</w:t>
      </w:r>
      <w:r w:rsidR="00B75821" w:rsidRPr="00052024">
        <w:rPr>
          <w:rFonts w:ascii="Times New Roman" w:hAnsi="Times New Roman"/>
          <w:lang w:val="fr-CA"/>
        </w:rPr>
        <w:t>i</w:t>
      </w:r>
      <w:r w:rsidR="009E7296" w:rsidRPr="00052024">
        <w:rPr>
          <w:rFonts w:ascii="Times New Roman" w:hAnsi="Times New Roman"/>
          <w:lang w:val="fr-CA"/>
        </w:rPr>
        <w:t xml:space="preserve">nquième édition des </w:t>
      </w:r>
      <w:r w:rsidR="009E7296" w:rsidRPr="00052024">
        <w:rPr>
          <w:rFonts w:ascii="Times New Roman" w:hAnsi="Times New Roman"/>
          <w:i/>
          <w:lang w:val="fr-CA"/>
        </w:rPr>
        <w:t>Perspectives mondiales de la diversité biologique</w:t>
      </w:r>
      <w:r w:rsidR="009E7296" w:rsidRPr="00052024">
        <w:rPr>
          <w:rFonts w:ascii="Times New Roman" w:hAnsi="Times New Roman"/>
          <w:lang w:val="fr-CA"/>
        </w:rPr>
        <w:t xml:space="preserve"> devrait profiter des évaluations thématiques, régionales et mondiales de la Plateforme intergouvernementale scientifique et politique sur la biodiversité et les services écosystémiques et de tout</w:t>
      </w:r>
      <w:r w:rsidR="00B75821" w:rsidRPr="00052024">
        <w:rPr>
          <w:rFonts w:ascii="Times New Roman" w:hAnsi="Times New Roman"/>
          <w:lang w:val="fr-CA"/>
        </w:rPr>
        <w:t>e</w:t>
      </w:r>
      <w:r w:rsidR="009E7296" w:rsidRPr="00052024">
        <w:rPr>
          <w:rFonts w:ascii="Times New Roman" w:hAnsi="Times New Roman"/>
          <w:lang w:val="fr-CA"/>
        </w:rPr>
        <w:t xml:space="preserve"> analyse de </w:t>
      </w:r>
      <w:r w:rsidR="00B75821" w:rsidRPr="00052024">
        <w:rPr>
          <w:rFonts w:ascii="Times New Roman" w:hAnsi="Times New Roman"/>
          <w:lang w:val="fr-CA"/>
        </w:rPr>
        <w:t>scénario</w:t>
      </w:r>
      <w:r w:rsidR="009E7296" w:rsidRPr="00052024">
        <w:rPr>
          <w:rFonts w:ascii="Times New Roman" w:hAnsi="Times New Roman"/>
          <w:lang w:val="fr-CA"/>
        </w:rPr>
        <w:t xml:space="preserve"> et de modélisation de la diversité biologique et des services écosystémiques </w:t>
      </w:r>
      <w:r w:rsidR="00B75821" w:rsidRPr="00052024">
        <w:rPr>
          <w:rFonts w:ascii="Times New Roman" w:hAnsi="Times New Roman"/>
          <w:lang w:val="fr-CA"/>
        </w:rPr>
        <w:t>pertinente</w:t>
      </w:r>
      <w:r w:rsidR="009E7296" w:rsidRPr="00052024">
        <w:rPr>
          <w:rFonts w:ascii="Times New Roman" w:hAnsi="Times New Roman"/>
          <w:lang w:val="fr-CA"/>
        </w:rPr>
        <w:t xml:space="preserve"> entreprise dans le ca</w:t>
      </w:r>
      <w:r w:rsidR="008C114B">
        <w:rPr>
          <w:rFonts w:ascii="Times New Roman" w:hAnsi="Times New Roman"/>
          <w:lang w:val="fr-CA"/>
        </w:rPr>
        <w:t>dre de ces évaluations.</w:t>
      </w:r>
      <w:r w:rsidR="00B75821" w:rsidRPr="00052024">
        <w:rPr>
          <w:rFonts w:ascii="Times New Roman" w:hAnsi="Times New Roman"/>
          <w:lang w:val="fr-CA"/>
        </w:rPr>
        <w:t xml:space="preserve"> L’</w:t>
      </w:r>
      <w:r w:rsidR="009E7296" w:rsidRPr="00052024">
        <w:rPr>
          <w:rFonts w:ascii="Times New Roman" w:hAnsi="Times New Roman"/>
          <w:lang w:val="fr-CA"/>
        </w:rPr>
        <w:t xml:space="preserve">évaluation mondiale </w:t>
      </w:r>
      <w:r w:rsidR="00B75821" w:rsidRPr="00052024">
        <w:rPr>
          <w:rFonts w:ascii="Times New Roman" w:hAnsi="Times New Roman"/>
          <w:lang w:val="fr-CA"/>
        </w:rPr>
        <w:t>d</w:t>
      </w:r>
      <w:r w:rsidR="009E7296" w:rsidRPr="00052024">
        <w:rPr>
          <w:rFonts w:ascii="Times New Roman" w:hAnsi="Times New Roman"/>
          <w:lang w:val="fr-CA"/>
        </w:rPr>
        <w:t>evrait être mise au point et approuvée par la Plénière de la Plateforme à sa septi</w:t>
      </w:r>
      <w:r w:rsidR="00B75821" w:rsidRPr="00052024">
        <w:rPr>
          <w:rFonts w:ascii="Times New Roman" w:hAnsi="Times New Roman"/>
          <w:lang w:val="fr-CA"/>
        </w:rPr>
        <w:t>ème session, en mai</w:t>
      </w:r>
      <w:r w:rsidR="009E7296" w:rsidRPr="00052024">
        <w:rPr>
          <w:rFonts w:ascii="Times New Roman" w:hAnsi="Times New Roman"/>
          <w:lang w:val="fr-CA"/>
        </w:rPr>
        <w:t xml:space="preserve"> 2019. </w:t>
      </w:r>
      <w:r w:rsidR="00B75821" w:rsidRPr="00052024">
        <w:rPr>
          <w:rFonts w:ascii="Times New Roman" w:hAnsi="Times New Roman"/>
          <w:lang w:val="fr-CA"/>
        </w:rPr>
        <w:t xml:space="preserve">Elle sera ensuite examinée par l’Organe subsidiaire à sa vingt-troisième réunion, avec la version préliminaire de la cinquième édition des </w:t>
      </w:r>
      <w:r w:rsidR="00B75821" w:rsidRPr="00052024">
        <w:rPr>
          <w:rFonts w:ascii="Times New Roman" w:hAnsi="Times New Roman"/>
          <w:i/>
          <w:lang w:val="fr-CA"/>
        </w:rPr>
        <w:t>Perspectives mondiales de la diversité biologique</w:t>
      </w:r>
      <w:r w:rsidR="00B75821" w:rsidRPr="00052024">
        <w:rPr>
          <w:rFonts w:ascii="Times New Roman" w:hAnsi="Times New Roman"/>
          <w:lang w:val="fr-CA"/>
        </w:rPr>
        <w:t>.</w:t>
      </w:r>
    </w:p>
    <w:p w14:paraId="6AC270D9" w14:textId="761FB7FA" w:rsidR="007A4CE1" w:rsidRPr="00052024" w:rsidRDefault="00367095" w:rsidP="003E3A6F">
      <w:pPr>
        <w:pStyle w:val="Titre2"/>
        <w:rPr>
          <w:lang w:val="fr-CA"/>
        </w:rPr>
      </w:pPr>
      <w:r w:rsidRPr="00052024">
        <w:rPr>
          <w:lang w:val="fr-CA"/>
        </w:rPr>
        <w:t>D.</w:t>
      </w:r>
      <w:r w:rsidRPr="00052024">
        <w:rPr>
          <w:lang w:val="fr-CA"/>
        </w:rPr>
        <w:tab/>
      </w:r>
      <w:r w:rsidR="00B75821" w:rsidRPr="00052024">
        <w:rPr>
          <w:lang w:val="fr-CA"/>
        </w:rPr>
        <w:t>Autres évaluations</w:t>
      </w:r>
    </w:p>
    <w:p w14:paraId="407023A7" w14:textId="0BBE58E4" w:rsidR="007A4CE1" w:rsidRPr="00052024" w:rsidRDefault="002D1BF7" w:rsidP="003E3A6F">
      <w:pPr>
        <w:pStyle w:val="StylePara1HeadingsCSTimesNewRoman"/>
        <w:rPr>
          <w:rFonts w:ascii="Times New Roman" w:hAnsi="Times New Roman"/>
          <w:lang w:val="fr-CA"/>
        </w:rPr>
      </w:pPr>
      <w:r w:rsidRPr="00052024">
        <w:rPr>
          <w:rFonts w:ascii="Times New Roman" w:hAnsi="Times New Roman"/>
          <w:lang w:val="fr-CA"/>
        </w:rPr>
        <w:t xml:space="preserve">La Plénière de la Plateforme intergouvernementale scientifique et politique sur la biodiversité et les services écosystémiques, à sa sixième session, a approuvé les résumés à l’intention des décideurs contenus dans les rapports d’évaluation régionale de la diversité biologique et des services écosystémiques pour l’Afrique, les Amériques, l’Asie et le Pacifique, l’Europe et l’Asie centrale, et </w:t>
      </w:r>
      <w:r w:rsidR="008C114B">
        <w:rPr>
          <w:rFonts w:ascii="Times New Roman" w:hAnsi="Times New Roman"/>
          <w:lang w:val="fr-CA"/>
        </w:rPr>
        <w:t>a accueilli</w:t>
      </w:r>
      <w:r w:rsidRPr="00052024">
        <w:rPr>
          <w:rFonts w:ascii="Times New Roman" w:hAnsi="Times New Roman"/>
          <w:lang w:val="fr-CA"/>
        </w:rPr>
        <w:t xml:space="preserve"> les différents chapitres des rapports d’évaluation ainsi que leurs résumés analytiques</w:t>
      </w:r>
      <w:r w:rsidR="007A4CE1" w:rsidRPr="00052024">
        <w:rPr>
          <w:rFonts w:ascii="Times New Roman" w:hAnsi="Times New Roman"/>
          <w:lang w:val="fr-CA"/>
        </w:rPr>
        <w:t>.</w:t>
      </w:r>
      <w:r w:rsidR="00DA19C4">
        <w:rPr>
          <w:rFonts w:ascii="Times New Roman" w:hAnsi="Times New Roman"/>
          <w:lang w:val="fr-CA"/>
        </w:rPr>
        <w:t xml:space="preserve"> Elle a également approuvé le Résumé à l’intention des décideurs de l’évaluation de la dégradation et de la restauration des sols.</w:t>
      </w:r>
      <w:r w:rsidR="00497964" w:rsidRPr="00052024">
        <w:rPr>
          <w:rStyle w:val="Appelnotedebasdep"/>
          <w:rFonts w:ascii="Times New Roman" w:hAnsi="Times New Roman"/>
          <w:szCs w:val="22"/>
          <w:lang w:val="fr-CA"/>
        </w:rPr>
        <w:footnoteReference w:id="7"/>
      </w:r>
      <w:r w:rsidR="007A4CE1" w:rsidRPr="00052024">
        <w:rPr>
          <w:rFonts w:ascii="Times New Roman" w:hAnsi="Times New Roman"/>
          <w:lang w:val="fr-CA"/>
        </w:rPr>
        <w:t xml:space="preserve"> </w:t>
      </w:r>
      <w:r w:rsidRPr="00052024">
        <w:rPr>
          <w:rFonts w:ascii="Times New Roman" w:hAnsi="Times New Roman"/>
          <w:lang w:val="fr-CA"/>
        </w:rPr>
        <w:t>L</w:t>
      </w:r>
      <w:r w:rsidR="00E12C8F" w:rsidRPr="00052024">
        <w:rPr>
          <w:rFonts w:ascii="Times New Roman" w:hAnsi="Times New Roman"/>
          <w:lang w:val="fr-CA"/>
        </w:rPr>
        <w:t>’Organe subsidiaire discutera de</w:t>
      </w:r>
      <w:r w:rsidRPr="00052024">
        <w:rPr>
          <w:rFonts w:ascii="Times New Roman" w:hAnsi="Times New Roman"/>
          <w:lang w:val="fr-CA"/>
        </w:rPr>
        <w:t xml:space="preserve">s </w:t>
      </w:r>
      <w:r w:rsidR="00E12C8F" w:rsidRPr="00052024">
        <w:rPr>
          <w:rFonts w:ascii="Times New Roman" w:hAnsi="Times New Roman"/>
          <w:lang w:val="fr-CA"/>
        </w:rPr>
        <w:t>consé</w:t>
      </w:r>
      <w:r w:rsidRPr="00052024">
        <w:rPr>
          <w:rFonts w:ascii="Times New Roman" w:hAnsi="Times New Roman"/>
          <w:lang w:val="fr-CA"/>
        </w:rPr>
        <w:t xml:space="preserve">quences de ces évaluations sur les travaux de la Convention </w:t>
      </w:r>
      <w:r w:rsidR="00E12C8F" w:rsidRPr="00052024">
        <w:rPr>
          <w:rFonts w:ascii="Times New Roman" w:hAnsi="Times New Roman"/>
          <w:lang w:val="fr-CA"/>
        </w:rPr>
        <w:t>au point 6 de l’ordre du jour de sa vingt-deuxième réunion</w:t>
      </w:r>
      <w:r w:rsidR="007A4CE1" w:rsidRPr="00052024">
        <w:rPr>
          <w:rFonts w:ascii="Times New Roman" w:hAnsi="Times New Roman"/>
          <w:lang w:val="fr-CA"/>
        </w:rPr>
        <w:t>.</w:t>
      </w:r>
      <w:r w:rsidR="009B5996" w:rsidRPr="00052024">
        <w:rPr>
          <w:rStyle w:val="Appelnotedebasdep"/>
          <w:rFonts w:ascii="Times New Roman" w:hAnsi="Times New Roman"/>
          <w:szCs w:val="22"/>
          <w:lang w:val="fr-CA"/>
        </w:rPr>
        <w:footnoteReference w:id="8"/>
      </w:r>
      <w:r w:rsidR="007A4CE1" w:rsidRPr="00052024">
        <w:rPr>
          <w:rFonts w:ascii="Times New Roman" w:hAnsi="Times New Roman"/>
          <w:lang w:val="fr-CA"/>
        </w:rPr>
        <w:t xml:space="preserve"> </w:t>
      </w:r>
    </w:p>
    <w:p w14:paraId="291489F2" w14:textId="60B5C49F" w:rsidR="007A4CE1" w:rsidRPr="00052024" w:rsidRDefault="00367095" w:rsidP="003E3A6F">
      <w:pPr>
        <w:pStyle w:val="Titre2"/>
        <w:rPr>
          <w:lang w:val="fr-CA"/>
        </w:rPr>
      </w:pPr>
      <w:r w:rsidRPr="00052024">
        <w:rPr>
          <w:lang w:val="fr-CA"/>
        </w:rPr>
        <w:t>E.</w:t>
      </w:r>
      <w:r w:rsidRPr="00052024">
        <w:rPr>
          <w:lang w:val="fr-CA"/>
        </w:rPr>
        <w:tab/>
      </w:r>
      <w:r w:rsidR="00DA19C4">
        <w:rPr>
          <w:lang w:val="fr-CA"/>
        </w:rPr>
        <w:t>Évaluations e</w:t>
      </w:r>
      <w:r w:rsidR="00E12C8F" w:rsidRPr="00052024">
        <w:rPr>
          <w:lang w:val="fr-CA"/>
        </w:rPr>
        <w:t>n instance du programme de travail</w:t>
      </w:r>
    </w:p>
    <w:p w14:paraId="13FCDF4F" w14:textId="5F9BCFF6" w:rsidR="007A4CE1" w:rsidRPr="00052024" w:rsidRDefault="009722E9" w:rsidP="003E3A6F">
      <w:pPr>
        <w:pStyle w:val="StylePara1HeadingsCSTimesNewRoman"/>
        <w:rPr>
          <w:rFonts w:ascii="Times New Roman" w:hAnsi="Times New Roman"/>
          <w:lang w:val="fr-CA"/>
        </w:rPr>
      </w:pPr>
      <w:r w:rsidRPr="00052024">
        <w:rPr>
          <w:rFonts w:ascii="Times New Roman" w:hAnsi="Times New Roman"/>
          <w:lang w:val="fr-CA"/>
        </w:rPr>
        <w:t xml:space="preserve">La Plénière de la Plateforme intergouvernementale scientifique et politique sur la biodiversité et les services écosystémiques </w:t>
      </w:r>
      <w:r w:rsidR="00203B29" w:rsidRPr="00052024">
        <w:rPr>
          <w:rFonts w:ascii="Times New Roman" w:hAnsi="Times New Roman"/>
          <w:lang w:val="fr-CA"/>
        </w:rPr>
        <w:t>a approuvé à sa sixième session, dans sa décision IPBE</w:t>
      </w:r>
      <w:r w:rsidR="00DA19C4">
        <w:rPr>
          <w:rFonts w:ascii="Times New Roman" w:hAnsi="Times New Roman"/>
          <w:lang w:val="fr-CA"/>
        </w:rPr>
        <w:t>S</w:t>
      </w:r>
      <w:r w:rsidR="00203B29" w:rsidRPr="00052024">
        <w:rPr>
          <w:rFonts w:ascii="Times New Roman" w:hAnsi="Times New Roman"/>
          <w:lang w:val="fr-CA"/>
        </w:rPr>
        <w:t>-6/1, la mise en œuvre de trois évaluations thématiques en instance : l’évaluation thématique de l’utilisation durable des espèces sauvages, l’évaluation thématique des espèces exotiques envahissantes et l’évaluation méthodologique de la conceptualisation diversifiée des nombreuses valeurs de la nature et de ses bienfaits, à partir des rapports d’orientation de ces évaluati</w:t>
      </w:r>
      <w:r w:rsidR="00FC2768" w:rsidRPr="00052024">
        <w:rPr>
          <w:rFonts w:ascii="Times New Roman" w:hAnsi="Times New Roman"/>
          <w:lang w:val="fr-CA"/>
        </w:rPr>
        <w:t>ons approuvés respectivement dans les décisions</w:t>
      </w:r>
      <w:r w:rsidR="00203B29" w:rsidRPr="00052024">
        <w:rPr>
          <w:rFonts w:ascii="Times New Roman" w:hAnsi="Times New Roman"/>
          <w:lang w:val="fr-CA"/>
        </w:rPr>
        <w:t xml:space="preserve"> </w:t>
      </w:r>
      <w:hyperlink r:id="rId19" w:history="1">
        <w:r w:rsidR="00EF3973" w:rsidRPr="00052024">
          <w:rPr>
            <w:rStyle w:val="Lienhypertexte"/>
            <w:rFonts w:ascii="Times New Roman" w:hAnsi="Times New Roman"/>
            <w:lang w:val="fr-CA"/>
          </w:rPr>
          <w:t>IPBES-4/1</w:t>
        </w:r>
      </w:hyperlink>
      <w:r w:rsidR="00EF3973" w:rsidRPr="00052024">
        <w:rPr>
          <w:rFonts w:ascii="Times New Roman" w:hAnsi="Times New Roman"/>
          <w:lang w:val="fr-CA"/>
        </w:rPr>
        <w:t xml:space="preserve"> </w:t>
      </w:r>
      <w:r w:rsidR="00FC2768" w:rsidRPr="00052024">
        <w:rPr>
          <w:rFonts w:ascii="Times New Roman" w:hAnsi="Times New Roman"/>
          <w:lang w:val="fr-CA"/>
        </w:rPr>
        <w:t>et</w:t>
      </w:r>
      <w:r w:rsidR="00EF3973" w:rsidRPr="00052024">
        <w:rPr>
          <w:rFonts w:ascii="Times New Roman" w:hAnsi="Times New Roman"/>
          <w:lang w:val="fr-CA"/>
        </w:rPr>
        <w:t xml:space="preserve"> </w:t>
      </w:r>
      <w:hyperlink r:id="rId20" w:history="1">
        <w:r w:rsidR="00EF3973" w:rsidRPr="00052024">
          <w:rPr>
            <w:rStyle w:val="Lienhypertexte"/>
            <w:rFonts w:ascii="Times New Roman" w:hAnsi="Times New Roman"/>
            <w:lang w:val="fr-CA"/>
          </w:rPr>
          <w:t>IPBES-5/1</w:t>
        </w:r>
      </w:hyperlink>
      <w:r w:rsidR="00EF3973" w:rsidRPr="00052024">
        <w:rPr>
          <w:rFonts w:ascii="Times New Roman" w:hAnsi="Times New Roman"/>
          <w:lang w:val="fr-CA"/>
        </w:rPr>
        <w:t xml:space="preserve">. </w:t>
      </w:r>
      <w:r w:rsidR="00FC2768" w:rsidRPr="00052024">
        <w:rPr>
          <w:rFonts w:ascii="Times New Roman" w:hAnsi="Times New Roman"/>
          <w:lang w:val="fr-CA"/>
        </w:rPr>
        <w:t xml:space="preserve">La Plénière a également décidé que l’évaluation des valeurs devrait être préparée pour </w:t>
      </w:r>
      <w:r w:rsidR="0060409D">
        <w:rPr>
          <w:rFonts w:ascii="Times New Roman" w:hAnsi="Times New Roman"/>
          <w:lang w:val="fr-CA"/>
        </w:rPr>
        <w:t xml:space="preserve">son propre </w:t>
      </w:r>
      <w:r w:rsidR="00FC2768" w:rsidRPr="00052024">
        <w:rPr>
          <w:rFonts w:ascii="Times New Roman" w:hAnsi="Times New Roman"/>
          <w:lang w:val="fr-CA"/>
        </w:rPr>
        <w:t xml:space="preserve">examen à sa neuvième session et que les évaluations de l’utilisation durable et des espèces exotiques envahissantes devraient être mises à </w:t>
      </w:r>
      <w:r w:rsidR="00DE3E96">
        <w:rPr>
          <w:rFonts w:ascii="Times New Roman" w:hAnsi="Times New Roman"/>
          <w:lang w:val="fr-CA"/>
        </w:rPr>
        <w:t xml:space="preserve">propre </w:t>
      </w:r>
      <w:r w:rsidR="00FC2768" w:rsidRPr="00052024">
        <w:rPr>
          <w:rFonts w:ascii="Times New Roman" w:hAnsi="Times New Roman"/>
          <w:lang w:val="fr-CA"/>
        </w:rPr>
        <w:t>disposition aux fins d’examen à sa dixième session, au plus tard.</w:t>
      </w:r>
      <w:r w:rsidR="005B44D0" w:rsidRPr="00052024">
        <w:rPr>
          <w:rFonts w:ascii="Times New Roman" w:hAnsi="Times New Roman"/>
          <w:lang w:val="fr-CA"/>
        </w:rPr>
        <w:t xml:space="preserve"> </w:t>
      </w:r>
    </w:p>
    <w:p w14:paraId="670F9DBB" w14:textId="6EC1F94A" w:rsidR="007A4CE1" w:rsidRPr="00052024" w:rsidRDefault="00367095" w:rsidP="003E3A6F">
      <w:pPr>
        <w:pStyle w:val="Titre2"/>
        <w:rPr>
          <w:lang w:val="fr-CA"/>
        </w:rPr>
      </w:pPr>
      <w:r w:rsidRPr="00052024">
        <w:rPr>
          <w:lang w:val="fr-CA"/>
        </w:rPr>
        <w:t>F.</w:t>
      </w:r>
      <w:r w:rsidRPr="00052024">
        <w:rPr>
          <w:lang w:val="fr-CA"/>
        </w:rPr>
        <w:tab/>
      </w:r>
      <w:r w:rsidR="00C734E7" w:rsidRPr="00052024">
        <w:rPr>
          <w:lang w:val="fr-CA"/>
        </w:rPr>
        <w:t xml:space="preserve">Autres </w:t>
      </w:r>
      <w:r w:rsidR="00195E63" w:rsidRPr="00052024">
        <w:rPr>
          <w:lang w:val="fr-CA"/>
        </w:rPr>
        <w:t>résultats concrets</w:t>
      </w:r>
      <w:r w:rsidR="00C734E7" w:rsidRPr="00052024">
        <w:rPr>
          <w:lang w:val="fr-CA"/>
        </w:rPr>
        <w:t xml:space="preserve"> de la Plateforme</w:t>
      </w:r>
    </w:p>
    <w:p w14:paraId="5D230C70" w14:textId="3C14B3AD" w:rsidR="001D701A" w:rsidRPr="00052024" w:rsidRDefault="00C734E7" w:rsidP="003E3A6F">
      <w:pPr>
        <w:pStyle w:val="StylePara1HeadingsCSTimesNewRoman"/>
        <w:rPr>
          <w:rFonts w:ascii="Times New Roman" w:hAnsi="Times New Roman"/>
          <w:lang w:val="fr-CA"/>
        </w:rPr>
      </w:pPr>
      <w:r w:rsidRPr="00052024">
        <w:rPr>
          <w:rFonts w:ascii="Times New Roman" w:hAnsi="Times New Roman"/>
          <w:lang w:val="fr-CA"/>
        </w:rPr>
        <w:t xml:space="preserve">Les travaux de la Plateforme intergouvernementale scientifique et politique sur la biodiversité et les services écosystémiques et la collaboration entre les partenaires </w:t>
      </w:r>
      <w:r w:rsidR="002E41F3">
        <w:rPr>
          <w:rFonts w:ascii="Times New Roman" w:hAnsi="Times New Roman"/>
          <w:lang w:val="fr-CA"/>
        </w:rPr>
        <w:t>pour</w:t>
      </w:r>
      <w:r w:rsidRPr="00052024">
        <w:rPr>
          <w:rFonts w:ascii="Times New Roman" w:hAnsi="Times New Roman"/>
          <w:lang w:val="fr-CA"/>
        </w:rPr>
        <w:t xml:space="preserve"> la mise en œuvre des </w:t>
      </w:r>
      <w:r w:rsidR="00D959B3" w:rsidRPr="00052024">
        <w:rPr>
          <w:rFonts w:ascii="Times New Roman" w:hAnsi="Times New Roman"/>
          <w:lang w:val="fr-CA"/>
        </w:rPr>
        <w:t>résultats concrets</w:t>
      </w:r>
      <w:r w:rsidRPr="00052024">
        <w:rPr>
          <w:rFonts w:ascii="Times New Roman" w:hAnsi="Times New Roman"/>
          <w:lang w:val="fr-CA"/>
        </w:rPr>
        <w:t xml:space="preserve"> 1a) et 1b) du premier programme de travail de la Plateforme</w:t>
      </w:r>
      <w:r w:rsidR="007A4CE1" w:rsidRPr="00052024">
        <w:rPr>
          <w:rFonts w:ascii="Times New Roman" w:hAnsi="Times New Roman"/>
          <w:lang w:val="fr-CA"/>
        </w:rPr>
        <w:t xml:space="preserve"> </w:t>
      </w:r>
      <w:r w:rsidRPr="00052024">
        <w:rPr>
          <w:rFonts w:ascii="Times New Roman" w:hAnsi="Times New Roman"/>
          <w:lang w:val="fr-CA"/>
        </w:rPr>
        <w:t>sur le renforcement des capacités prennent appui sur le plan de renforcement des capacités à horizon mo</w:t>
      </w:r>
      <w:r w:rsidR="00F2636D">
        <w:rPr>
          <w:rFonts w:ascii="Times New Roman" w:hAnsi="Times New Roman"/>
          <w:lang w:val="fr-CA"/>
        </w:rPr>
        <w:t>bile de la Plateforme accueilli</w:t>
      </w:r>
      <w:r w:rsidRPr="00052024">
        <w:rPr>
          <w:rFonts w:ascii="Times New Roman" w:hAnsi="Times New Roman"/>
          <w:lang w:val="fr-CA"/>
        </w:rPr>
        <w:t xml:space="preserve"> à la décision </w:t>
      </w:r>
      <w:r w:rsidR="007A4CE1" w:rsidRPr="00052024">
        <w:rPr>
          <w:rFonts w:ascii="Times New Roman" w:hAnsi="Times New Roman"/>
          <w:lang w:val="fr-CA"/>
        </w:rPr>
        <w:t>IPBES-5/1.</w:t>
      </w:r>
      <w:r w:rsidR="007A4CE1" w:rsidRPr="00052024">
        <w:rPr>
          <w:rFonts w:ascii="Times New Roman" w:hAnsi="Times New Roman"/>
          <w:vertAlign w:val="superscript"/>
          <w:lang w:val="fr-CA"/>
        </w:rPr>
        <w:footnoteReference w:id="9"/>
      </w:r>
      <w:r w:rsidR="007A4CE1" w:rsidRPr="00052024">
        <w:rPr>
          <w:rFonts w:ascii="Times New Roman" w:hAnsi="Times New Roman"/>
          <w:vertAlign w:val="superscript"/>
          <w:lang w:val="fr-CA"/>
        </w:rPr>
        <w:t xml:space="preserve"> </w:t>
      </w:r>
      <w:r w:rsidR="003B7308" w:rsidRPr="00052024">
        <w:rPr>
          <w:rFonts w:ascii="Times New Roman" w:hAnsi="Times New Roman"/>
          <w:lang w:val="fr-CA"/>
        </w:rPr>
        <w:t xml:space="preserve">Le plan </w:t>
      </w:r>
      <w:r w:rsidR="00F2636D">
        <w:rPr>
          <w:rFonts w:ascii="Times New Roman" w:hAnsi="Times New Roman"/>
          <w:lang w:val="fr-CA"/>
        </w:rPr>
        <w:t>de renforcement des capacités à horizon mobile</w:t>
      </w:r>
      <w:r w:rsidR="003B7308" w:rsidRPr="00052024">
        <w:rPr>
          <w:rFonts w:ascii="Times New Roman" w:hAnsi="Times New Roman"/>
          <w:lang w:val="fr-CA"/>
        </w:rPr>
        <w:t xml:space="preserve"> cerne les principes, les </w:t>
      </w:r>
      <w:r w:rsidR="003B7308" w:rsidRPr="00052024">
        <w:rPr>
          <w:rFonts w:ascii="Times New Roman" w:hAnsi="Times New Roman"/>
          <w:lang w:val="fr-CA"/>
        </w:rPr>
        <w:lastRenderedPageBreak/>
        <w:t xml:space="preserve">directions stratégiques, les modalités et les moyens de </w:t>
      </w:r>
      <w:r w:rsidR="0001520C" w:rsidRPr="00052024">
        <w:rPr>
          <w:rFonts w:ascii="Times New Roman" w:hAnsi="Times New Roman"/>
          <w:lang w:val="fr-CA"/>
        </w:rPr>
        <w:t>développer</w:t>
      </w:r>
      <w:r w:rsidR="003B7308" w:rsidRPr="00052024">
        <w:rPr>
          <w:rFonts w:ascii="Times New Roman" w:hAnsi="Times New Roman"/>
          <w:lang w:val="fr-CA"/>
        </w:rPr>
        <w:t xml:space="preserve"> et d</w:t>
      </w:r>
      <w:r w:rsidR="0001520C" w:rsidRPr="00052024">
        <w:rPr>
          <w:rFonts w:ascii="Times New Roman" w:hAnsi="Times New Roman"/>
          <w:lang w:val="fr-CA"/>
        </w:rPr>
        <w:t>e renforcer les capacités des pa</w:t>
      </w:r>
      <w:r w:rsidR="003B7308" w:rsidRPr="00052024">
        <w:rPr>
          <w:rFonts w:ascii="Times New Roman" w:hAnsi="Times New Roman"/>
          <w:lang w:val="fr-CA"/>
        </w:rPr>
        <w:t xml:space="preserve">rticuliers et des </w:t>
      </w:r>
      <w:r w:rsidR="0001520C" w:rsidRPr="00052024">
        <w:rPr>
          <w:rFonts w:ascii="Times New Roman" w:hAnsi="Times New Roman"/>
          <w:lang w:val="fr-CA"/>
        </w:rPr>
        <w:t>institutions</w:t>
      </w:r>
      <w:r w:rsidR="003B7308" w:rsidRPr="00052024">
        <w:rPr>
          <w:rFonts w:ascii="Times New Roman" w:hAnsi="Times New Roman"/>
          <w:lang w:val="fr-CA"/>
        </w:rPr>
        <w:t xml:space="preserve"> à partir des </w:t>
      </w:r>
      <w:r w:rsidR="00F2636D">
        <w:rPr>
          <w:rFonts w:ascii="Times New Roman" w:hAnsi="Times New Roman"/>
          <w:lang w:val="fr-CA"/>
        </w:rPr>
        <w:t xml:space="preserve">besoins </w:t>
      </w:r>
      <w:r w:rsidR="003B7308" w:rsidRPr="00052024">
        <w:rPr>
          <w:rFonts w:ascii="Times New Roman" w:hAnsi="Times New Roman"/>
          <w:lang w:val="fr-CA"/>
        </w:rPr>
        <w:t>priorit</w:t>
      </w:r>
      <w:r w:rsidR="00F2636D">
        <w:rPr>
          <w:rFonts w:ascii="Times New Roman" w:hAnsi="Times New Roman"/>
          <w:lang w:val="fr-CA"/>
        </w:rPr>
        <w:t>aire</w:t>
      </w:r>
      <w:r w:rsidR="003B7308" w:rsidRPr="00052024">
        <w:rPr>
          <w:rFonts w:ascii="Times New Roman" w:hAnsi="Times New Roman"/>
          <w:lang w:val="fr-CA"/>
        </w:rPr>
        <w:t>s définis par la Plénière de la Plateforme. Dans sa décision IPBES-</w:t>
      </w:r>
      <w:r w:rsidR="0001520C" w:rsidRPr="00052024">
        <w:rPr>
          <w:rFonts w:ascii="Times New Roman" w:hAnsi="Times New Roman"/>
          <w:lang w:val="fr-CA"/>
        </w:rPr>
        <w:t>6/1, la Plé</w:t>
      </w:r>
      <w:r w:rsidR="003B7308" w:rsidRPr="00052024">
        <w:rPr>
          <w:rFonts w:ascii="Times New Roman" w:hAnsi="Times New Roman"/>
          <w:lang w:val="fr-CA"/>
        </w:rPr>
        <w:t>ni</w:t>
      </w:r>
      <w:r w:rsidR="0001520C" w:rsidRPr="00052024">
        <w:rPr>
          <w:rFonts w:ascii="Times New Roman" w:hAnsi="Times New Roman"/>
          <w:lang w:val="fr-CA"/>
        </w:rPr>
        <w:t>ère accueille avec satisfacti</w:t>
      </w:r>
      <w:r w:rsidR="003B7308" w:rsidRPr="00052024">
        <w:rPr>
          <w:rFonts w:ascii="Times New Roman" w:hAnsi="Times New Roman"/>
          <w:lang w:val="fr-CA"/>
        </w:rPr>
        <w:t>on les progrès réalisés dans la mise en œuvre du plan de renforcement des capacités à horizon mobile et les efforts des organisations partenaires en appui au</w:t>
      </w:r>
      <w:r w:rsidR="00C43D7C">
        <w:rPr>
          <w:rFonts w:ascii="Times New Roman" w:hAnsi="Times New Roman"/>
          <w:lang w:val="fr-CA"/>
        </w:rPr>
        <w:t>x</w:t>
      </w:r>
      <w:r w:rsidR="003B7308" w:rsidRPr="00052024">
        <w:rPr>
          <w:rFonts w:ascii="Times New Roman" w:hAnsi="Times New Roman"/>
          <w:lang w:val="fr-CA"/>
        </w:rPr>
        <w:t xml:space="preserve"> projets de renforcement des </w:t>
      </w:r>
      <w:r w:rsidR="0001520C" w:rsidRPr="00052024">
        <w:rPr>
          <w:rFonts w:ascii="Times New Roman" w:hAnsi="Times New Roman"/>
          <w:lang w:val="fr-CA"/>
        </w:rPr>
        <w:t>capacités</w:t>
      </w:r>
      <w:r w:rsidR="003B7308" w:rsidRPr="00052024">
        <w:rPr>
          <w:rFonts w:ascii="Times New Roman" w:hAnsi="Times New Roman"/>
          <w:lang w:val="fr-CA"/>
        </w:rPr>
        <w:t xml:space="preserve">, et </w:t>
      </w:r>
      <w:r w:rsidR="00F2636D">
        <w:rPr>
          <w:rFonts w:ascii="Times New Roman" w:hAnsi="Times New Roman"/>
          <w:lang w:val="fr-CA"/>
        </w:rPr>
        <w:t>demande</w:t>
      </w:r>
      <w:r w:rsidR="003B7308" w:rsidRPr="00052024">
        <w:rPr>
          <w:rFonts w:ascii="Times New Roman" w:hAnsi="Times New Roman"/>
          <w:lang w:val="fr-CA"/>
        </w:rPr>
        <w:t xml:space="preserve"> au groupe de travail sur le renforcement des capacités de poursuivre la mise en œuvre du plan et d’</w:t>
      </w:r>
      <w:r w:rsidR="0001520C" w:rsidRPr="00052024">
        <w:rPr>
          <w:rFonts w:ascii="Times New Roman" w:hAnsi="Times New Roman"/>
          <w:lang w:val="fr-CA"/>
        </w:rPr>
        <w:t xml:space="preserve">améliorer </w:t>
      </w:r>
      <w:r w:rsidR="003B7308" w:rsidRPr="00052024">
        <w:rPr>
          <w:rFonts w:ascii="Times New Roman" w:hAnsi="Times New Roman"/>
          <w:lang w:val="fr-CA"/>
        </w:rPr>
        <w:t>la collaboration avec les autres organisations pour la mise en œuvre. Elle a aussi invité d’</w:t>
      </w:r>
      <w:r w:rsidR="0001520C" w:rsidRPr="00052024">
        <w:rPr>
          <w:rFonts w:ascii="Times New Roman" w:hAnsi="Times New Roman"/>
          <w:lang w:val="fr-CA"/>
        </w:rPr>
        <w:t>autres organisati</w:t>
      </w:r>
      <w:r w:rsidR="003B7308" w:rsidRPr="00052024">
        <w:rPr>
          <w:rFonts w:ascii="Times New Roman" w:hAnsi="Times New Roman"/>
          <w:lang w:val="fr-CA"/>
        </w:rPr>
        <w:t>ons à particip</w:t>
      </w:r>
      <w:r w:rsidR="0001520C" w:rsidRPr="00052024">
        <w:rPr>
          <w:rFonts w:ascii="Times New Roman" w:hAnsi="Times New Roman"/>
          <w:lang w:val="fr-CA"/>
        </w:rPr>
        <w:t>er aux effor</w:t>
      </w:r>
      <w:r w:rsidR="003B7308" w:rsidRPr="00052024">
        <w:rPr>
          <w:rFonts w:ascii="Times New Roman" w:hAnsi="Times New Roman"/>
          <w:lang w:val="fr-CA"/>
        </w:rPr>
        <w:t>t</w:t>
      </w:r>
      <w:r w:rsidR="0001520C" w:rsidRPr="00052024">
        <w:rPr>
          <w:rFonts w:ascii="Times New Roman" w:hAnsi="Times New Roman"/>
          <w:lang w:val="fr-CA"/>
        </w:rPr>
        <w:t>s en offrant une contribution technique et financi</w:t>
      </w:r>
      <w:r w:rsidR="003B7308" w:rsidRPr="00052024">
        <w:rPr>
          <w:rFonts w:ascii="Times New Roman" w:hAnsi="Times New Roman"/>
          <w:lang w:val="fr-CA"/>
        </w:rPr>
        <w:t xml:space="preserve">ère </w:t>
      </w:r>
      <w:r w:rsidR="0001520C" w:rsidRPr="00052024">
        <w:rPr>
          <w:rFonts w:ascii="Times New Roman" w:hAnsi="Times New Roman"/>
          <w:lang w:val="fr-CA"/>
        </w:rPr>
        <w:t>équivalente aux besoins</w:t>
      </w:r>
      <w:r w:rsidR="003B7308" w:rsidRPr="00052024">
        <w:rPr>
          <w:rFonts w:ascii="Times New Roman" w:hAnsi="Times New Roman"/>
          <w:lang w:val="fr-CA"/>
        </w:rPr>
        <w:t xml:space="preserve"> de renforcement des capacités reconnus</w:t>
      </w:r>
      <w:r w:rsidR="008B34ED" w:rsidRPr="00052024">
        <w:rPr>
          <w:rFonts w:ascii="Times New Roman" w:hAnsi="Times New Roman"/>
          <w:lang w:val="fr-CA"/>
        </w:rPr>
        <w:t>.</w:t>
      </w:r>
      <w:r w:rsidR="001D701A" w:rsidRPr="00052024">
        <w:rPr>
          <w:rFonts w:ascii="Times New Roman" w:hAnsi="Times New Roman"/>
          <w:lang w:val="fr-CA"/>
        </w:rPr>
        <w:t xml:space="preserve"> </w:t>
      </w:r>
    </w:p>
    <w:p w14:paraId="24A1080B" w14:textId="529A4F69" w:rsidR="00952C0C" w:rsidRPr="00052024" w:rsidRDefault="00DE3E96" w:rsidP="00347F36">
      <w:pPr>
        <w:pStyle w:val="StylePara1HeadingsCSTimesNewRoman"/>
        <w:rPr>
          <w:rFonts w:ascii="Times New Roman" w:hAnsi="Times New Roman"/>
          <w:szCs w:val="22"/>
          <w:lang w:val="fr-CA"/>
        </w:rPr>
      </w:pPr>
      <w:r>
        <w:rPr>
          <w:rFonts w:ascii="Times New Roman" w:hAnsi="Times New Roman"/>
          <w:szCs w:val="22"/>
          <w:lang w:val="fr-CA"/>
        </w:rPr>
        <w:t>Dans sa</w:t>
      </w:r>
      <w:r w:rsidR="00E11446" w:rsidRPr="00052024">
        <w:rPr>
          <w:rFonts w:ascii="Times New Roman" w:hAnsi="Times New Roman"/>
          <w:szCs w:val="22"/>
          <w:lang w:val="fr-CA"/>
        </w:rPr>
        <w:t xml:space="preserve"> décision IPBES-5/1</w:t>
      </w:r>
      <w:r>
        <w:rPr>
          <w:rFonts w:ascii="Times New Roman" w:hAnsi="Times New Roman"/>
          <w:szCs w:val="22"/>
          <w:lang w:val="fr-CA"/>
        </w:rPr>
        <w:t xml:space="preserve">, la Plénière a approuvé </w:t>
      </w:r>
      <w:r w:rsidR="00E11446" w:rsidRPr="00052024">
        <w:rPr>
          <w:rFonts w:ascii="Times New Roman" w:hAnsi="Times New Roman"/>
          <w:szCs w:val="22"/>
          <w:lang w:val="fr-CA"/>
        </w:rPr>
        <w:t xml:space="preserve">la méthode pour reconnaître et </w:t>
      </w:r>
      <w:r w:rsidR="00F03CEC">
        <w:rPr>
          <w:rFonts w:ascii="Times New Roman" w:hAnsi="Times New Roman"/>
          <w:szCs w:val="22"/>
          <w:lang w:val="fr-CA"/>
        </w:rPr>
        <w:t>utiliser</w:t>
      </w:r>
      <w:r w:rsidR="00E11446" w:rsidRPr="00052024">
        <w:rPr>
          <w:rFonts w:ascii="Times New Roman" w:hAnsi="Times New Roman"/>
          <w:szCs w:val="22"/>
          <w:lang w:val="fr-CA"/>
        </w:rPr>
        <w:t xml:space="preserve"> les </w:t>
      </w:r>
      <w:r w:rsidR="00347F36" w:rsidRPr="00052024">
        <w:rPr>
          <w:rFonts w:ascii="Times New Roman" w:hAnsi="Times New Roman"/>
          <w:szCs w:val="22"/>
          <w:lang w:val="fr-CA"/>
        </w:rPr>
        <w:t>systèmes de savoirs</w:t>
      </w:r>
      <w:r w:rsidR="00E11446" w:rsidRPr="00052024">
        <w:rPr>
          <w:rFonts w:ascii="Times New Roman" w:hAnsi="Times New Roman"/>
          <w:szCs w:val="22"/>
          <w:lang w:val="fr-CA"/>
        </w:rPr>
        <w:t xml:space="preserve"> autochtones et </w:t>
      </w:r>
      <w:r w:rsidR="00347F36" w:rsidRPr="00052024">
        <w:rPr>
          <w:rFonts w:ascii="Times New Roman" w:hAnsi="Times New Roman"/>
          <w:szCs w:val="22"/>
          <w:lang w:val="fr-CA"/>
        </w:rPr>
        <w:t>locaux défini</w:t>
      </w:r>
      <w:r w:rsidR="0070591C">
        <w:rPr>
          <w:rFonts w:ascii="Times New Roman" w:hAnsi="Times New Roman"/>
          <w:szCs w:val="22"/>
          <w:lang w:val="fr-CA"/>
        </w:rPr>
        <w:t>e</w:t>
      </w:r>
      <w:r w:rsidR="00E11446" w:rsidRPr="00052024">
        <w:rPr>
          <w:rFonts w:ascii="Times New Roman" w:hAnsi="Times New Roman"/>
          <w:szCs w:val="22"/>
          <w:lang w:val="fr-CA"/>
        </w:rPr>
        <w:t xml:space="preserve"> à l’annexe II à la décision. La P</w:t>
      </w:r>
      <w:r w:rsidR="00C43D7C">
        <w:rPr>
          <w:rFonts w:ascii="Times New Roman" w:hAnsi="Times New Roman"/>
          <w:szCs w:val="22"/>
          <w:lang w:val="fr-CA"/>
        </w:rPr>
        <w:t>lénière, dans sa décision IPBES-</w:t>
      </w:r>
      <w:r w:rsidR="00E11446" w:rsidRPr="00052024">
        <w:rPr>
          <w:rFonts w:ascii="Times New Roman" w:hAnsi="Times New Roman"/>
          <w:szCs w:val="22"/>
          <w:lang w:val="fr-CA"/>
        </w:rPr>
        <w:t>6/1</w:t>
      </w:r>
      <w:r w:rsidR="00C43D7C">
        <w:rPr>
          <w:rFonts w:ascii="Times New Roman" w:hAnsi="Times New Roman"/>
          <w:szCs w:val="22"/>
          <w:lang w:val="fr-CA"/>
        </w:rPr>
        <w:t>,</w:t>
      </w:r>
      <w:r w:rsidR="00E11446" w:rsidRPr="00052024">
        <w:rPr>
          <w:rFonts w:ascii="Times New Roman" w:hAnsi="Times New Roman"/>
          <w:szCs w:val="22"/>
          <w:lang w:val="fr-CA"/>
        </w:rPr>
        <w:t xml:space="preserve"> a accueilli avec satisfaction les progrès accomplis par le Groupe d’experts multidisciplinaire, </w:t>
      </w:r>
      <w:r w:rsidR="00347F36" w:rsidRPr="00052024">
        <w:rPr>
          <w:rFonts w:ascii="Times New Roman" w:hAnsi="Times New Roman"/>
          <w:szCs w:val="22"/>
          <w:lang w:val="fr-CA"/>
        </w:rPr>
        <w:t>avec l’appui de l’équipe spéciale sur les systèmes de savoirs</w:t>
      </w:r>
      <w:r w:rsidR="00E11446" w:rsidRPr="00052024">
        <w:rPr>
          <w:rFonts w:ascii="Times New Roman" w:hAnsi="Times New Roman"/>
          <w:szCs w:val="22"/>
          <w:lang w:val="fr-CA"/>
        </w:rPr>
        <w:t xml:space="preserve"> autochtones et loca</w:t>
      </w:r>
      <w:r w:rsidR="00347F36" w:rsidRPr="00052024">
        <w:rPr>
          <w:rFonts w:ascii="Times New Roman" w:hAnsi="Times New Roman"/>
          <w:szCs w:val="22"/>
          <w:lang w:val="fr-CA"/>
        </w:rPr>
        <w:t>ux</w:t>
      </w:r>
      <w:r w:rsidR="00E11446" w:rsidRPr="00052024">
        <w:rPr>
          <w:rFonts w:ascii="Times New Roman" w:hAnsi="Times New Roman"/>
          <w:szCs w:val="22"/>
          <w:lang w:val="fr-CA"/>
        </w:rPr>
        <w:t xml:space="preserve">, dans la mise en œuvre de la méthode. Il a demandé à la Secrétaire exécutive de la Convention sur la diversité biologique, </w:t>
      </w:r>
      <w:r w:rsidR="00B039A5" w:rsidRPr="00052024">
        <w:rPr>
          <w:rFonts w:ascii="Times New Roman" w:hAnsi="Times New Roman"/>
          <w:szCs w:val="22"/>
          <w:lang w:val="fr-CA"/>
        </w:rPr>
        <w:t xml:space="preserve">en collaboration avec le Groupe d’experts multidisciplinaire, et avec l’appui de l’équipe spéciale sur les systèmes de savoirs autochtones et </w:t>
      </w:r>
      <w:r w:rsidR="00347F36" w:rsidRPr="00052024">
        <w:rPr>
          <w:rFonts w:ascii="Times New Roman" w:hAnsi="Times New Roman"/>
          <w:szCs w:val="22"/>
          <w:lang w:val="fr-CA"/>
        </w:rPr>
        <w:t>locaux</w:t>
      </w:r>
      <w:r w:rsidR="00B039A5" w:rsidRPr="00052024">
        <w:rPr>
          <w:rFonts w:ascii="Times New Roman" w:hAnsi="Times New Roman"/>
          <w:szCs w:val="22"/>
          <w:lang w:val="fr-CA"/>
        </w:rPr>
        <w:t>, entre autres, de continuer à mettre en œuvre cette méthode</w:t>
      </w:r>
      <w:r w:rsidR="001D701A" w:rsidRPr="00052024">
        <w:rPr>
          <w:rFonts w:ascii="Times New Roman" w:hAnsi="Times New Roman"/>
          <w:szCs w:val="22"/>
          <w:lang w:val="fr-CA"/>
        </w:rPr>
        <w:t xml:space="preserve">. </w:t>
      </w:r>
    </w:p>
    <w:p w14:paraId="50BE624A" w14:textId="6CC0C4FD" w:rsidR="00B662FF" w:rsidRPr="00052024" w:rsidRDefault="00B039A5" w:rsidP="003E3A6F">
      <w:pPr>
        <w:pStyle w:val="StylePara1HeadingsCSTimesNewRoman"/>
        <w:rPr>
          <w:rFonts w:ascii="Times New Roman" w:hAnsi="Times New Roman"/>
          <w:szCs w:val="22"/>
          <w:lang w:val="fr-CA"/>
        </w:rPr>
      </w:pPr>
      <w:r w:rsidRPr="00052024">
        <w:rPr>
          <w:rFonts w:ascii="Times New Roman" w:hAnsi="Times New Roman"/>
          <w:szCs w:val="22"/>
          <w:lang w:val="fr-CA"/>
        </w:rPr>
        <w:t>Le groupe de travail sur les connaissances et les données (</w:t>
      </w:r>
      <w:r w:rsidR="00D959B3" w:rsidRPr="00052024">
        <w:rPr>
          <w:rFonts w:ascii="Times New Roman" w:hAnsi="Times New Roman"/>
          <w:szCs w:val="22"/>
          <w:lang w:val="fr-CA"/>
        </w:rPr>
        <w:t>résultats concrets</w:t>
      </w:r>
      <w:r w:rsidRPr="00052024">
        <w:rPr>
          <w:rFonts w:ascii="Times New Roman" w:hAnsi="Times New Roman"/>
          <w:szCs w:val="22"/>
          <w:lang w:val="fr-CA"/>
        </w:rPr>
        <w:t xml:space="preserve"> 1 d) et 4 b)</w:t>
      </w:r>
      <w:r w:rsidR="00D959B3" w:rsidRPr="00052024">
        <w:rPr>
          <w:rFonts w:ascii="Times New Roman" w:hAnsi="Times New Roman"/>
          <w:szCs w:val="22"/>
          <w:lang w:val="fr-CA"/>
        </w:rPr>
        <w:t>) a développé un processus pour repérer les écarts des savoirs et catalyser la production de nouveaux savoirs. La mise en œuvre du processus a d’abord mis l’accent sur l’évaluation de la pollinisation, des pollinisateurs et de la production alimentaires à titre pilote. Dans sa décision IPBES-6/1, la Plénière a accueilli avec satisfaction les prog</w:t>
      </w:r>
      <w:r w:rsidR="00CB02C9" w:rsidRPr="00052024">
        <w:rPr>
          <w:rFonts w:ascii="Times New Roman" w:hAnsi="Times New Roman"/>
          <w:szCs w:val="22"/>
          <w:lang w:val="fr-CA"/>
        </w:rPr>
        <w:t>rès</w:t>
      </w:r>
      <w:r w:rsidR="00D959B3" w:rsidRPr="00052024">
        <w:rPr>
          <w:rFonts w:ascii="Times New Roman" w:hAnsi="Times New Roman"/>
          <w:szCs w:val="22"/>
          <w:lang w:val="fr-CA"/>
        </w:rPr>
        <w:t xml:space="preserve"> accomplis par le groupe</w:t>
      </w:r>
      <w:r w:rsidR="00CB02C9" w:rsidRPr="00052024">
        <w:rPr>
          <w:rFonts w:ascii="Times New Roman" w:hAnsi="Times New Roman"/>
          <w:szCs w:val="22"/>
          <w:lang w:val="fr-CA"/>
        </w:rPr>
        <w:t xml:space="preserve"> de travail dans la mise en œuvre du plan de travail et a demandé au Secrétaire exécutif de la Plateforme intergouvernementale scientifique et politique sur la biodiversité et les services écosystémiques, en collaboration avec le Groupe d’experts multidisciplinaire, d’accélérer les efforts pour catalyser la production de nouveaux savoirs, plus particulièrement pour resserrer les écarts des savoirs cernés dans les évaluations de la Plateforme</w:t>
      </w:r>
      <w:r w:rsidR="00B662FF" w:rsidRPr="00052024">
        <w:rPr>
          <w:rFonts w:ascii="Times New Roman" w:hAnsi="Times New Roman"/>
          <w:szCs w:val="22"/>
          <w:lang w:val="fr-CA"/>
        </w:rPr>
        <w:t xml:space="preserve">. </w:t>
      </w:r>
    </w:p>
    <w:p w14:paraId="32CD97FC" w14:textId="46D5ECF2" w:rsidR="00D54340" w:rsidRPr="00052024" w:rsidRDefault="00CB02C9" w:rsidP="003E3A6F">
      <w:pPr>
        <w:pStyle w:val="StylePara1HeadingsCSTimesNewRoman"/>
        <w:rPr>
          <w:rFonts w:ascii="Times New Roman" w:hAnsi="Times New Roman"/>
          <w:lang w:val="fr-CA"/>
        </w:rPr>
      </w:pPr>
      <w:r w:rsidRPr="00052024">
        <w:rPr>
          <w:rFonts w:ascii="Times New Roman" w:hAnsi="Times New Roman"/>
          <w:lang w:val="fr-CA"/>
        </w:rPr>
        <w:t xml:space="preserve">Une version révisée du catalogue des </w:t>
      </w:r>
      <w:r w:rsidR="00A60D97" w:rsidRPr="00052024">
        <w:rPr>
          <w:rFonts w:ascii="Times New Roman" w:hAnsi="Times New Roman"/>
          <w:lang w:val="fr-CA"/>
        </w:rPr>
        <w:t xml:space="preserve">outils et méthodes d’appui aux politiques </w:t>
      </w:r>
      <w:r w:rsidR="00391D33">
        <w:rPr>
          <w:rFonts w:ascii="Times New Roman" w:hAnsi="Times New Roman"/>
          <w:lang w:val="fr-CA"/>
        </w:rPr>
        <w:t>(résultat concret 4 </w:t>
      </w:r>
      <w:r w:rsidRPr="00052024">
        <w:rPr>
          <w:rFonts w:ascii="Times New Roman" w:hAnsi="Times New Roman"/>
          <w:lang w:val="fr-CA"/>
        </w:rPr>
        <w:t xml:space="preserve">a)) a été </w:t>
      </w:r>
      <w:r w:rsidR="0070591C">
        <w:rPr>
          <w:rFonts w:ascii="Times New Roman" w:hAnsi="Times New Roman"/>
          <w:lang w:val="fr-CA"/>
        </w:rPr>
        <w:t>soumise</w:t>
      </w:r>
      <w:r w:rsidRPr="00052024">
        <w:rPr>
          <w:rFonts w:ascii="Times New Roman" w:hAnsi="Times New Roman"/>
          <w:lang w:val="fr-CA"/>
        </w:rPr>
        <w:t xml:space="preserve"> à la Plénière de la Plateforme intergouvernementale scientifique et politique sur la biodiversité et les services écosystémiques à sa sixième session</w:t>
      </w:r>
      <w:r w:rsidR="008F75AB" w:rsidRPr="00052024">
        <w:rPr>
          <w:rFonts w:ascii="Times New Roman" w:hAnsi="Times New Roman"/>
          <w:lang w:val="fr-CA"/>
        </w:rPr>
        <w:t xml:space="preserve">. La Plénière, dans sa décision IPBES-6/1, a accueilli avec satisfaction les progrès accomplis et a demandé au groupe d’experts sur les outils </w:t>
      </w:r>
      <w:r w:rsidR="00A60D97" w:rsidRPr="00052024">
        <w:rPr>
          <w:rFonts w:ascii="Times New Roman" w:hAnsi="Times New Roman"/>
          <w:lang w:val="fr-CA"/>
        </w:rPr>
        <w:t>et méthodes d’appui aux politiques</w:t>
      </w:r>
      <w:r w:rsidR="008F75AB" w:rsidRPr="00052024">
        <w:rPr>
          <w:rFonts w:ascii="Times New Roman" w:hAnsi="Times New Roman"/>
          <w:lang w:val="fr-CA"/>
        </w:rPr>
        <w:t xml:space="preserve"> de développer davantage le catalogue et les orientations pour les évaluations de la Plateforme en mettant en œuvre des activités pour encourager l’utilisation d</w:t>
      </w:r>
      <w:r w:rsidR="00A60D97" w:rsidRPr="00052024">
        <w:rPr>
          <w:rFonts w:ascii="Times New Roman" w:hAnsi="Times New Roman"/>
          <w:lang w:val="fr-CA"/>
        </w:rPr>
        <w:t>e</w:t>
      </w:r>
      <w:r w:rsidR="008F75AB" w:rsidRPr="00052024">
        <w:rPr>
          <w:rFonts w:ascii="Times New Roman" w:hAnsi="Times New Roman"/>
          <w:lang w:val="fr-CA"/>
        </w:rPr>
        <w:t xml:space="preserve"> ces outils et méthodes par les décideurs et les professionnels.</w:t>
      </w:r>
    </w:p>
    <w:p w14:paraId="144C75FE" w14:textId="4E2CC650" w:rsidR="007A4CE1" w:rsidRPr="00052024" w:rsidRDefault="008F75AB" w:rsidP="003E3A6F">
      <w:pPr>
        <w:pStyle w:val="StylePara1HeadingsCSTimesNewRoman"/>
        <w:rPr>
          <w:rFonts w:ascii="Times New Roman" w:hAnsi="Times New Roman"/>
          <w:lang w:val="fr-CA"/>
        </w:rPr>
      </w:pPr>
      <w:r w:rsidRPr="00052024">
        <w:rPr>
          <w:rFonts w:ascii="Times New Roman" w:hAnsi="Times New Roman"/>
          <w:lang w:val="fr-CA"/>
        </w:rPr>
        <w:t>Dans sa décision</w:t>
      </w:r>
      <w:r w:rsidR="007A4CE1" w:rsidRPr="00052024">
        <w:rPr>
          <w:rFonts w:ascii="Times New Roman" w:hAnsi="Times New Roman"/>
          <w:lang w:val="fr-CA"/>
        </w:rPr>
        <w:t xml:space="preserve"> </w:t>
      </w:r>
      <w:hyperlink r:id="rId21" w:history="1">
        <w:r w:rsidR="007A4CE1" w:rsidRPr="00052024">
          <w:rPr>
            <w:rStyle w:val="Lienhypertexte"/>
            <w:rFonts w:ascii="Times New Roman" w:hAnsi="Times New Roman"/>
            <w:lang w:val="fr-CA"/>
          </w:rPr>
          <w:t>XIII/31</w:t>
        </w:r>
      </w:hyperlink>
      <w:r w:rsidR="007A4CE1" w:rsidRPr="00052024">
        <w:rPr>
          <w:rFonts w:ascii="Times New Roman" w:hAnsi="Times New Roman"/>
          <w:lang w:val="fr-CA"/>
        </w:rPr>
        <w:t xml:space="preserve">, </w:t>
      </w:r>
      <w:r w:rsidRPr="00052024">
        <w:rPr>
          <w:rFonts w:ascii="Times New Roman" w:hAnsi="Times New Roman"/>
          <w:lang w:val="fr-CA"/>
        </w:rPr>
        <w:t>la Conférence des Parties prie la Secrétaire exécutive de poursuivre la collaboration avec la Plateforme intergouvernementale scientifique et politique sur la biodiversité et les services écosystémiques, le Programme des Nations Unies pour l’enviro</w:t>
      </w:r>
      <w:r w:rsidR="00391D33">
        <w:rPr>
          <w:rFonts w:ascii="Times New Roman" w:hAnsi="Times New Roman"/>
          <w:lang w:val="fr-CA"/>
        </w:rPr>
        <w:t xml:space="preserve">nnement et </w:t>
      </w:r>
      <w:r w:rsidRPr="00052024">
        <w:rPr>
          <w:rFonts w:ascii="Times New Roman" w:hAnsi="Times New Roman"/>
          <w:lang w:val="fr-CA"/>
        </w:rPr>
        <w:t>autres partenaires afin de promouvoir le développement coordonné des portails existants pour faciliter l’accès aux outils et méthodes d’appui aux politiques, ainsi qu’aux études de cas et évaluations sur l’utilisation et l’efficacité de ces outils, compte tenu des capacités et compétences différentes des pays</w:t>
      </w:r>
      <w:r w:rsidR="007A4CE1" w:rsidRPr="00052024">
        <w:rPr>
          <w:rFonts w:ascii="Times New Roman" w:hAnsi="Times New Roman"/>
          <w:lang w:val="fr-CA"/>
        </w:rPr>
        <w:t>.</w:t>
      </w:r>
    </w:p>
    <w:p w14:paraId="545743C6" w14:textId="19E7DC64" w:rsidR="007A4CE1" w:rsidRPr="00052024" w:rsidRDefault="005759A9" w:rsidP="003E3A6F">
      <w:pPr>
        <w:pStyle w:val="Heading1longmultiline"/>
        <w:rPr>
          <w:lang w:val="fr-CA"/>
        </w:rPr>
      </w:pPr>
      <w:r w:rsidRPr="00052024">
        <w:rPr>
          <w:lang w:val="fr-CA"/>
        </w:rPr>
        <w:t xml:space="preserve">II. </w:t>
      </w:r>
      <w:r w:rsidR="006B000E" w:rsidRPr="00052024">
        <w:rPr>
          <w:lang w:val="fr-CA"/>
        </w:rPr>
        <w:tab/>
      </w:r>
      <w:r w:rsidR="00D53CB9" w:rsidRPr="00052024">
        <w:rPr>
          <w:lang w:val="fr-CA"/>
        </w:rPr>
        <w:t>PROCESSUS PROPOSÉ POUR LE DÉVELOPPEMENT DES ÉLÉMENTS DU PROGRAMME DE TRAVAIL DE LA PLATEFORME</w:t>
      </w:r>
    </w:p>
    <w:p w14:paraId="32CFED1B" w14:textId="334C5C04" w:rsidR="007A4CE1" w:rsidRPr="00052024" w:rsidRDefault="00D110C7" w:rsidP="00D110C7">
      <w:pPr>
        <w:pStyle w:val="StylePara1HeadingsCSTimesNewRoman"/>
        <w:rPr>
          <w:rFonts w:ascii="Times New Roman" w:hAnsi="Times New Roman"/>
          <w:lang w:val="fr-CA"/>
        </w:rPr>
      </w:pPr>
      <w:r w:rsidRPr="00052024">
        <w:rPr>
          <w:rFonts w:ascii="Times New Roman" w:hAnsi="Times New Roman"/>
          <w:lang w:val="fr-CA"/>
        </w:rPr>
        <w:t xml:space="preserve">Dans sa décision IPBES-1/3, reproduite à l’annexe I à la présente note, la Plénière de </w:t>
      </w:r>
      <w:r w:rsidR="00EE4BC7">
        <w:rPr>
          <w:rFonts w:ascii="Times New Roman" w:hAnsi="Times New Roman"/>
          <w:lang w:val="fr-CA"/>
        </w:rPr>
        <w:t xml:space="preserve">la </w:t>
      </w:r>
      <w:r w:rsidRPr="00052024">
        <w:rPr>
          <w:rFonts w:ascii="Times New Roman" w:hAnsi="Times New Roman"/>
          <w:lang w:val="fr-CA"/>
        </w:rPr>
        <w:t xml:space="preserve">Plateforme intergouvernementale scientifique et politique sur la biodiversité et les services écosystémiques détermine la procédure de réception et de </w:t>
      </w:r>
      <w:r w:rsidR="00EE4BC7">
        <w:rPr>
          <w:rFonts w:ascii="Times New Roman" w:hAnsi="Times New Roman"/>
          <w:lang w:val="fr-CA"/>
        </w:rPr>
        <w:t>hiérarchisation</w:t>
      </w:r>
      <w:r w:rsidRPr="00052024">
        <w:rPr>
          <w:rFonts w:ascii="Times New Roman" w:hAnsi="Times New Roman"/>
          <w:lang w:val="fr-CA"/>
        </w:rPr>
        <w:t xml:space="preserve"> des requêtes présentées à la Plateforme</w:t>
      </w:r>
      <w:r w:rsidR="007A4CE1" w:rsidRPr="00052024">
        <w:rPr>
          <w:rFonts w:ascii="Times New Roman" w:hAnsi="Times New Roman"/>
          <w:lang w:val="fr-CA"/>
        </w:rPr>
        <w:t>.</w:t>
      </w:r>
      <w:r w:rsidRPr="00052024">
        <w:rPr>
          <w:rFonts w:ascii="Times New Roman" w:hAnsi="Times New Roman"/>
          <w:lang w:val="fr-CA"/>
        </w:rPr>
        <w:t xml:space="preserve"> Elle stipule que les gouvernements et les accords multilatéraux sur l’environnement</w:t>
      </w:r>
      <w:r w:rsidR="00AD79A6" w:rsidRPr="00052024">
        <w:rPr>
          <w:rFonts w:ascii="Times New Roman" w:hAnsi="Times New Roman"/>
          <w:lang w:val="fr-CA"/>
        </w:rPr>
        <w:t xml:space="preserve"> ayant un lien avec la</w:t>
      </w:r>
      <w:r w:rsidR="0077004B" w:rsidRPr="00052024">
        <w:rPr>
          <w:rFonts w:ascii="Times New Roman" w:hAnsi="Times New Roman"/>
          <w:lang w:val="fr-CA"/>
        </w:rPr>
        <w:t xml:space="preserve"> diversité biologique et les services écosystémiques peuvent présenter des requêtes à la Plateforme intergouvernementale scientifique et politique sur la biodiversité et les services écosystémiques </w:t>
      </w:r>
      <w:r w:rsidR="00AD79A6" w:rsidRPr="00052024">
        <w:rPr>
          <w:rFonts w:ascii="Times New Roman" w:hAnsi="Times New Roman"/>
          <w:lang w:val="fr-CA"/>
        </w:rPr>
        <w:t>concernant des questions techniques et scienti</w:t>
      </w:r>
      <w:r w:rsidR="0077004B" w:rsidRPr="00052024">
        <w:rPr>
          <w:rFonts w:ascii="Times New Roman" w:hAnsi="Times New Roman"/>
          <w:lang w:val="fr-CA"/>
        </w:rPr>
        <w:t xml:space="preserve">fiques  devant être portées à l’attention de la Plateforme et sur lesquelles elle doit </w:t>
      </w:r>
      <w:r w:rsidR="00AD79A6" w:rsidRPr="00052024">
        <w:rPr>
          <w:rFonts w:ascii="Times New Roman" w:hAnsi="Times New Roman"/>
          <w:lang w:val="fr-CA"/>
        </w:rPr>
        <w:t>agir, et encourage les accor</w:t>
      </w:r>
      <w:r w:rsidR="0077004B" w:rsidRPr="00052024">
        <w:rPr>
          <w:rFonts w:ascii="Times New Roman" w:hAnsi="Times New Roman"/>
          <w:lang w:val="fr-CA"/>
        </w:rPr>
        <w:t>ds mul</w:t>
      </w:r>
      <w:r w:rsidR="00AD79A6" w:rsidRPr="00052024">
        <w:rPr>
          <w:rFonts w:ascii="Times New Roman" w:hAnsi="Times New Roman"/>
          <w:lang w:val="fr-CA"/>
        </w:rPr>
        <w:t>t</w:t>
      </w:r>
      <w:r w:rsidR="0077004B" w:rsidRPr="00052024">
        <w:rPr>
          <w:rFonts w:ascii="Times New Roman" w:hAnsi="Times New Roman"/>
          <w:lang w:val="fr-CA"/>
        </w:rPr>
        <w:t>ilatéraux sur l’environnement à soumettre, par l’entremise de leurs organismes directeurs ou organis</w:t>
      </w:r>
      <w:r w:rsidR="00EE4BC7">
        <w:rPr>
          <w:rFonts w:ascii="Times New Roman" w:hAnsi="Times New Roman"/>
          <w:lang w:val="fr-CA"/>
        </w:rPr>
        <w:t>m</w:t>
      </w:r>
      <w:r w:rsidR="0077004B" w:rsidRPr="00052024">
        <w:rPr>
          <w:rFonts w:ascii="Times New Roman" w:hAnsi="Times New Roman"/>
          <w:lang w:val="fr-CA"/>
        </w:rPr>
        <w:t>es sc</w:t>
      </w:r>
      <w:r w:rsidR="00AD79A6" w:rsidRPr="00052024">
        <w:rPr>
          <w:rFonts w:ascii="Times New Roman" w:hAnsi="Times New Roman"/>
          <w:lang w:val="fr-CA"/>
        </w:rPr>
        <w:t>ientifique</w:t>
      </w:r>
      <w:r w:rsidR="00EE4BC7">
        <w:rPr>
          <w:rFonts w:ascii="Times New Roman" w:hAnsi="Times New Roman"/>
          <w:lang w:val="fr-CA"/>
        </w:rPr>
        <w:t>s</w:t>
      </w:r>
      <w:r w:rsidR="00AD79A6" w:rsidRPr="00052024">
        <w:rPr>
          <w:rFonts w:ascii="Times New Roman" w:hAnsi="Times New Roman"/>
          <w:lang w:val="fr-CA"/>
        </w:rPr>
        <w:t xml:space="preserve"> subsidiaire</w:t>
      </w:r>
      <w:r w:rsidR="00EE4BC7">
        <w:rPr>
          <w:rFonts w:ascii="Times New Roman" w:hAnsi="Times New Roman"/>
          <w:lang w:val="fr-CA"/>
        </w:rPr>
        <w:t>s</w:t>
      </w:r>
      <w:r w:rsidR="00AD79A6" w:rsidRPr="00052024">
        <w:rPr>
          <w:rFonts w:ascii="Times New Roman" w:hAnsi="Times New Roman"/>
          <w:lang w:val="fr-CA"/>
        </w:rPr>
        <w:t>, des requ</w:t>
      </w:r>
      <w:r w:rsidR="0077004B" w:rsidRPr="00052024">
        <w:rPr>
          <w:rFonts w:ascii="Times New Roman" w:hAnsi="Times New Roman"/>
          <w:lang w:val="fr-CA"/>
        </w:rPr>
        <w:t>ête</w:t>
      </w:r>
      <w:r w:rsidR="00AD79A6" w:rsidRPr="00052024">
        <w:rPr>
          <w:rFonts w:ascii="Times New Roman" w:hAnsi="Times New Roman"/>
          <w:lang w:val="fr-CA"/>
        </w:rPr>
        <w:t>s au nom des gouvernements et de présenter des soumissions conjointes. La décision IPBES-1/3 précise également le type d’information à joindre à la requête.</w:t>
      </w:r>
    </w:p>
    <w:p w14:paraId="6DC7E70B" w14:textId="01CCFB0A" w:rsidR="00766978" w:rsidRPr="00052024" w:rsidRDefault="00E51936" w:rsidP="003E3A6F">
      <w:pPr>
        <w:pStyle w:val="StylePara1HeadingsCSTimesNewRoman"/>
        <w:rPr>
          <w:rFonts w:ascii="Times New Roman" w:hAnsi="Times New Roman"/>
          <w:lang w:val="fr-CA"/>
        </w:rPr>
      </w:pPr>
      <w:r>
        <w:rPr>
          <w:rFonts w:ascii="Times New Roman" w:hAnsi="Times New Roman"/>
          <w:lang w:val="fr-CA"/>
        </w:rPr>
        <w:lastRenderedPageBreak/>
        <w:t>Dans s</w:t>
      </w:r>
      <w:r w:rsidR="00AD79A6" w:rsidRPr="00052024">
        <w:rPr>
          <w:rFonts w:ascii="Times New Roman" w:hAnsi="Times New Roman"/>
          <w:lang w:val="fr-CA"/>
        </w:rPr>
        <w:t xml:space="preserve">a décision IPBES-6/2, reproduite à l’annexe II </w:t>
      </w:r>
      <w:r>
        <w:rPr>
          <w:rFonts w:ascii="Times New Roman" w:hAnsi="Times New Roman"/>
          <w:lang w:val="fr-CA"/>
        </w:rPr>
        <w:t>au présent document, la Plénière de l</w:t>
      </w:r>
      <w:r w:rsidR="00CD4154">
        <w:rPr>
          <w:rFonts w:ascii="Times New Roman" w:hAnsi="Times New Roman"/>
          <w:lang w:val="fr-CA"/>
        </w:rPr>
        <w:t xml:space="preserve">a </w:t>
      </w:r>
      <w:r>
        <w:rPr>
          <w:rFonts w:ascii="Times New Roman" w:hAnsi="Times New Roman"/>
          <w:lang w:val="fr-CA"/>
        </w:rPr>
        <w:t>Plateforme intergouvernementale scientifique et politique sur la biodiversité et les services écosystémiques demande au Groupe d’</w:t>
      </w:r>
      <w:r w:rsidR="00CD4154">
        <w:rPr>
          <w:rFonts w:ascii="Times New Roman" w:hAnsi="Times New Roman"/>
          <w:lang w:val="fr-CA"/>
        </w:rPr>
        <w:t>expe</w:t>
      </w:r>
      <w:r>
        <w:rPr>
          <w:rFonts w:ascii="Times New Roman" w:hAnsi="Times New Roman"/>
          <w:lang w:val="fr-CA"/>
        </w:rPr>
        <w:t>rts multidi</w:t>
      </w:r>
      <w:r w:rsidR="00CD4154">
        <w:rPr>
          <w:rFonts w:ascii="Times New Roman" w:hAnsi="Times New Roman"/>
          <w:lang w:val="fr-CA"/>
        </w:rPr>
        <w:t>sciplinaire et au Bureau</w:t>
      </w:r>
      <w:r>
        <w:rPr>
          <w:rFonts w:ascii="Times New Roman" w:hAnsi="Times New Roman"/>
          <w:lang w:val="fr-CA"/>
        </w:rPr>
        <w:t xml:space="preserve"> d’élaborer, avec l’appui du Secrétariat, </w:t>
      </w:r>
      <w:r w:rsidR="00AD79A6" w:rsidRPr="00052024">
        <w:rPr>
          <w:rFonts w:ascii="Times New Roman" w:hAnsi="Times New Roman"/>
          <w:lang w:val="fr-CA"/>
        </w:rPr>
        <w:t xml:space="preserve">un projet de cadre stratégique à </w:t>
      </w:r>
      <w:r w:rsidR="00ED3FAC" w:rsidRPr="00052024">
        <w:rPr>
          <w:rFonts w:ascii="Times New Roman" w:hAnsi="Times New Roman"/>
          <w:lang w:val="fr-CA"/>
        </w:rPr>
        <w:t>l’</w:t>
      </w:r>
      <w:r w:rsidR="00AD79A6" w:rsidRPr="00052024">
        <w:rPr>
          <w:rFonts w:ascii="Times New Roman" w:hAnsi="Times New Roman"/>
          <w:lang w:val="fr-CA"/>
        </w:rPr>
        <w:t xml:space="preserve">horizon 2030 </w:t>
      </w:r>
      <w:r w:rsidR="00187413" w:rsidRPr="00052024">
        <w:rPr>
          <w:rFonts w:ascii="Times New Roman" w:hAnsi="Times New Roman"/>
          <w:lang w:val="fr-CA"/>
        </w:rPr>
        <w:t xml:space="preserve">et des éléments du programme de travail à horizon mobile de la Plateforme intergouvernementale scientifique et politique sur la biodiversité et les services écosystémiques, et précise les voies à suivre pour soumettre les requêtes, les contributions et les suggestions, selon le cas, avant le 30 septembre 2018. La Convention pourra soumettre ses requêtes dans une décision de la Conférence des Parties à sa quatorzième réunion. Un résumé des requêtes, contributions et suggestions, en ordre de priorité, accompagnée du projet de cadre stratégique à </w:t>
      </w:r>
      <w:r w:rsidR="00ED3FAC" w:rsidRPr="00052024">
        <w:rPr>
          <w:rFonts w:ascii="Times New Roman" w:hAnsi="Times New Roman"/>
          <w:lang w:val="fr-CA"/>
        </w:rPr>
        <w:t>l’</w:t>
      </w:r>
      <w:r w:rsidR="00EE4BC7">
        <w:rPr>
          <w:rFonts w:ascii="Times New Roman" w:hAnsi="Times New Roman"/>
          <w:lang w:val="fr-CA"/>
        </w:rPr>
        <w:t>horizon 2030 et d</w:t>
      </w:r>
      <w:r w:rsidR="00187413" w:rsidRPr="00052024">
        <w:rPr>
          <w:rFonts w:ascii="Times New Roman" w:hAnsi="Times New Roman"/>
          <w:lang w:val="fr-CA"/>
        </w:rPr>
        <w:t xml:space="preserve">es éléments du programme de </w:t>
      </w:r>
      <w:r w:rsidR="00EE4BC7">
        <w:rPr>
          <w:rFonts w:ascii="Times New Roman" w:hAnsi="Times New Roman"/>
          <w:lang w:val="fr-CA"/>
        </w:rPr>
        <w:t>travail de la Plateforme serai</w:t>
      </w:r>
      <w:r w:rsidR="00187413" w:rsidRPr="00052024">
        <w:rPr>
          <w:rFonts w:ascii="Times New Roman" w:hAnsi="Times New Roman"/>
          <w:lang w:val="fr-CA"/>
        </w:rPr>
        <w:t>t ensuite prép</w:t>
      </w:r>
      <w:r w:rsidR="00CD4154">
        <w:rPr>
          <w:rFonts w:ascii="Times New Roman" w:hAnsi="Times New Roman"/>
          <w:lang w:val="fr-CA"/>
        </w:rPr>
        <w:t>aré pour examen par la Plénière</w:t>
      </w:r>
      <w:r w:rsidR="00187413" w:rsidRPr="00052024">
        <w:rPr>
          <w:rFonts w:ascii="Times New Roman" w:hAnsi="Times New Roman"/>
          <w:lang w:val="fr-CA"/>
        </w:rPr>
        <w:t xml:space="preserve"> à sa septième session</w:t>
      </w:r>
      <w:r w:rsidR="00766978" w:rsidRPr="00052024">
        <w:rPr>
          <w:rFonts w:ascii="Times New Roman" w:hAnsi="Times New Roman"/>
          <w:lang w:val="fr-CA"/>
        </w:rPr>
        <w:t>.</w:t>
      </w:r>
    </w:p>
    <w:p w14:paraId="28F780B7" w14:textId="0FA293EB" w:rsidR="007A4CE1" w:rsidRPr="00052024" w:rsidRDefault="00D43698" w:rsidP="003E3A6F">
      <w:pPr>
        <w:pStyle w:val="StylePara1HeadingsCSTimesNewRoman"/>
        <w:rPr>
          <w:rFonts w:ascii="Times New Roman" w:hAnsi="Times New Roman"/>
          <w:lang w:val="fr-CA"/>
        </w:rPr>
      </w:pPr>
      <w:r w:rsidRPr="00052024">
        <w:rPr>
          <w:rFonts w:ascii="Times New Roman" w:hAnsi="Times New Roman"/>
          <w:lang w:val="fr-CA"/>
        </w:rPr>
        <w:t xml:space="preserve">Les points suivants doivent entrer en ligne de compte dans la préparation des requêtes à acheminer à la Plateforme intergouvernementale scientifique et politique sur la biodiversité et les services écosystémiques </w:t>
      </w:r>
      <w:r w:rsidR="007A4CE1" w:rsidRPr="00052024">
        <w:rPr>
          <w:rFonts w:ascii="Times New Roman" w:hAnsi="Times New Roman"/>
          <w:lang w:val="fr-CA"/>
        </w:rPr>
        <w:t>:</w:t>
      </w:r>
    </w:p>
    <w:p w14:paraId="3A11BFBA" w14:textId="434F4B3C" w:rsidR="007A4CE1" w:rsidRPr="00052024" w:rsidRDefault="008E135A" w:rsidP="0085547E">
      <w:pPr>
        <w:pStyle w:val="StylePara1HeadingsCSTimesNewRoman"/>
        <w:numPr>
          <w:ilvl w:val="0"/>
          <w:numId w:val="11"/>
        </w:numPr>
        <w:ind w:left="0" w:firstLine="720"/>
        <w:rPr>
          <w:rFonts w:ascii="Times New Roman" w:hAnsi="Times New Roman"/>
          <w:snapToGrid/>
          <w:kern w:val="22"/>
          <w:lang w:val="fr-CA"/>
        </w:rPr>
      </w:pPr>
      <w:r>
        <w:rPr>
          <w:rFonts w:ascii="Times New Roman" w:hAnsi="Times New Roman"/>
          <w:lang w:val="fr-CA"/>
        </w:rPr>
        <w:t>Le</w:t>
      </w:r>
      <w:r w:rsidR="006136A9" w:rsidRPr="00052024">
        <w:rPr>
          <w:rFonts w:ascii="Times New Roman" w:hAnsi="Times New Roman"/>
          <w:lang w:val="fr-CA"/>
        </w:rPr>
        <w:t xml:space="preserve"> cadre stratégique à </w:t>
      </w:r>
      <w:r w:rsidR="00ED3FAC" w:rsidRPr="00052024">
        <w:rPr>
          <w:rFonts w:ascii="Times New Roman" w:hAnsi="Times New Roman"/>
          <w:lang w:val="fr-CA"/>
        </w:rPr>
        <w:t>l’</w:t>
      </w:r>
      <w:r w:rsidR="006136A9" w:rsidRPr="00052024">
        <w:rPr>
          <w:rFonts w:ascii="Times New Roman" w:hAnsi="Times New Roman"/>
          <w:lang w:val="fr-CA"/>
        </w:rPr>
        <w:t xml:space="preserve">horizon 2030 et les éléments du programme de travail de la </w:t>
      </w:r>
      <w:r w:rsidR="00ED3FAC" w:rsidRPr="00052024">
        <w:rPr>
          <w:rFonts w:ascii="Times New Roman" w:hAnsi="Times New Roman"/>
          <w:lang w:val="fr-CA"/>
        </w:rPr>
        <w:t xml:space="preserve">Plateforme intergouvernementale scientifique et politique sur la biodiversité et les services écosystémiques </w:t>
      </w:r>
      <w:r>
        <w:rPr>
          <w:rFonts w:ascii="Times New Roman" w:hAnsi="Times New Roman"/>
          <w:lang w:val="fr-CA"/>
        </w:rPr>
        <w:t>devraient soutenir</w:t>
      </w:r>
      <w:r w:rsidR="006136A9" w:rsidRPr="00052024">
        <w:rPr>
          <w:rFonts w:ascii="Times New Roman" w:hAnsi="Times New Roman"/>
          <w:lang w:val="fr-CA"/>
        </w:rPr>
        <w:t xml:space="preserve"> les efforts de mise en œuvre du </w:t>
      </w:r>
      <w:r w:rsidR="00DB02AC" w:rsidRPr="00052024">
        <w:rPr>
          <w:rFonts w:ascii="Times New Roman" w:hAnsi="Times New Roman"/>
          <w:lang w:val="fr-CA"/>
        </w:rPr>
        <w:t>cadre de la diversité biologique pour l’après-2020</w:t>
      </w:r>
      <w:r w:rsidR="006136A9" w:rsidRPr="00052024">
        <w:rPr>
          <w:rFonts w:ascii="Times New Roman" w:hAnsi="Times New Roman"/>
          <w:lang w:val="fr-CA"/>
        </w:rPr>
        <w:t xml:space="preserve">, </w:t>
      </w:r>
      <w:r w:rsidR="0060056F">
        <w:rPr>
          <w:rFonts w:ascii="Times New Roman" w:hAnsi="Times New Roman"/>
          <w:lang w:val="fr-CA"/>
        </w:rPr>
        <w:t>du</w:t>
      </w:r>
      <w:r w:rsidR="006136A9" w:rsidRPr="00052024">
        <w:rPr>
          <w:rFonts w:ascii="Times New Roman" w:hAnsi="Times New Roman"/>
          <w:lang w:val="fr-CA"/>
        </w:rPr>
        <w:t xml:space="preserve"> Programme de développement durable à l’horizon 2030</w:t>
      </w:r>
      <w:r w:rsidR="00ED3FAC" w:rsidRPr="00052024">
        <w:rPr>
          <w:rFonts w:ascii="Times New Roman" w:hAnsi="Times New Roman"/>
          <w:lang w:val="fr-CA"/>
        </w:rPr>
        <w:t xml:space="preserve">, y compris les objectifs de développement durable, et </w:t>
      </w:r>
      <w:r w:rsidR="0060056F">
        <w:rPr>
          <w:rFonts w:ascii="Times New Roman" w:hAnsi="Times New Roman"/>
          <w:lang w:val="fr-CA"/>
        </w:rPr>
        <w:t xml:space="preserve">de </w:t>
      </w:r>
      <w:r w:rsidR="00ED3FAC" w:rsidRPr="00052024">
        <w:rPr>
          <w:rFonts w:ascii="Times New Roman" w:hAnsi="Times New Roman"/>
          <w:lang w:val="fr-CA"/>
        </w:rPr>
        <w:t>l’Accord de Paris sur les changements climatiques</w:t>
      </w:r>
      <w:r w:rsidR="007A4CE1" w:rsidRPr="00052024">
        <w:rPr>
          <w:rFonts w:ascii="Times New Roman" w:hAnsi="Times New Roman"/>
          <w:lang w:val="fr-CA"/>
        </w:rPr>
        <w:t xml:space="preserve">; </w:t>
      </w:r>
    </w:p>
    <w:p w14:paraId="55F514D7" w14:textId="05E4BC51" w:rsidR="007A4CE1" w:rsidRPr="00052024" w:rsidRDefault="00156E88" w:rsidP="0085547E">
      <w:pPr>
        <w:pStyle w:val="StylePara1HeadingsCSTimesNewRoman"/>
        <w:numPr>
          <w:ilvl w:val="0"/>
          <w:numId w:val="11"/>
        </w:numPr>
        <w:ind w:left="0" w:firstLine="709"/>
        <w:rPr>
          <w:rFonts w:ascii="Times New Roman" w:hAnsi="Times New Roman"/>
          <w:snapToGrid/>
          <w:kern w:val="22"/>
          <w:lang w:val="fr-CA"/>
        </w:rPr>
      </w:pPr>
      <w:r w:rsidRPr="00052024">
        <w:rPr>
          <w:rFonts w:ascii="Times New Roman" w:hAnsi="Times New Roman"/>
          <w:lang w:val="fr-CA"/>
        </w:rPr>
        <w:t>La « mobilité » de l’horizon du programme de travail permet d’utiliser un processus par étapes pour déterminer certains éléments tout au</w:t>
      </w:r>
      <w:r w:rsidR="0060056F">
        <w:rPr>
          <w:rFonts w:ascii="Times New Roman" w:hAnsi="Times New Roman"/>
          <w:lang w:val="fr-CA"/>
        </w:rPr>
        <w:t xml:space="preserve"> long de la prochaine décennie a</w:t>
      </w:r>
      <w:r w:rsidRPr="00052024">
        <w:rPr>
          <w:rFonts w:ascii="Times New Roman" w:hAnsi="Times New Roman"/>
          <w:lang w:val="fr-CA"/>
        </w:rPr>
        <w:t>u lieu de déterminer tous les éléments du programme dès le départ</w:t>
      </w:r>
      <w:r w:rsidR="007A4CE1" w:rsidRPr="00052024">
        <w:rPr>
          <w:rFonts w:ascii="Times New Roman" w:hAnsi="Times New Roman"/>
          <w:lang w:val="fr-CA"/>
        </w:rPr>
        <w:t xml:space="preserve">; </w:t>
      </w:r>
    </w:p>
    <w:p w14:paraId="362D66E1" w14:textId="4CE5B5AD" w:rsidR="003770DE" w:rsidRPr="00052024" w:rsidRDefault="00156E88" w:rsidP="0085547E">
      <w:pPr>
        <w:pStyle w:val="StylePara1HeadingsCSTimesNewRoman"/>
        <w:numPr>
          <w:ilvl w:val="0"/>
          <w:numId w:val="11"/>
        </w:numPr>
        <w:ind w:left="0" w:firstLine="709"/>
        <w:rPr>
          <w:rFonts w:ascii="Times New Roman" w:hAnsi="Times New Roman"/>
          <w:snapToGrid/>
          <w:kern w:val="22"/>
          <w:lang w:val="fr-CA"/>
        </w:rPr>
      </w:pPr>
      <w:r w:rsidRPr="00052024">
        <w:rPr>
          <w:rFonts w:ascii="Times New Roman" w:hAnsi="Times New Roman"/>
          <w:lang w:val="fr-CA"/>
        </w:rPr>
        <w:t>La Plénière a approuvé, dans la décision IPBES-6/1, la mise en œuvre des trois évaluations en instance depuis la premier programme de travail</w:t>
      </w:r>
      <w:r w:rsidR="003770DE" w:rsidRPr="00052024">
        <w:rPr>
          <w:rFonts w:ascii="Times New Roman" w:hAnsi="Times New Roman"/>
          <w:lang w:val="fr-CA"/>
        </w:rPr>
        <w:t xml:space="preserve">; </w:t>
      </w:r>
    </w:p>
    <w:p w14:paraId="06D0995D" w14:textId="553243E2" w:rsidR="003770DE" w:rsidRPr="00052024" w:rsidRDefault="00156E88" w:rsidP="0085547E">
      <w:pPr>
        <w:pStyle w:val="StylePara1HeadingsCSTimesNewRoman"/>
        <w:numPr>
          <w:ilvl w:val="0"/>
          <w:numId w:val="11"/>
        </w:numPr>
        <w:ind w:left="0" w:firstLine="709"/>
        <w:rPr>
          <w:rFonts w:ascii="Times New Roman" w:hAnsi="Times New Roman"/>
          <w:snapToGrid/>
          <w:kern w:val="22"/>
          <w:lang w:val="fr-CA"/>
        </w:rPr>
      </w:pPr>
      <w:r w:rsidRPr="00052024">
        <w:rPr>
          <w:rFonts w:ascii="Times New Roman" w:hAnsi="Times New Roman"/>
          <w:lang w:val="fr-CA"/>
        </w:rPr>
        <w:t xml:space="preserve">Le nombre d’évaluations réalisées en parallèle et le nombre de rapports d’évaluation mis à disposition pour examen par la Plénière devraient être limités, afin de répartir la charge de travail </w:t>
      </w:r>
      <w:r w:rsidR="004F7B8A" w:rsidRPr="00052024">
        <w:rPr>
          <w:rFonts w:ascii="Times New Roman" w:hAnsi="Times New Roman"/>
          <w:lang w:val="fr-CA"/>
        </w:rPr>
        <w:t>entre</w:t>
      </w:r>
      <w:r w:rsidRPr="00052024">
        <w:rPr>
          <w:rFonts w:ascii="Times New Roman" w:hAnsi="Times New Roman"/>
          <w:lang w:val="fr-CA"/>
        </w:rPr>
        <w:t xml:space="preserve"> les gouvernements, la communauté scientifique, le groupe d’experts multidisciplinaire, le Bureau et le Secrétariat</w:t>
      </w:r>
      <w:r w:rsidR="003770DE" w:rsidRPr="00052024">
        <w:rPr>
          <w:rFonts w:ascii="Times New Roman" w:hAnsi="Times New Roman"/>
          <w:lang w:val="fr-CA"/>
        </w:rPr>
        <w:t>;</w:t>
      </w:r>
    </w:p>
    <w:p w14:paraId="0B982D2D" w14:textId="307425F1" w:rsidR="00CE1EE5" w:rsidRPr="00052024" w:rsidRDefault="004F7B8A" w:rsidP="0085547E">
      <w:pPr>
        <w:pStyle w:val="Para1"/>
        <w:numPr>
          <w:ilvl w:val="0"/>
          <w:numId w:val="11"/>
        </w:numPr>
        <w:suppressLineNumbers/>
        <w:suppressAutoHyphens/>
        <w:ind w:left="0" w:firstLine="709"/>
        <w:rPr>
          <w:snapToGrid/>
          <w:kern w:val="22"/>
          <w:szCs w:val="22"/>
          <w:lang w:val="fr-CA"/>
        </w:rPr>
      </w:pPr>
      <w:r w:rsidRPr="00052024">
        <w:rPr>
          <w:szCs w:val="22"/>
          <w:lang w:val="fr-CA"/>
        </w:rPr>
        <w:t xml:space="preserve">Un examen des enseignements tirés des résultats et des conséquences des évaluations thématiques, régionales et mondiales est nécessaire afin </w:t>
      </w:r>
      <w:r w:rsidR="008E135A">
        <w:rPr>
          <w:szCs w:val="22"/>
          <w:lang w:val="fr-CA"/>
        </w:rPr>
        <w:t>d’offrir une source d’information pour</w:t>
      </w:r>
      <w:r w:rsidRPr="00052024">
        <w:rPr>
          <w:szCs w:val="22"/>
          <w:lang w:val="fr-CA"/>
        </w:rPr>
        <w:t xml:space="preserve"> les décisions sur le développement d’une autre évaluation mondiale, dont la nécessité </w:t>
      </w:r>
      <w:r w:rsidR="008E135A">
        <w:rPr>
          <w:szCs w:val="22"/>
          <w:lang w:val="fr-CA"/>
        </w:rPr>
        <w:t xml:space="preserve">de réunir </w:t>
      </w:r>
      <w:r w:rsidRPr="00052024">
        <w:rPr>
          <w:szCs w:val="22"/>
          <w:lang w:val="fr-CA"/>
        </w:rPr>
        <w:t>les évaluations régionales et mondiales, à titre d’exemple, en une seule évaluation comprenant un volet régional et un volet mondial</w:t>
      </w:r>
      <w:r w:rsidR="00CE1EE5" w:rsidRPr="00052024">
        <w:rPr>
          <w:lang w:val="fr-CA"/>
        </w:rPr>
        <w:t>.</w:t>
      </w:r>
    </w:p>
    <w:p w14:paraId="6809C726" w14:textId="3C1E77CE" w:rsidR="007A4CE1" w:rsidRPr="00052024" w:rsidRDefault="005759A9" w:rsidP="003E3A6F">
      <w:pPr>
        <w:pStyle w:val="Heading1longmultiline"/>
        <w:rPr>
          <w:lang w:val="fr-CA"/>
        </w:rPr>
      </w:pPr>
      <w:r w:rsidRPr="00052024">
        <w:rPr>
          <w:lang w:val="fr-CA"/>
        </w:rPr>
        <w:t>I</w:t>
      </w:r>
      <w:r w:rsidR="00D73B56">
        <w:rPr>
          <w:lang w:val="fr-CA"/>
        </w:rPr>
        <w:t>II</w:t>
      </w:r>
      <w:r w:rsidRPr="00052024">
        <w:rPr>
          <w:lang w:val="fr-CA"/>
        </w:rPr>
        <w:t xml:space="preserve">. </w:t>
      </w:r>
      <w:r w:rsidR="00AF0F45" w:rsidRPr="00052024">
        <w:rPr>
          <w:lang w:val="fr-CA"/>
        </w:rPr>
        <w:tab/>
      </w:r>
      <w:r w:rsidR="00075B47" w:rsidRPr="00052024">
        <w:rPr>
          <w:lang w:val="fr-CA"/>
        </w:rPr>
        <w:t>FACTEURS À PRENDRE EN LIGNE DE COMPTE POUR LA PRÉPARATION DE LA LISTE DE REQUÊTES DE LA CONVENTION AU PROGRAMME DE TRAVAIL DE LA PLATEFORME</w:t>
      </w:r>
      <w:r w:rsidR="007A4CE1" w:rsidRPr="00052024">
        <w:rPr>
          <w:lang w:val="fr-CA"/>
        </w:rPr>
        <w:t xml:space="preserve"> </w:t>
      </w:r>
    </w:p>
    <w:p w14:paraId="5A29F8A9" w14:textId="597BF2B4" w:rsidR="007A4CE1" w:rsidRPr="00052024" w:rsidRDefault="00075B47" w:rsidP="003E3A6F">
      <w:pPr>
        <w:pStyle w:val="StylePara1HeadingsCSTimesNewRoman"/>
        <w:rPr>
          <w:rFonts w:ascii="Times New Roman" w:hAnsi="Times New Roman"/>
          <w:lang w:val="fr-CA"/>
        </w:rPr>
      </w:pPr>
      <w:r w:rsidRPr="00052024">
        <w:rPr>
          <w:rFonts w:ascii="Times New Roman" w:hAnsi="Times New Roman"/>
          <w:lang w:val="fr-CA"/>
        </w:rPr>
        <w:t>Les facteurs suivants doivent être pris en ligne de c</w:t>
      </w:r>
      <w:r w:rsidR="008D493E">
        <w:rPr>
          <w:rFonts w:ascii="Times New Roman" w:hAnsi="Times New Roman"/>
          <w:lang w:val="fr-CA"/>
        </w:rPr>
        <w:t>ompte dans le développement de l</w:t>
      </w:r>
      <w:r w:rsidRPr="00052024">
        <w:rPr>
          <w:rFonts w:ascii="Times New Roman" w:hAnsi="Times New Roman"/>
          <w:lang w:val="fr-CA"/>
        </w:rPr>
        <w:t>a recommandation pour la Conférence des Parties sur les requêtes au deuxième programme de travail de la Plateforme intergouvernementale scientifique et politique sur la biodiversité et les services écosystémiques </w:t>
      </w:r>
      <w:r w:rsidR="007A4CE1" w:rsidRPr="00052024">
        <w:rPr>
          <w:rFonts w:ascii="Times New Roman" w:hAnsi="Times New Roman"/>
          <w:lang w:val="fr-CA"/>
        </w:rPr>
        <w:t>:</w:t>
      </w:r>
    </w:p>
    <w:p w14:paraId="17354EE7" w14:textId="1E606001" w:rsidR="007A4CE1" w:rsidRPr="00052024" w:rsidRDefault="00075B47" w:rsidP="0085547E">
      <w:pPr>
        <w:pStyle w:val="Para1"/>
        <w:numPr>
          <w:ilvl w:val="0"/>
          <w:numId w:val="8"/>
        </w:numPr>
        <w:suppressLineNumbers/>
        <w:suppressAutoHyphens/>
        <w:ind w:left="0" w:firstLine="720"/>
        <w:rPr>
          <w:iCs/>
          <w:lang w:val="fr-CA"/>
        </w:rPr>
      </w:pPr>
      <w:r w:rsidRPr="00052024">
        <w:rPr>
          <w:iCs/>
          <w:lang w:val="fr-CA"/>
        </w:rPr>
        <w:t xml:space="preserve">L’expérience de l’utilisation par la Convention des résultats concrets découlant </w:t>
      </w:r>
      <w:r w:rsidR="00CD4154">
        <w:rPr>
          <w:iCs/>
          <w:lang w:val="fr-CA"/>
        </w:rPr>
        <w:t>du premier programme de travail</w:t>
      </w:r>
      <w:r w:rsidR="007A4CE1" w:rsidRPr="00052024">
        <w:rPr>
          <w:iCs/>
          <w:lang w:val="fr-CA"/>
        </w:rPr>
        <w:t>;</w:t>
      </w:r>
    </w:p>
    <w:p w14:paraId="7320AFC8" w14:textId="4B92957A" w:rsidR="007A4CE1" w:rsidRPr="00052024" w:rsidRDefault="00845F70" w:rsidP="0085547E">
      <w:pPr>
        <w:pStyle w:val="Para1"/>
        <w:numPr>
          <w:ilvl w:val="0"/>
          <w:numId w:val="8"/>
        </w:numPr>
        <w:suppressLineNumbers/>
        <w:suppressAutoHyphens/>
        <w:ind w:left="0" w:firstLine="709"/>
        <w:rPr>
          <w:iCs/>
          <w:lang w:val="fr-CA"/>
        </w:rPr>
      </w:pPr>
      <w:r w:rsidRPr="00052024">
        <w:rPr>
          <w:iCs/>
          <w:lang w:val="fr-CA"/>
        </w:rPr>
        <w:t>Les besoins scientifiques et techniques déjà cernés au titre de la Convention</w:t>
      </w:r>
      <w:r w:rsidR="007A4CE1" w:rsidRPr="00052024">
        <w:rPr>
          <w:iCs/>
          <w:lang w:val="fr-CA"/>
        </w:rPr>
        <w:t>;</w:t>
      </w:r>
    </w:p>
    <w:p w14:paraId="480490E1" w14:textId="473761B1" w:rsidR="007A4CE1" w:rsidRPr="00052024" w:rsidRDefault="00B97A56" w:rsidP="0085547E">
      <w:pPr>
        <w:pStyle w:val="Para1"/>
        <w:numPr>
          <w:ilvl w:val="0"/>
          <w:numId w:val="8"/>
        </w:numPr>
        <w:suppressLineNumbers/>
        <w:suppressAutoHyphens/>
        <w:ind w:left="0" w:firstLine="709"/>
        <w:rPr>
          <w:iCs/>
          <w:lang w:val="fr-CA"/>
        </w:rPr>
      </w:pPr>
      <w:r>
        <w:rPr>
          <w:iCs/>
          <w:lang w:val="fr-CA"/>
        </w:rPr>
        <w:t>L’e</w:t>
      </w:r>
      <w:r w:rsidR="00845F70" w:rsidRPr="00052024">
        <w:rPr>
          <w:iCs/>
          <w:lang w:val="fr-CA"/>
        </w:rPr>
        <w:t xml:space="preserve">xamen des besoins de la Convention pouvant être anticipés en appui au développement et à la mise en œuvre du cadre mondial pour la diversité biologique </w:t>
      </w:r>
      <w:r w:rsidR="0096359D">
        <w:rPr>
          <w:iCs/>
          <w:lang w:val="fr-CA"/>
        </w:rPr>
        <w:t>pour l’après-</w:t>
      </w:r>
      <w:r w:rsidR="00845F70" w:rsidRPr="00052024">
        <w:rPr>
          <w:iCs/>
          <w:lang w:val="fr-CA"/>
        </w:rPr>
        <w:t>2020</w:t>
      </w:r>
      <w:r w:rsidR="007A4CE1" w:rsidRPr="00052024">
        <w:rPr>
          <w:iCs/>
          <w:lang w:val="fr-CA"/>
        </w:rPr>
        <w:t>;</w:t>
      </w:r>
    </w:p>
    <w:p w14:paraId="7236E013" w14:textId="1354F8AA" w:rsidR="007A4CE1" w:rsidRPr="00052024" w:rsidRDefault="00F74DCF" w:rsidP="0085547E">
      <w:pPr>
        <w:pStyle w:val="Para1"/>
        <w:numPr>
          <w:ilvl w:val="0"/>
          <w:numId w:val="8"/>
        </w:numPr>
        <w:suppressLineNumbers/>
        <w:suppressAutoHyphens/>
        <w:ind w:left="0" w:firstLine="709"/>
        <w:rPr>
          <w:iCs/>
          <w:lang w:val="fr-CA"/>
        </w:rPr>
      </w:pPr>
      <w:r w:rsidRPr="00052024">
        <w:rPr>
          <w:iCs/>
          <w:lang w:val="fr-CA"/>
        </w:rPr>
        <w:t xml:space="preserve">Tout autre besoin et priorité </w:t>
      </w:r>
      <w:r w:rsidR="00277831">
        <w:rPr>
          <w:iCs/>
          <w:lang w:val="fr-CA"/>
        </w:rPr>
        <w:t>recensés</w:t>
      </w:r>
      <w:r w:rsidRPr="00052024">
        <w:rPr>
          <w:iCs/>
          <w:lang w:val="fr-CA"/>
        </w:rPr>
        <w:t xml:space="preserve"> par la Conférence des </w:t>
      </w:r>
      <w:r w:rsidR="00CD4154">
        <w:rPr>
          <w:iCs/>
          <w:lang w:val="fr-CA"/>
        </w:rPr>
        <w:t>Parties et l’Organe subsidiaire</w:t>
      </w:r>
      <w:r w:rsidR="00AF0F45" w:rsidRPr="00052024">
        <w:rPr>
          <w:iCs/>
          <w:lang w:val="fr-CA"/>
        </w:rPr>
        <w:t>;</w:t>
      </w:r>
    </w:p>
    <w:p w14:paraId="3E3F3F06" w14:textId="2F642CCC" w:rsidR="00853F10" w:rsidRPr="00052024" w:rsidRDefault="00F74DCF" w:rsidP="0085547E">
      <w:pPr>
        <w:pStyle w:val="Para1"/>
        <w:numPr>
          <w:ilvl w:val="0"/>
          <w:numId w:val="8"/>
        </w:numPr>
        <w:suppressLineNumbers/>
        <w:suppressAutoHyphens/>
        <w:ind w:left="0" w:firstLine="709"/>
        <w:rPr>
          <w:iCs/>
          <w:lang w:val="fr-CA"/>
        </w:rPr>
      </w:pPr>
      <w:r w:rsidRPr="00052024">
        <w:rPr>
          <w:iCs/>
          <w:lang w:val="fr-CA"/>
        </w:rPr>
        <w:t>Autres processus d’évaluation pertinents et complémentaires</w:t>
      </w:r>
      <w:r w:rsidR="00853F10" w:rsidRPr="00052024">
        <w:rPr>
          <w:iCs/>
          <w:lang w:val="fr-CA"/>
        </w:rPr>
        <w:t>.</w:t>
      </w:r>
    </w:p>
    <w:p w14:paraId="1B61A86B" w14:textId="30421C68" w:rsidR="00853F10" w:rsidRPr="00052024" w:rsidRDefault="00F74DCF" w:rsidP="00F74DCF">
      <w:pPr>
        <w:pStyle w:val="StylePara1HeadingsCSTimesNewRoman"/>
        <w:rPr>
          <w:rFonts w:ascii="Times New Roman" w:hAnsi="Times New Roman"/>
          <w:lang w:val="fr-CA"/>
        </w:rPr>
      </w:pPr>
      <w:r w:rsidRPr="00052024">
        <w:rPr>
          <w:rFonts w:ascii="Times New Roman" w:hAnsi="Times New Roman"/>
          <w:lang w:val="fr-CA"/>
        </w:rPr>
        <w:lastRenderedPageBreak/>
        <w:t>Les Parties et les observateurs pourraient souhaiter prendre ces points en considération lors de la préparation de leurs requêtes, contributions et suggestions soumises directement à la Plateforme intergouvernementale scientifique et politique sur la biodiversité</w:t>
      </w:r>
      <w:r w:rsidR="0096359D">
        <w:rPr>
          <w:rFonts w:ascii="Times New Roman" w:hAnsi="Times New Roman"/>
          <w:lang w:val="fr-CA"/>
        </w:rPr>
        <w:t xml:space="preserve"> et les services écosystémiques</w:t>
      </w:r>
      <w:r w:rsidR="0047444F" w:rsidRPr="00052024">
        <w:rPr>
          <w:rFonts w:ascii="Times New Roman" w:hAnsi="Times New Roman"/>
          <w:lang w:val="fr-CA"/>
        </w:rPr>
        <w:t>.</w:t>
      </w:r>
      <w:r w:rsidR="00853F10" w:rsidRPr="00052024">
        <w:rPr>
          <w:rFonts w:ascii="Times New Roman" w:hAnsi="Times New Roman"/>
          <w:lang w:val="fr-CA"/>
        </w:rPr>
        <w:t xml:space="preserve"> </w:t>
      </w:r>
    </w:p>
    <w:p w14:paraId="0C86BF2E" w14:textId="086C1CCD" w:rsidR="00853F10" w:rsidRPr="00052024" w:rsidRDefault="00F74DCF" w:rsidP="0085547E">
      <w:pPr>
        <w:pStyle w:val="Titre2"/>
        <w:numPr>
          <w:ilvl w:val="0"/>
          <w:numId w:val="12"/>
        </w:numPr>
        <w:rPr>
          <w:lang w:val="fr-CA"/>
        </w:rPr>
      </w:pPr>
      <w:r w:rsidRPr="00052024">
        <w:rPr>
          <w:iCs w:val="0"/>
          <w:lang w:val="fr-CA"/>
        </w:rPr>
        <w:t>L’expérience de l’utilisation par la Convention des résultats concrets découlant du premier programme de travail de la Plateforme</w:t>
      </w:r>
    </w:p>
    <w:p w14:paraId="286104EE" w14:textId="53DEBC4A" w:rsidR="007A4CE1" w:rsidRPr="00052024" w:rsidRDefault="00DF2836" w:rsidP="003E3A6F">
      <w:pPr>
        <w:pStyle w:val="StylePara1HeadingsCSTimesNewRoman"/>
        <w:rPr>
          <w:rFonts w:ascii="Times New Roman" w:hAnsi="Times New Roman"/>
          <w:lang w:val="fr-CA"/>
        </w:rPr>
      </w:pPr>
      <w:r w:rsidRPr="00052024">
        <w:rPr>
          <w:rFonts w:ascii="Times New Roman" w:hAnsi="Times New Roman"/>
          <w:lang w:val="fr-CA"/>
        </w:rPr>
        <w:t xml:space="preserve">L’expérience de l’utilisation des résultats concrets découlant du premier programme de travail de la Plateforme intergouvernementale scientifique et politique sur la biodiversité et les services écosystémiques </w:t>
      </w:r>
      <w:r w:rsidR="0096359D" w:rsidRPr="00052024">
        <w:rPr>
          <w:rFonts w:ascii="Times New Roman" w:hAnsi="Times New Roman"/>
          <w:lang w:val="fr-CA"/>
        </w:rPr>
        <w:t xml:space="preserve">au titre de la Convention </w:t>
      </w:r>
      <w:r w:rsidRPr="00052024">
        <w:rPr>
          <w:rFonts w:ascii="Times New Roman" w:hAnsi="Times New Roman"/>
          <w:lang w:val="fr-CA"/>
        </w:rPr>
        <w:t xml:space="preserve">a été examinée dans la </w:t>
      </w:r>
      <w:r w:rsidR="00DF4FD1" w:rsidRPr="00052024">
        <w:rPr>
          <w:rFonts w:ascii="Times New Roman" w:hAnsi="Times New Roman"/>
          <w:lang w:val="fr-CA"/>
        </w:rPr>
        <w:t>partie</w:t>
      </w:r>
      <w:r w:rsidRPr="00052024">
        <w:rPr>
          <w:rFonts w:ascii="Times New Roman" w:hAnsi="Times New Roman"/>
          <w:lang w:val="fr-CA"/>
        </w:rPr>
        <w:t xml:space="preserve"> II, ci-dessus. </w:t>
      </w:r>
      <w:r w:rsidR="00DF4FD1" w:rsidRPr="00052024">
        <w:rPr>
          <w:rFonts w:ascii="Times New Roman" w:hAnsi="Times New Roman"/>
          <w:lang w:val="fr-CA"/>
        </w:rPr>
        <w:t xml:space="preserve">Les évaluations des questions précises, telles que l’évaluation des pollinisateurs, de la pollinisation et de la production alimentaire, et l’évaluation méthodologique des scénarios et de la modélisation de la diversité biologique et des services écosystémiques, </w:t>
      </w:r>
      <w:r w:rsidR="00036F38">
        <w:rPr>
          <w:rFonts w:ascii="Times New Roman" w:hAnsi="Times New Roman"/>
          <w:lang w:val="fr-CA"/>
        </w:rPr>
        <w:t xml:space="preserve">ont été, de façon générale, </w:t>
      </w:r>
      <w:r w:rsidR="00DF4FD1" w:rsidRPr="00052024">
        <w:rPr>
          <w:rFonts w:ascii="Times New Roman" w:hAnsi="Times New Roman"/>
          <w:lang w:val="fr-CA"/>
        </w:rPr>
        <w:t xml:space="preserve">source d’information </w:t>
      </w:r>
      <w:r w:rsidR="00036F38">
        <w:rPr>
          <w:rFonts w:ascii="Times New Roman" w:hAnsi="Times New Roman"/>
          <w:lang w:val="fr-CA"/>
        </w:rPr>
        <w:t xml:space="preserve">très utile </w:t>
      </w:r>
      <w:r w:rsidR="00DF4FD1" w:rsidRPr="00052024">
        <w:rPr>
          <w:rFonts w:ascii="Times New Roman" w:hAnsi="Times New Roman"/>
          <w:lang w:val="fr-CA"/>
        </w:rPr>
        <w:t xml:space="preserve">pour les décisions et les recommandations au titre de la Convention et ont aidé </w:t>
      </w:r>
      <w:r w:rsidR="00036F38">
        <w:rPr>
          <w:rFonts w:ascii="Times New Roman" w:hAnsi="Times New Roman"/>
          <w:lang w:val="fr-CA"/>
        </w:rPr>
        <w:t>au recensement des</w:t>
      </w:r>
      <w:r w:rsidR="00DF4FD1" w:rsidRPr="00052024">
        <w:rPr>
          <w:rFonts w:ascii="Times New Roman" w:hAnsi="Times New Roman"/>
          <w:lang w:val="fr-CA"/>
        </w:rPr>
        <w:t xml:space="preserve"> besoins de recherches supplémentaires. L’expérience sur l’utilisation des résultats concrets du programme de</w:t>
      </w:r>
      <w:r w:rsidR="00036F38">
        <w:rPr>
          <w:rFonts w:ascii="Times New Roman" w:hAnsi="Times New Roman"/>
          <w:lang w:val="fr-CA"/>
        </w:rPr>
        <w:t xml:space="preserve"> travail d</w:t>
      </w:r>
      <w:r w:rsidR="00DF4FD1" w:rsidRPr="00052024">
        <w:rPr>
          <w:rFonts w:ascii="Times New Roman" w:hAnsi="Times New Roman"/>
          <w:lang w:val="fr-CA"/>
        </w:rPr>
        <w:t>erait être disponible un peu plus tard</w:t>
      </w:r>
      <w:r w:rsidR="006025C5" w:rsidRPr="00052024">
        <w:rPr>
          <w:rFonts w:ascii="Times New Roman" w:hAnsi="Times New Roman"/>
          <w:lang w:val="fr-CA"/>
        </w:rPr>
        <w:t xml:space="preserve">. </w:t>
      </w:r>
    </w:p>
    <w:p w14:paraId="2D06E14C" w14:textId="410E834A" w:rsidR="007A4CE1" w:rsidRPr="00052024" w:rsidRDefault="00F74DCF" w:rsidP="0085547E">
      <w:pPr>
        <w:pStyle w:val="Titre2"/>
        <w:numPr>
          <w:ilvl w:val="0"/>
          <w:numId w:val="12"/>
        </w:numPr>
        <w:rPr>
          <w:lang w:val="fr-CA"/>
        </w:rPr>
      </w:pPr>
      <w:r w:rsidRPr="00052024">
        <w:rPr>
          <w:iCs w:val="0"/>
          <w:lang w:val="fr-CA"/>
        </w:rPr>
        <w:t>Les besoins scientifiques et techniques déjà cernés au titre de la Convention</w:t>
      </w:r>
    </w:p>
    <w:p w14:paraId="7BFDFB58" w14:textId="6CA419B3" w:rsidR="007A4CE1" w:rsidRPr="00052024" w:rsidRDefault="009270F0" w:rsidP="003E3A6F">
      <w:pPr>
        <w:pStyle w:val="StylePara1HeadingsCSTimesNewRoman"/>
        <w:rPr>
          <w:rFonts w:ascii="Times New Roman" w:hAnsi="Times New Roman"/>
          <w:lang w:val="fr-CA"/>
        </w:rPr>
      </w:pPr>
      <w:r>
        <w:rPr>
          <w:rFonts w:ascii="Times New Roman" w:hAnsi="Times New Roman"/>
          <w:lang w:val="fr-CA"/>
        </w:rPr>
        <w:t>L’Organe subsidiaire</w:t>
      </w:r>
      <w:r w:rsidR="00DF4FD1" w:rsidRPr="00052024">
        <w:rPr>
          <w:rFonts w:ascii="Times New Roman" w:hAnsi="Times New Roman"/>
          <w:lang w:val="fr-CA"/>
        </w:rPr>
        <w:t>, à sa dix-septième réunion, a recensé les principaux besoins scientifiques et techniques pour la mise en œuvre du Plan stratégique 2011-2020 pour la diversité biologique</w:t>
      </w:r>
      <w:r w:rsidR="007A4CE1" w:rsidRPr="00052024">
        <w:rPr>
          <w:rFonts w:ascii="Times New Roman" w:hAnsi="Times New Roman"/>
          <w:lang w:val="fr-CA"/>
        </w:rPr>
        <w:t xml:space="preserve"> (</w:t>
      </w:r>
      <w:r w:rsidR="00DF4FD1" w:rsidRPr="00052024">
        <w:rPr>
          <w:rFonts w:ascii="Times New Roman" w:hAnsi="Times New Roman"/>
          <w:lang w:val="fr-CA"/>
        </w:rPr>
        <w:t>recomma</w:t>
      </w:r>
      <w:r w:rsidR="00E72AA5" w:rsidRPr="00052024">
        <w:rPr>
          <w:rFonts w:ascii="Times New Roman" w:hAnsi="Times New Roman"/>
          <w:lang w:val="fr-CA"/>
        </w:rPr>
        <w:t xml:space="preserve">ndation </w:t>
      </w:r>
      <w:hyperlink r:id="rId22" w:history="1">
        <w:r w:rsidR="00E72AA5" w:rsidRPr="00052024">
          <w:rPr>
            <w:rStyle w:val="Lienhypertexte"/>
            <w:rFonts w:ascii="Times New Roman" w:hAnsi="Times New Roman"/>
            <w:lang w:val="fr-CA"/>
          </w:rPr>
          <w:t>XVII/1</w:t>
        </w:r>
      </w:hyperlink>
      <w:r w:rsidR="007A4CE1" w:rsidRPr="00052024">
        <w:rPr>
          <w:rFonts w:ascii="Times New Roman" w:hAnsi="Times New Roman"/>
          <w:lang w:val="fr-CA"/>
        </w:rPr>
        <w:t>)</w:t>
      </w:r>
      <w:r w:rsidR="00A82E18" w:rsidRPr="00052024">
        <w:rPr>
          <w:rFonts w:ascii="Times New Roman" w:hAnsi="Times New Roman"/>
          <w:lang w:val="fr-CA"/>
        </w:rPr>
        <w:t xml:space="preserve">. </w:t>
      </w:r>
      <w:r w:rsidR="00DF4FD1" w:rsidRPr="00052024">
        <w:rPr>
          <w:rFonts w:ascii="Times New Roman" w:hAnsi="Times New Roman"/>
          <w:lang w:val="fr-CA"/>
        </w:rPr>
        <w:t xml:space="preserve">Ceux-ci ont ensuite reçu l’aval de la Conférence des Parties dans sa décision </w:t>
      </w:r>
      <w:hyperlink r:id="rId23" w:history="1">
        <w:r w:rsidR="007A4CE1" w:rsidRPr="00052024">
          <w:rPr>
            <w:rStyle w:val="Lienhypertexte"/>
            <w:rFonts w:ascii="Times New Roman" w:hAnsi="Times New Roman"/>
            <w:lang w:val="fr-CA"/>
          </w:rPr>
          <w:t>XII/1</w:t>
        </w:r>
      </w:hyperlink>
      <w:r w:rsidR="007A4CE1" w:rsidRPr="00052024">
        <w:rPr>
          <w:rFonts w:ascii="Times New Roman" w:hAnsi="Times New Roman"/>
          <w:lang w:val="fr-CA"/>
        </w:rPr>
        <w:t xml:space="preserve">. </w:t>
      </w:r>
      <w:r w:rsidR="00566572" w:rsidRPr="00052024">
        <w:rPr>
          <w:rFonts w:ascii="Times New Roman" w:hAnsi="Times New Roman"/>
          <w:lang w:val="fr-CA"/>
        </w:rPr>
        <w:t xml:space="preserve">La liste </w:t>
      </w:r>
      <w:r w:rsidR="00752CD8" w:rsidRPr="00052024">
        <w:rPr>
          <w:rFonts w:ascii="Times New Roman" w:hAnsi="Times New Roman"/>
          <w:lang w:val="fr-CA"/>
        </w:rPr>
        <w:t>complè</w:t>
      </w:r>
      <w:r w:rsidR="00566572" w:rsidRPr="00052024">
        <w:rPr>
          <w:rFonts w:ascii="Times New Roman" w:hAnsi="Times New Roman"/>
          <w:lang w:val="fr-CA"/>
        </w:rPr>
        <w:t>te des besoins a été acheminée à la Plateforme intergouvernementale scientifique et politique sur la biodiversité et les services écosystémiques en tant que contribution au développement de s</w:t>
      </w:r>
      <w:r w:rsidR="00752CD8" w:rsidRPr="00052024">
        <w:rPr>
          <w:rFonts w:ascii="Times New Roman" w:hAnsi="Times New Roman"/>
          <w:lang w:val="fr-CA"/>
        </w:rPr>
        <w:t xml:space="preserve">on premier programme de travail. Elle  </w:t>
      </w:r>
      <w:r w:rsidR="00036F38">
        <w:rPr>
          <w:rFonts w:ascii="Times New Roman" w:hAnsi="Times New Roman"/>
          <w:lang w:val="fr-CA"/>
        </w:rPr>
        <w:t>est un complément à</w:t>
      </w:r>
      <w:r w:rsidR="00752CD8" w:rsidRPr="00052024">
        <w:rPr>
          <w:rFonts w:ascii="Times New Roman" w:hAnsi="Times New Roman"/>
          <w:lang w:val="fr-CA"/>
        </w:rPr>
        <w:t xml:space="preserve"> une plus vaste demande de la Conférence des Parties à la Plateforme intergouvernementale scientifique et politique sur la biodiversité et les services écosystémiques, faite dans la décision </w:t>
      </w:r>
      <w:hyperlink r:id="rId24" w:history="1">
        <w:r w:rsidR="007A4CE1" w:rsidRPr="00052024">
          <w:rPr>
            <w:rStyle w:val="Lienhypertexte"/>
            <w:rFonts w:ascii="Times New Roman" w:hAnsi="Times New Roman"/>
            <w:lang w:val="fr-CA"/>
          </w:rPr>
          <w:t>XI/13</w:t>
        </w:r>
      </w:hyperlink>
      <w:r w:rsidR="00A82E18" w:rsidRPr="00052024">
        <w:rPr>
          <w:rFonts w:ascii="Times New Roman" w:hAnsi="Times New Roman"/>
          <w:lang w:val="fr-CA"/>
        </w:rPr>
        <w:t>,</w:t>
      </w:r>
      <w:r w:rsidR="007A4CE1" w:rsidRPr="00052024">
        <w:rPr>
          <w:rFonts w:ascii="Times New Roman" w:hAnsi="Times New Roman"/>
          <w:lang w:val="fr-CA"/>
        </w:rPr>
        <w:t xml:space="preserve"> </w:t>
      </w:r>
      <w:r w:rsidR="00752CD8" w:rsidRPr="00052024">
        <w:rPr>
          <w:rFonts w:ascii="Times New Roman" w:hAnsi="Times New Roman"/>
          <w:lang w:val="fr-CA"/>
        </w:rPr>
        <w:t>d’examiner des moyens</w:t>
      </w:r>
      <w:r w:rsidR="00F17E77" w:rsidRPr="00052024">
        <w:rPr>
          <w:rFonts w:ascii="Times New Roman" w:hAnsi="Times New Roman"/>
          <w:lang w:val="fr-CA"/>
        </w:rPr>
        <w:t xml:space="preserve"> </w:t>
      </w:r>
      <w:r w:rsidR="00CA45FB">
        <w:rPr>
          <w:rFonts w:ascii="Times New Roman" w:hAnsi="Times New Roman"/>
          <w:lang w:val="fr-CA"/>
        </w:rPr>
        <w:t xml:space="preserve">par lesquels les activités pourraient développer et contribuer </w:t>
      </w:r>
      <w:r w:rsidR="00F17E77" w:rsidRPr="00052024">
        <w:rPr>
          <w:rFonts w:ascii="Times New Roman" w:hAnsi="Times New Roman"/>
          <w:lang w:val="fr-CA"/>
        </w:rPr>
        <w:t xml:space="preserve">à la quatrième édition des </w:t>
      </w:r>
      <w:r w:rsidR="00F17E77" w:rsidRPr="00CA45FB">
        <w:rPr>
          <w:rFonts w:ascii="Times New Roman" w:hAnsi="Times New Roman"/>
          <w:i/>
          <w:lang w:val="fr-CA"/>
        </w:rPr>
        <w:t>Perspectives mondiales de la diversité biologique</w:t>
      </w:r>
      <w:r w:rsidR="00F17E77" w:rsidRPr="00052024">
        <w:rPr>
          <w:rFonts w:ascii="Times New Roman" w:hAnsi="Times New Roman"/>
          <w:lang w:val="fr-CA"/>
        </w:rPr>
        <w:t xml:space="preserve">, </w:t>
      </w:r>
      <w:r w:rsidR="00CA45FB">
        <w:rPr>
          <w:rFonts w:ascii="Times New Roman" w:hAnsi="Times New Roman"/>
          <w:lang w:val="fr-CA"/>
        </w:rPr>
        <w:t>contribuer</w:t>
      </w:r>
      <w:r w:rsidR="00F17E77" w:rsidRPr="00052024">
        <w:rPr>
          <w:rFonts w:ascii="Times New Roman" w:hAnsi="Times New Roman"/>
          <w:lang w:val="fr-CA"/>
        </w:rPr>
        <w:t xml:space="preserve"> à l’évaluation de la réalisation des Objectifs d’Aichi relatifs à la diversité biologique, et </w:t>
      </w:r>
      <w:r w:rsidR="00CA45FB">
        <w:rPr>
          <w:rFonts w:ascii="Times New Roman" w:hAnsi="Times New Roman"/>
          <w:lang w:val="fr-CA"/>
        </w:rPr>
        <w:t>fournir</w:t>
      </w:r>
      <w:r w:rsidR="00F17E77" w:rsidRPr="00052024">
        <w:rPr>
          <w:rFonts w:ascii="Times New Roman" w:hAnsi="Times New Roman"/>
          <w:lang w:val="fr-CA"/>
        </w:rPr>
        <w:t xml:space="preserve"> de l’information sur les politiques</w:t>
      </w:r>
      <w:r w:rsidR="00A81C6D" w:rsidRPr="00052024">
        <w:rPr>
          <w:rFonts w:ascii="Times New Roman" w:hAnsi="Times New Roman"/>
          <w:lang w:val="fr-CA"/>
        </w:rPr>
        <w:t xml:space="preserve"> existant</w:t>
      </w:r>
      <w:r w:rsidR="00CA45FB">
        <w:rPr>
          <w:rFonts w:ascii="Times New Roman" w:hAnsi="Times New Roman"/>
          <w:lang w:val="fr-CA"/>
        </w:rPr>
        <w:t>e</w:t>
      </w:r>
      <w:r w:rsidR="00A81C6D" w:rsidRPr="00052024">
        <w:rPr>
          <w:rFonts w:ascii="Times New Roman" w:hAnsi="Times New Roman"/>
          <w:lang w:val="fr-CA"/>
        </w:rPr>
        <w:t xml:space="preserve">s pour </w:t>
      </w:r>
      <w:r w:rsidR="00CA45FB">
        <w:rPr>
          <w:rFonts w:ascii="Times New Roman" w:hAnsi="Times New Roman"/>
          <w:lang w:val="fr-CA"/>
        </w:rPr>
        <w:t>la réalisation de</w:t>
      </w:r>
      <w:r w:rsidR="00A81C6D" w:rsidRPr="00052024">
        <w:rPr>
          <w:rFonts w:ascii="Times New Roman" w:hAnsi="Times New Roman"/>
          <w:lang w:val="fr-CA"/>
        </w:rPr>
        <w:t xml:space="preserve"> la vision 2050 du Plan stratégique 2011-2020 pour la diversité biologique. Cette vaste demande et les principaux besoins scientifiques et techniques cernés par l’Organe subsidiaire demeurent valides. Ils doivent donc continuer à entrer en ligne de compte dans le développement et la prestation des futures activités de la Plateforme intergouvernementale scientifique et politique sur la biodiversité et les services écosystémiques dans ses quatre fonctions.</w:t>
      </w:r>
    </w:p>
    <w:p w14:paraId="59A05DE5" w14:textId="3F4330E1" w:rsidR="007A4CE1" w:rsidRPr="00052024" w:rsidRDefault="00A81C6D" w:rsidP="003E3A6F">
      <w:pPr>
        <w:pStyle w:val="StylePara1HeadingsCSTimesNewRoman"/>
        <w:rPr>
          <w:rFonts w:ascii="Times New Roman" w:hAnsi="Times New Roman"/>
          <w:szCs w:val="22"/>
          <w:lang w:val="fr-CA"/>
        </w:rPr>
      </w:pPr>
      <w:r w:rsidRPr="00052024">
        <w:rPr>
          <w:rFonts w:ascii="Times New Roman" w:hAnsi="Times New Roman"/>
          <w:szCs w:val="22"/>
          <w:lang w:val="fr-CA"/>
        </w:rPr>
        <w:t>Dans sa décision XIII/29, la Conférence des Parties, se fondant sur</w:t>
      </w:r>
      <w:r w:rsidR="00D94C57">
        <w:rPr>
          <w:rFonts w:ascii="Times New Roman" w:hAnsi="Times New Roman"/>
          <w:szCs w:val="22"/>
          <w:lang w:val="fr-CA"/>
        </w:rPr>
        <w:t xml:space="preserve"> l’examen des conclusions de l’é</w:t>
      </w:r>
      <w:r w:rsidRPr="00052024">
        <w:rPr>
          <w:rFonts w:ascii="Times New Roman" w:hAnsi="Times New Roman"/>
          <w:szCs w:val="22"/>
          <w:lang w:val="fr-CA"/>
        </w:rPr>
        <w:t xml:space="preserve">valuation méthodologique des scénarios et de la modélisation </w:t>
      </w:r>
      <w:r w:rsidR="00D94C57">
        <w:rPr>
          <w:rFonts w:ascii="Times New Roman" w:hAnsi="Times New Roman"/>
          <w:szCs w:val="22"/>
          <w:lang w:val="fr-CA"/>
        </w:rPr>
        <w:t>de</w:t>
      </w:r>
      <w:r w:rsidR="009270F0">
        <w:rPr>
          <w:rFonts w:ascii="Times New Roman" w:hAnsi="Times New Roman"/>
          <w:szCs w:val="22"/>
          <w:lang w:val="fr-CA"/>
        </w:rPr>
        <w:t xml:space="preserve"> l’Organe subsidiaire</w:t>
      </w:r>
      <w:r w:rsidRPr="00052024">
        <w:rPr>
          <w:rFonts w:ascii="Times New Roman" w:hAnsi="Times New Roman"/>
          <w:szCs w:val="22"/>
          <w:lang w:val="fr-CA"/>
        </w:rPr>
        <w:t>, a demandé</w:t>
      </w:r>
      <w:r w:rsidR="007359FE" w:rsidRPr="00052024">
        <w:rPr>
          <w:rFonts w:ascii="Times New Roman" w:hAnsi="Times New Roman"/>
          <w:szCs w:val="22"/>
          <w:lang w:val="fr-CA"/>
        </w:rPr>
        <w:t xml:space="preserve"> à la communauté scientifique de resserrer les écarts </w:t>
      </w:r>
      <w:r w:rsidR="00C47325" w:rsidRPr="00052024">
        <w:rPr>
          <w:rFonts w:ascii="Times New Roman" w:hAnsi="Times New Roman"/>
          <w:szCs w:val="22"/>
          <w:lang w:val="fr-CA"/>
        </w:rPr>
        <w:t xml:space="preserve">que présentent </w:t>
      </w:r>
      <w:r w:rsidR="007359FE" w:rsidRPr="00052024">
        <w:rPr>
          <w:rFonts w:ascii="Times New Roman" w:hAnsi="Times New Roman"/>
          <w:szCs w:val="22"/>
          <w:lang w:val="fr-CA"/>
        </w:rPr>
        <w:t xml:space="preserve">des méthodes de modélisation des conséquences des moteurs et des interventions </w:t>
      </w:r>
      <w:r w:rsidR="00C47325" w:rsidRPr="00052024">
        <w:rPr>
          <w:rFonts w:ascii="Times New Roman" w:hAnsi="Times New Roman"/>
          <w:szCs w:val="22"/>
          <w:lang w:val="fr-CA"/>
        </w:rPr>
        <w:t>par politiques</w:t>
      </w:r>
      <w:r w:rsidR="007359FE" w:rsidRPr="00052024">
        <w:rPr>
          <w:rFonts w:ascii="Times New Roman" w:hAnsi="Times New Roman"/>
          <w:szCs w:val="22"/>
          <w:lang w:val="fr-CA"/>
        </w:rPr>
        <w:t xml:space="preserve"> </w:t>
      </w:r>
      <w:r w:rsidR="00D31E41">
        <w:rPr>
          <w:rFonts w:ascii="Times New Roman" w:hAnsi="Times New Roman"/>
          <w:szCs w:val="22"/>
          <w:lang w:val="fr-CA"/>
        </w:rPr>
        <w:t>sur la biodiversité et les services</w:t>
      </w:r>
      <w:r w:rsidR="007359FE" w:rsidRPr="00052024">
        <w:rPr>
          <w:rFonts w:ascii="Times New Roman" w:hAnsi="Times New Roman"/>
          <w:szCs w:val="22"/>
          <w:lang w:val="fr-CA"/>
        </w:rPr>
        <w:t xml:space="preserve"> écosystémiques recensés</w:t>
      </w:r>
      <w:r w:rsidR="002023AE" w:rsidRPr="00052024">
        <w:rPr>
          <w:rFonts w:ascii="Times New Roman" w:hAnsi="Times New Roman"/>
          <w:szCs w:val="22"/>
          <w:lang w:val="fr-CA"/>
        </w:rPr>
        <w:t xml:space="preserve"> </w:t>
      </w:r>
      <w:r w:rsidR="007359FE" w:rsidRPr="00052024">
        <w:rPr>
          <w:rFonts w:ascii="Times New Roman" w:hAnsi="Times New Roman"/>
          <w:szCs w:val="22"/>
          <w:lang w:val="fr-CA"/>
        </w:rPr>
        <w:t xml:space="preserve">dans l’évaluation méthodologique et d’élaborer des méthodes pratiques et efficaces d’évaluer et de communiquer les niveaux d’incertitude associés aux scénarios et à la modélisation, ainsi que les outils pour mettre en œuvre ces méthodes d’évaluation et de prises de décisions. Dans cette même décision, la Conférence des Parties a prié la Secrétaire exécutive et invité les secrétariats de la Plateforme intergouvernementale scientifique et politique sur la biodiversité et les services écosystémiques et du </w:t>
      </w:r>
      <w:r w:rsidR="002023AE" w:rsidRPr="00052024">
        <w:rPr>
          <w:rFonts w:ascii="Times New Roman" w:hAnsi="Times New Roman"/>
          <w:szCs w:val="22"/>
          <w:lang w:val="fr-CA"/>
        </w:rPr>
        <w:t>Gro</w:t>
      </w:r>
      <w:r w:rsidR="007359FE" w:rsidRPr="00052024">
        <w:rPr>
          <w:rFonts w:ascii="Times New Roman" w:hAnsi="Times New Roman"/>
          <w:szCs w:val="22"/>
          <w:lang w:val="fr-CA"/>
        </w:rPr>
        <w:t>upe d’</w:t>
      </w:r>
      <w:r w:rsidR="002023AE" w:rsidRPr="00052024">
        <w:rPr>
          <w:rFonts w:ascii="Times New Roman" w:hAnsi="Times New Roman"/>
          <w:szCs w:val="22"/>
          <w:lang w:val="fr-CA"/>
        </w:rPr>
        <w:t>experts intergou</w:t>
      </w:r>
      <w:r w:rsidR="007359FE" w:rsidRPr="00052024">
        <w:rPr>
          <w:rFonts w:ascii="Times New Roman" w:hAnsi="Times New Roman"/>
          <w:szCs w:val="22"/>
          <w:lang w:val="fr-CA"/>
        </w:rPr>
        <w:t>vernemental sur l’évolution du climat</w:t>
      </w:r>
      <w:r w:rsidR="002023AE" w:rsidRPr="00052024">
        <w:rPr>
          <w:rFonts w:ascii="Times New Roman" w:hAnsi="Times New Roman"/>
          <w:szCs w:val="22"/>
          <w:lang w:val="fr-CA"/>
        </w:rPr>
        <w:t xml:space="preserve"> </w:t>
      </w:r>
      <w:r w:rsidR="00C47325" w:rsidRPr="00052024">
        <w:rPr>
          <w:rFonts w:ascii="Times New Roman" w:hAnsi="Times New Roman"/>
          <w:szCs w:val="22"/>
          <w:lang w:val="fr-CA"/>
        </w:rPr>
        <w:t>à</w:t>
      </w:r>
      <w:r w:rsidR="002023AE" w:rsidRPr="00052024">
        <w:rPr>
          <w:rFonts w:ascii="Times New Roman" w:hAnsi="Times New Roman"/>
          <w:szCs w:val="22"/>
          <w:lang w:val="fr-CA"/>
        </w:rPr>
        <w:t xml:space="preserve"> favoriser une collaboration accrue entre les communautés scientifiques </w:t>
      </w:r>
      <w:r w:rsidR="00C47325" w:rsidRPr="00052024">
        <w:rPr>
          <w:rFonts w:ascii="Times New Roman" w:hAnsi="Times New Roman"/>
          <w:szCs w:val="22"/>
          <w:lang w:val="fr-CA"/>
        </w:rPr>
        <w:t>ayant des liens avec l</w:t>
      </w:r>
      <w:r w:rsidR="002023AE" w:rsidRPr="00052024">
        <w:rPr>
          <w:rFonts w:ascii="Times New Roman" w:hAnsi="Times New Roman"/>
          <w:szCs w:val="22"/>
          <w:lang w:val="fr-CA"/>
        </w:rPr>
        <w:t xml:space="preserve">es organismes travaillant sur les scénarios et les modèles, et </w:t>
      </w:r>
      <w:r w:rsidR="00C47325" w:rsidRPr="00052024">
        <w:rPr>
          <w:rFonts w:ascii="Times New Roman" w:hAnsi="Times New Roman"/>
          <w:szCs w:val="22"/>
          <w:lang w:val="fr-CA"/>
        </w:rPr>
        <w:t>à</w:t>
      </w:r>
      <w:r w:rsidR="002023AE" w:rsidRPr="00052024">
        <w:rPr>
          <w:rFonts w:ascii="Times New Roman" w:hAnsi="Times New Roman"/>
          <w:szCs w:val="22"/>
          <w:lang w:val="fr-CA"/>
        </w:rPr>
        <w:t xml:space="preserve"> collaborer avec les communautés travaillant sur le suivi de la diversité biologique et les données, et le groupe des</w:t>
      </w:r>
      <w:r w:rsidR="00C47325" w:rsidRPr="00052024">
        <w:rPr>
          <w:rFonts w:ascii="Times New Roman" w:hAnsi="Times New Roman"/>
          <w:szCs w:val="22"/>
          <w:lang w:val="fr-CA"/>
        </w:rPr>
        <w:t xml:space="preserve"> politiques.</w:t>
      </w:r>
      <w:r w:rsidR="002023AE" w:rsidRPr="00052024">
        <w:rPr>
          <w:rFonts w:ascii="Times New Roman" w:hAnsi="Times New Roman"/>
          <w:szCs w:val="22"/>
          <w:lang w:val="fr-CA"/>
        </w:rPr>
        <w:t xml:space="preserve"> Le besoin de favoriser la cohérence entre les scénarios et les évaluations connexes préparés dans le contexte de la diversité biologique et des changements climatiques a été réitéré dans la recommandation</w:t>
      </w:r>
      <w:r w:rsidR="007A4CE1" w:rsidRPr="00052024">
        <w:rPr>
          <w:rFonts w:ascii="Times New Roman" w:hAnsi="Times New Roman"/>
          <w:szCs w:val="22"/>
          <w:lang w:val="fr-CA"/>
        </w:rPr>
        <w:t xml:space="preserve"> </w:t>
      </w:r>
      <w:hyperlink r:id="rId25" w:history="1">
        <w:r w:rsidR="007A4CE1" w:rsidRPr="00052024">
          <w:rPr>
            <w:rStyle w:val="Lienhypertexte"/>
            <w:rFonts w:ascii="Times New Roman" w:hAnsi="Times New Roman"/>
            <w:szCs w:val="22"/>
            <w:lang w:val="fr-CA"/>
          </w:rPr>
          <w:t>XXI/1</w:t>
        </w:r>
      </w:hyperlink>
      <w:r w:rsidR="00C83ADC">
        <w:rPr>
          <w:rFonts w:ascii="Times New Roman" w:hAnsi="Times New Roman"/>
          <w:szCs w:val="22"/>
          <w:lang w:val="fr-CA"/>
        </w:rPr>
        <w:t xml:space="preserve"> de l’Organe subsidiaire</w:t>
      </w:r>
      <w:r w:rsidR="002023AE" w:rsidRPr="00052024">
        <w:rPr>
          <w:rFonts w:ascii="Times New Roman" w:hAnsi="Times New Roman"/>
          <w:szCs w:val="22"/>
          <w:lang w:val="fr-CA"/>
        </w:rPr>
        <w:t>.</w:t>
      </w:r>
      <w:r w:rsidR="007A4CE1" w:rsidRPr="00052024">
        <w:rPr>
          <w:rFonts w:ascii="Times New Roman" w:hAnsi="Times New Roman"/>
          <w:szCs w:val="22"/>
          <w:lang w:val="fr-CA"/>
        </w:rPr>
        <w:t xml:space="preserve"> </w:t>
      </w:r>
    </w:p>
    <w:p w14:paraId="783F0F00" w14:textId="7962CC57" w:rsidR="007A4CE1" w:rsidRPr="00052024" w:rsidRDefault="00C47325" w:rsidP="00C26DB3">
      <w:pPr>
        <w:pStyle w:val="StylePara1HeadingsCSTimesNewRoman"/>
        <w:rPr>
          <w:rFonts w:ascii="Times New Roman" w:hAnsi="Times New Roman"/>
          <w:szCs w:val="22"/>
          <w:lang w:val="fr-CA"/>
        </w:rPr>
      </w:pPr>
      <w:r w:rsidRPr="00052024">
        <w:rPr>
          <w:rFonts w:ascii="Times New Roman" w:hAnsi="Times New Roman"/>
          <w:szCs w:val="22"/>
          <w:lang w:val="fr-CA"/>
        </w:rPr>
        <w:t>Dans cette même recommandation, l’Organe subsidiaire a accueilli avec</w:t>
      </w:r>
      <w:r w:rsidR="00C9136F" w:rsidRPr="00052024">
        <w:rPr>
          <w:rFonts w:ascii="Times New Roman" w:hAnsi="Times New Roman"/>
          <w:szCs w:val="22"/>
          <w:lang w:val="fr-CA"/>
        </w:rPr>
        <w:t xml:space="preserve"> satisfaction les travaux en cours du Groupe d’experts sur les scénarios et la modélisation de la Plateforme intergouvernementale scientifique et politique sur la biodiversité et les services écosystémiques sur le développement de nouveaux scénarios </w:t>
      </w:r>
      <w:r w:rsidR="008E4B6E">
        <w:rPr>
          <w:rFonts w:ascii="Times New Roman" w:hAnsi="Times New Roman"/>
          <w:szCs w:val="22"/>
          <w:lang w:val="fr-CA"/>
        </w:rPr>
        <w:t xml:space="preserve">multi-échelles </w:t>
      </w:r>
      <w:r w:rsidR="00C9136F" w:rsidRPr="00052024">
        <w:rPr>
          <w:rFonts w:ascii="Times New Roman" w:hAnsi="Times New Roman"/>
          <w:szCs w:val="22"/>
          <w:lang w:val="fr-CA"/>
        </w:rPr>
        <w:t xml:space="preserve">pour la diversité biologique dans le cadre d’un processus dirigé par les parties prenantes et, </w:t>
      </w:r>
      <w:r w:rsidR="00C26DB3" w:rsidRPr="00052024">
        <w:rPr>
          <w:rFonts w:ascii="Times New Roman" w:hAnsi="Times New Roman"/>
          <w:szCs w:val="22"/>
          <w:lang w:val="fr-CA"/>
        </w:rPr>
        <w:t xml:space="preserve">prenant note de la pertinence de ces travaux pour le processus de développement d’un </w:t>
      </w:r>
      <w:r w:rsidR="00DB02AC" w:rsidRPr="00052024">
        <w:rPr>
          <w:rFonts w:ascii="Times New Roman" w:hAnsi="Times New Roman"/>
          <w:lang w:val="fr-CA"/>
        </w:rPr>
        <w:t xml:space="preserve">cadre </w:t>
      </w:r>
      <w:r w:rsidR="00DB02AC" w:rsidRPr="00052024">
        <w:rPr>
          <w:rFonts w:ascii="Times New Roman" w:hAnsi="Times New Roman"/>
          <w:lang w:val="fr-CA"/>
        </w:rPr>
        <w:lastRenderedPageBreak/>
        <w:t>mondial de la diversité biologique pour l’après-2020</w:t>
      </w:r>
      <w:r w:rsidR="00C26DB3" w:rsidRPr="00052024">
        <w:rPr>
          <w:rFonts w:ascii="Times New Roman" w:hAnsi="Times New Roman"/>
          <w:szCs w:val="22"/>
          <w:lang w:val="fr-CA"/>
        </w:rPr>
        <w:t>, a reconnu l’importance de faire participer les peuples autochtones et les communautés locales à ces travaux, et a encouragé les Parties, les autres gouvernements, les peuples autochtones et les communautés locales, ainsi que toute les parties prenantes à participer à ce processus</w:t>
      </w:r>
      <w:r w:rsidR="007A4CE1" w:rsidRPr="00052024">
        <w:rPr>
          <w:rFonts w:ascii="Times New Roman" w:hAnsi="Times New Roman"/>
          <w:szCs w:val="22"/>
          <w:lang w:val="fr-CA"/>
        </w:rPr>
        <w:t>.</w:t>
      </w:r>
    </w:p>
    <w:p w14:paraId="262F7A06" w14:textId="08F3C950" w:rsidR="007A4CE1" w:rsidRPr="00052024" w:rsidRDefault="00C26DB3" w:rsidP="003E3A6F">
      <w:pPr>
        <w:pStyle w:val="StylePara1HeadingsCSTimesNewRoman"/>
        <w:rPr>
          <w:rFonts w:ascii="Times New Roman" w:hAnsi="Times New Roman"/>
          <w:szCs w:val="22"/>
          <w:lang w:val="fr-CA"/>
        </w:rPr>
      </w:pPr>
      <w:r w:rsidRPr="00052024">
        <w:rPr>
          <w:rFonts w:ascii="Times New Roman" w:hAnsi="Times New Roman"/>
          <w:szCs w:val="22"/>
          <w:lang w:val="fr-CA"/>
        </w:rPr>
        <w:t>L’Organe subsidiaire et la Conférence des Parties ont souvent souligné l’importance d’évaluer l’efficacité des mesures de politiques prises dans le but de mettre en œuvre la Convention (par exemple, décisions</w:t>
      </w:r>
      <w:r w:rsidR="007A4CE1" w:rsidRPr="00052024">
        <w:rPr>
          <w:rFonts w:ascii="Times New Roman" w:hAnsi="Times New Roman"/>
          <w:szCs w:val="22"/>
          <w:lang w:val="fr-CA"/>
        </w:rPr>
        <w:t xml:space="preserve"> XI/2, </w:t>
      </w:r>
      <w:hyperlink r:id="rId26" w:history="1">
        <w:r w:rsidR="007A4CE1" w:rsidRPr="00052024">
          <w:rPr>
            <w:rStyle w:val="Lienhypertexte"/>
            <w:rFonts w:ascii="Times New Roman" w:hAnsi="Times New Roman"/>
            <w:szCs w:val="22"/>
            <w:lang w:val="fr-CA"/>
          </w:rPr>
          <w:t>XI/3</w:t>
        </w:r>
      </w:hyperlink>
      <w:r w:rsidR="007A4CE1" w:rsidRPr="00052024">
        <w:rPr>
          <w:rFonts w:ascii="Times New Roman" w:hAnsi="Times New Roman"/>
          <w:szCs w:val="22"/>
          <w:lang w:val="fr-CA"/>
        </w:rPr>
        <w:t xml:space="preserve">, XII/1, </w:t>
      </w:r>
      <w:hyperlink r:id="rId27" w:history="1">
        <w:r w:rsidR="007A4CE1" w:rsidRPr="00052024">
          <w:rPr>
            <w:rStyle w:val="Lienhypertexte"/>
            <w:rFonts w:ascii="Times New Roman" w:hAnsi="Times New Roman"/>
            <w:szCs w:val="22"/>
            <w:lang w:val="fr-CA"/>
          </w:rPr>
          <w:t>XIII/1</w:t>
        </w:r>
      </w:hyperlink>
      <w:r w:rsidR="007A4CE1" w:rsidRPr="00052024">
        <w:rPr>
          <w:rFonts w:ascii="Times New Roman" w:hAnsi="Times New Roman"/>
          <w:szCs w:val="22"/>
          <w:lang w:val="fr-CA"/>
        </w:rPr>
        <w:t xml:space="preserve"> </w:t>
      </w:r>
      <w:r w:rsidRPr="00052024">
        <w:rPr>
          <w:rFonts w:ascii="Times New Roman" w:hAnsi="Times New Roman"/>
          <w:szCs w:val="22"/>
          <w:lang w:val="fr-CA"/>
        </w:rPr>
        <w:t>et</w:t>
      </w:r>
      <w:r w:rsidR="007A4CE1" w:rsidRPr="00052024">
        <w:rPr>
          <w:rFonts w:ascii="Times New Roman" w:hAnsi="Times New Roman"/>
          <w:szCs w:val="22"/>
          <w:lang w:val="fr-CA"/>
        </w:rPr>
        <w:t xml:space="preserve"> </w:t>
      </w:r>
      <w:hyperlink r:id="rId28" w:history="1">
        <w:r w:rsidR="007A4CE1" w:rsidRPr="00052024">
          <w:rPr>
            <w:rStyle w:val="Lienhypertexte"/>
            <w:rFonts w:ascii="Times New Roman" w:hAnsi="Times New Roman"/>
            <w:szCs w:val="22"/>
            <w:lang w:val="fr-CA"/>
          </w:rPr>
          <w:t>XIII/3</w:t>
        </w:r>
      </w:hyperlink>
      <w:r w:rsidR="007A4CE1" w:rsidRPr="00052024">
        <w:rPr>
          <w:rFonts w:ascii="Times New Roman" w:hAnsi="Times New Roman"/>
          <w:szCs w:val="22"/>
          <w:lang w:val="fr-CA"/>
        </w:rPr>
        <w:t xml:space="preserve"> </w:t>
      </w:r>
      <w:r w:rsidRPr="00052024">
        <w:rPr>
          <w:rFonts w:ascii="Times New Roman" w:hAnsi="Times New Roman"/>
          <w:szCs w:val="22"/>
          <w:lang w:val="fr-CA"/>
        </w:rPr>
        <w:t>et recommandation</w:t>
      </w:r>
      <w:r w:rsidR="007A4CE1" w:rsidRPr="00052024">
        <w:rPr>
          <w:rFonts w:ascii="Times New Roman" w:hAnsi="Times New Roman"/>
          <w:szCs w:val="22"/>
          <w:lang w:val="fr-CA"/>
        </w:rPr>
        <w:t xml:space="preserve"> </w:t>
      </w:r>
      <w:hyperlink r:id="rId29" w:history="1">
        <w:r w:rsidR="007A4CE1" w:rsidRPr="00052024">
          <w:rPr>
            <w:rStyle w:val="Lienhypertexte"/>
            <w:rFonts w:ascii="Times New Roman" w:hAnsi="Times New Roman"/>
            <w:szCs w:val="22"/>
            <w:lang w:val="fr-CA"/>
          </w:rPr>
          <w:t>XXI/6</w:t>
        </w:r>
      </w:hyperlink>
      <w:r w:rsidRPr="00052024">
        <w:rPr>
          <w:rFonts w:ascii="Times New Roman" w:hAnsi="Times New Roman"/>
          <w:szCs w:val="22"/>
          <w:lang w:val="fr-CA"/>
        </w:rPr>
        <w:t xml:space="preserve"> de l’</w:t>
      </w:r>
      <w:r w:rsidR="00C83ADC">
        <w:rPr>
          <w:rFonts w:ascii="Times New Roman" w:hAnsi="Times New Roman"/>
          <w:szCs w:val="22"/>
          <w:lang w:val="fr-CA"/>
        </w:rPr>
        <w:t>Organe subsidiaire</w:t>
      </w:r>
      <w:r w:rsidR="00A05020" w:rsidRPr="00052024">
        <w:rPr>
          <w:rFonts w:ascii="Times New Roman" w:hAnsi="Times New Roman"/>
          <w:szCs w:val="22"/>
          <w:lang w:val="fr-CA"/>
        </w:rPr>
        <w:t>).</w:t>
      </w:r>
    </w:p>
    <w:p w14:paraId="0668F7F3" w14:textId="710C11D6" w:rsidR="007A4CE1" w:rsidRPr="00052024" w:rsidRDefault="00DF2836" w:rsidP="0085547E">
      <w:pPr>
        <w:pStyle w:val="Titre2"/>
        <w:numPr>
          <w:ilvl w:val="0"/>
          <w:numId w:val="12"/>
        </w:numPr>
        <w:rPr>
          <w:lang w:val="fr-CA"/>
        </w:rPr>
      </w:pPr>
      <w:r w:rsidRPr="00052024">
        <w:rPr>
          <w:lang w:val="fr-CA"/>
        </w:rPr>
        <w:t>B</w:t>
      </w:r>
      <w:r w:rsidRPr="00052024">
        <w:rPr>
          <w:iCs w:val="0"/>
          <w:lang w:val="fr-CA"/>
        </w:rPr>
        <w:t xml:space="preserve">esoins anticipés pour le </w:t>
      </w:r>
      <w:r w:rsidR="00DB02AC" w:rsidRPr="00052024">
        <w:rPr>
          <w:lang w:val="fr-CA"/>
        </w:rPr>
        <w:t xml:space="preserve">cadre de la diversité biologique pour l’après-2020 </w:t>
      </w:r>
    </w:p>
    <w:p w14:paraId="03FCC87F" w14:textId="0E15BF30" w:rsidR="007A4CE1" w:rsidRPr="00052024" w:rsidRDefault="00C83ADC" w:rsidP="003E3A6F">
      <w:pPr>
        <w:pStyle w:val="StylePara1HeadingsCSTimesNewRoman"/>
        <w:rPr>
          <w:rFonts w:ascii="Times New Roman" w:hAnsi="Times New Roman"/>
          <w:lang w:val="fr-CA"/>
        </w:rPr>
      </w:pPr>
      <w:r>
        <w:rPr>
          <w:rFonts w:ascii="Times New Roman" w:hAnsi="Times New Roman"/>
          <w:lang w:val="fr-CA"/>
        </w:rPr>
        <w:t>L’Organe subsidiaire</w:t>
      </w:r>
      <w:r w:rsidR="00042394" w:rsidRPr="00052024">
        <w:rPr>
          <w:rFonts w:ascii="Times New Roman" w:hAnsi="Times New Roman"/>
          <w:lang w:val="fr-CA"/>
        </w:rPr>
        <w:t xml:space="preserve">, dans sa recommandation </w:t>
      </w:r>
      <w:hyperlink r:id="rId30" w:history="1">
        <w:r w:rsidR="007A4CE1" w:rsidRPr="00052024">
          <w:rPr>
            <w:rStyle w:val="Lienhypertexte"/>
            <w:rFonts w:ascii="Times New Roman" w:hAnsi="Times New Roman"/>
            <w:lang w:val="fr-CA"/>
          </w:rPr>
          <w:t>XXI/1</w:t>
        </w:r>
      </w:hyperlink>
      <w:r w:rsidR="007A4CE1" w:rsidRPr="00052024">
        <w:rPr>
          <w:rFonts w:ascii="Times New Roman" w:hAnsi="Times New Roman"/>
          <w:lang w:val="fr-CA"/>
        </w:rPr>
        <w:t xml:space="preserve">, </w:t>
      </w:r>
      <w:r w:rsidR="00042394" w:rsidRPr="00052024">
        <w:rPr>
          <w:rFonts w:ascii="Times New Roman" w:hAnsi="Times New Roman"/>
          <w:lang w:val="fr-CA"/>
        </w:rPr>
        <w:t xml:space="preserve">invite la communauté scientifique et autres communautés concernées travaillant sur les scénarios et les évaluations connexes à tenir compte de plusieurs éléments d’importance pour le développement du </w:t>
      </w:r>
      <w:r w:rsidR="00DB02AC" w:rsidRPr="00052024">
        <w:rPr>
          <w:rFonts w:ascii="Times New Roman" w:hAnsi="Times New Roman"/>
          <w:lang w:val="fr-CA"/>
        </w:rPr>
        <w:t>cadre de la diversité biologique pour l’après-2020</w:t>
      </w:r>
      <w:r w:rsidR="00042394" w:rsidRPr="00052024">
        <w:rPr>
          <w:rFonts w:ascii="Times New Roman" w:hAnsi="Times New Roman"/>
          <w:lang w:val="fr-CA"/>
        </w:rPr>
        <w:t>. Les points suivants pourraient ê</w:t>
      </w:r>
      <w:r w:rsidR="00032CBD">
        <w:rPr>
          <w:rFonts w:ascii="Times New Roman" w:hAnsi="Times New Roman"/>
          <w:lang w:val="fr-CA"/>
        </w:rPr>
        <w:t xml:space="preserve">tre pertinents aux travaux de la </w:t>
      </w:r>
      <w:r w:rsidR="00042394" w:rsidRPr="00052024">
        <w:rPr>
          <w:rFonts w:ascii="Times New Roman" w:hAnsi="Times New Roman"/>
          <w:lang w:val="fr-CA"/>
        </w:rPr>
        <w:t xml:space="preserve">Plateforme intergouvernementale scientifique et politique sur la biodiversité et les services écosystémiques </w:t>
      </w:r>
      <w:r w:rsidR="007A4CE1" w:rsidRPr="00052024">
        <w:rPr>
          <w:rFonts w:ascii="Times New Roman" w:hAnsi="Times New Roman"/>
          <w:lang w:val="fr-CA"/>
        </w:rPr>
        <w:t>:</w:t>
      </w:r>
    </w:p>
    <w:p w14:paraId="13A471DA" w14:textId="7F39FF2B" w:rsidR="007A4CE1" w:rsidRPr="00052024" w:rsidRDefault="007A4CE1" w:rsidP="007A4CE1">
      <w:pPr>
        <w:spacing w:before="60" w:after="60"/>
        <w:ind w:firstLine="709"/>
        <w:rPr>
          <w:iCs/>
          <w:lang w:val="fr-CA"/>
        </w:rPr>
      </w:pPr>
      <w:r w:rsidRPr="00052024">
        <w:rPr>
          <w:iCs/>
          <w:lang w:val="fr-CA"/>
        </w:rPr>
        <w:t>a)</w:t>
      </w:r>
      <w:r w:rsidRPr="00052024">
        <w:rPr>
          <w:iCs/>
          <w:lang w:val="fr-CA"/>
        </w:rPr>
        <w:tab/>
      </w:r>
      <w:r w:rsidR="00457539" w:rsidRPr="00052024">
        <w:rPr>
          <w:iCs/>
          <w:lang w:val="fr-CA"/>
        </w:rPr>
        <w:t xml:space="preserve">Le vaste éventail </w:t>
      </w:r>
      <w:r w:rsidR="0037762A" w:rsidRPr="00052024">
        <w:rPr>
          <w:iCs/>
          <w:lang w:val="fr-CA"/>
        </w:rPr>
        <w:t>de moteurs sous-jacents et de questions systémiques et structurales en lien avec l’appauvrissement de la diversité biologique</w:t>
      </w:r>
      <w:r w:rsidRPr="00052024">
        <w:rPr>
          <w:iCs/>
          <w:lang w:val="fr-CA"/>
        </w:rPr>
        <w:t>;</w:t>
      </w:r>
    </w:p>
    <w:p w14:paraId="26B07723" w14:textId="776B092E" w:rsidR="007A4CE1" w:rsidRPr="00052024" w:rsidRDefault="007A4CE1" w:rsidP="007A4CE1">
      <w:pPr>
        <w:spacing w:before="60" w:after="60"/>
        <w:ind w:firstLine="709"/>
        <w:rPr>
          <w:iCs/>
          <w:lang w:val="fr-CA"/>
        </w:rPr>
      </w:pPr>
      <w:r w:rsidRPr="00052024">
        <w:rPr>
          <w:iCs/>
          <w:lang w:val="fr-CA"/>
        </w:rPr>
        <w:t>b)</w:t>
      </w:r>
      <w:r w:rsidRPr="00052024">
        <w:rPr>
          <w:iCs/>
          <w:lang w:val="fr-CA"/>
        </w:rPr>
        <w:tab/>
      </w:r>
      <w:r w:rsidR="0037762A" w:rsidRPr="00052024">
        <w:rPr>
          <w:iCs/>
          <w:lang w:val="fr-CA"/>
        </w:rPr>
        <w:t xml:space="preserve">Les combinaisons d’approches par politiques </w:t>
      </w:r>
      <w:r w:rsidR="005B37E7">
        <w:rPr>
          <w:iCs/>
          <w:lang w:val="fr-CA"/>
        </w:rPr>
        <w:t>à multiples échelles</w:t>
      </w:r>
      <w:r w:rsidR="00911C3C" w:rsidRPr="00052024">
        <w:rPr>
          <w:iCs/>
          <w:lang w:val="fr-CA"/>
        </w:rPr>
        <w:t xml:space="preserve"> et dans différents scénarios</w:t>
      </w:r>
      <w:r w:rsidRPr="00052024">
        <w:rPr>
          <w:iCs/>
          <w:lang w:val="fr-CA"/>
        </w:rPr>
        <w:t>;</w:t>
      </w:r>
    </w:p>
    <w:p w14:paraId="5AD7435E" w14:textId="7FD6A60D" w:rsidR="007A4CE1" w:rsidRPr="00052024" w:rsidRDefault="007A4CE1" w:rsidP="007A4CE1">
      <w:pPr>
        <w:spacing w:before="60" w:after="60"/>
        <w:ind w:firstLine="709"/>
        <w:rPr>
          <w:iCs/>
          <w:lang w:val="fr-CA"/>
        </w:rPr>
      </w:pPr>
      <w:r w:rsidRPr="00052024">
        <w:rPr>
          <w:iCs/>
          <w:lang w:val="fr-CA"/>
        </w:rPr>
        <w:t>c)</w:t>
      </w:r>
      <w:r w:rsidRPr="00052024">
        <w:rPr>
          <w:iCs/>
          <w:lang w:val="fr-CA"/>
        </w:rPr>
        <w:tab/>
      </w:r>
      <w:r w:rsidR="00911C3C" w:rsidRPr="00052024">
        <w:rPr>
          <w:iCs/>
          <w:lang w:val="fr-CA"/>
        </w:rPr>
        <w:t>La définition de</w:t>
      </w:r>
      <w:r w:rsidR="00702FDE">
        <w:rPr>
          <w:iCs/>
          <w:lang w:val="fr-CA"/>
        </w:rPr>
        <w:t>s</w:t>
      </w:r>
      <w:r w:rsidR="00911C3C" w:rsidRPr="00052024">
        <w:rPr>
          <w:iCs/>
          <w:lang w:val="fr-CA"/>
        </w:rPr>
        <w:t xml:space="preserve"> synergies, des compromis et des limites en lien avec la diversité biologique doivent entrer en ligne de compte afin de définir les politiques et mesures efficaces pour favoriser la réalisation des objectifs de développement durable</w:t>
      </w:r>
      <w:r w:rsidRPr="00052024">
        <w:rPr>
          <w:iCs/>
          <w:lang w:val="fr-CA"/>
        </w:rPr>
        <w:t>;</w:t>
      </w:r>
    </w:p>
    <w:p w14:paraId="0F405C32" w14:textId="09B1FCA0" w:rsidR="007A4CE1" w:rsidRPr="00052024" w:rsidRDefault="007A4CE1" w:rsidP="007A4CE1">
      <w:pPr>
        <w:spacing w:before="60" w:after="60"/>
        <w:ind w:firstLine="709"/>
        <w:rPr>
          <w:iCs/>
          <w:lang w:val="fr-CA"/>
        </w:rPr>
      </w:pPr>
      <w:r w:rsidRPr="00052024">
        <w:rPr>
          <w:iCs/>
          <w:lang w:val="fr-CA"/>
        </w:rPr>
        <w:t>d)</w:t>
      </w:r>
      <w:r w:rsidRPr="00052024">
        <w:rPr>
          <w:iCs/>
          <w:lang w:val="fr-CA"/>
        </w:rPr>
        <w:tab/>
      </w:r>
      <w:r w:rsidR="00911C3C" w:rsidRPr="00052024">
        <w:rPr>
          <w:iCs/>
          <w:lang w:val="fr-CA"/>
        </w:rPr>
        <w:t>Les contributions des mesures collectives des peuples autochtones et des communautés locales à la conservation de la diversité biologique et l’utilisation durable de ses éléments constitutifs</w:t>
      </w:r>
      <w:r w:rsidRPr="00052024">
        <w:rPr>
          <w:iCs/>
          <w:lang w:val="fr-CA"/>
        </w:rPr>
        <w:t>;</w:t>
      </w:r>
    </w:p>
    <w:p w14:paraId="331DA4FC" w14:textId="345ABCE1" w:rsidR="007A4CE1" w:rsidRPr="00052024" w:rsidRDefault="007A4CE1" w:rsidP="007A4CE1">
      <w:pPr>
        <w:spacing w:before="60" w:after="60"/>
        <w:ind w:firstLine="709"/>
        <w:rPr>
          <w:iCs/>
          <w:lang w:val="fr-CA"/>
        </w:rPr>
      </w:pPr>
      <w:r w:rsidRPr="00052024">
        <w:rPr>
          <w:iCs/>
          <w:lang w:val="fr-CA"/>
        </w:rPr>
        <w:t>e)</w:t>
      </w:r>
      <w:r w:rsidRPr="00052024">
        <w:rPr>
          <w:iCs/>
          <w:lang w:val="fr-CA"/>
        </w:rPr>
        <w:tab/>
      </w:r>
      <w:r w:rsidR="00911C3C" w:rsidRPr="00052024">
        <w:rPr>
          <w:iCs/>
          <w:lang w:val="fr-CA"/>
        </w:rPr>
        <w:t>Les conséquences des</w:t>
      </w:r>
      <w:r w:rsidR="00DA2166" w:rsidRPr="00052024">
        <w:rPr>
          <w:iCs/>
          <w:lang w:val="fr-CA"/>
        </w:rPr>
        <w:t xml:space="preserve"> différents scénarios sur l’utilisation durable coutumière de la diversité biologique par les peuples autochtones et les communautés locales</w:t>
      </w:r>
      <w:r w:rsidRPr="00052024">
        <w:rPr>
          <w:iCs/>
          <w:lang w:val="fr-CA"/>
        </w:rPr>
        <w:t>;</w:t>
      </w:r>
    </w:p>
    <w:p w14:paraId="134F2194" w14:textId="1213286E" w:rsidR="007A4CE1" w:rsidRPr="00052024" w:rsidRDefault="007A4CE1" w:rsidP="007A4CE1">
      <w:pPr>
        <w:spacing w:before="60" w:after="60"/>
        <w:ind w:firstLine="709"/>
        <w:rPr>
          <w:iCs/>
          <w:lang w:val="fr-CA"/>
        </w:rPr>
      </w:pPr>
      <w:r w:rsidRPr="00052024">
        <w:rPr>
          <w:iCs/>
          <w:lang w:val="fr-CA"/>
        </w:rPr>
        <w:t>g)</w:t>
      </w:r>
      <w:r w:rsidRPr="00052024">
        <w:rPr>
          <w:iCs/>
          <w:lang w:val="fr-CA"/>
        </w:rPr>
        <w:tab/>
      </w:r>
      <w:r w:rsidR="00DA2166" w:rsidRPr="00052024">
        <w:rPr>
          <w:iCs/>
          <w:lang w:val="fr-CA"/>
        </w:rPr>
        <w:t>Les conséquences positives et négatives possibles des secteurs productifs tels que l’agriculture, les forêts, la pêche et autres</w:t>
      </w:r>
      <w:r w:rsidRPr="00052024">
        <w:rPr>
          <w:iCs/>
          <w:lang w:val="fr-CA"/>
        </w:rPr>
        <w:t>;</w:t>
      </w:r>
    </w:p>
    <w:p w14:paraId="5DC7EFEC" w14:textId="0467395A" w:rsidR="007A4CE1" w:rsidRPr="00052024" w:rsidRDefault="007A4CE1" w:rsidP="007A4CE1">
      <w:pPr>
        <w:spacing w:before="60" w:after="60"/>
        <w:ind w:firstLine="709"/>
        <w:rPr>
          <w:iCs/>
          <w:lang w:val="fr-CA"/>
        </w:rPr>
      </w:pPr>
      <w:r w:rsidRPr="00052024">
        <w:rPr>
          <w:iCs/>
          <w:lang w:val="fr-CA"/>
        </w:rPr>
        <w:t>h)</w:t>
      </w:r>
      <w:r w:rsidRPr="00052024">
        <w:rPr>
          <w:iCs/>
          <w:lang w:val="fr-CA"/>
        </w:rPr>
        <w:tab/>
      </w:r>
      <w:r w:rsidR="00DA2166" w:rsidRPr="00052024">
        <w:rPr>
          <w:iCs/>
          <w:lang w:val="fr-CA"/>
        </w:rPr>
        <w:t>Les développements technologiques qui pourraient avoir des conséquences positives ou négatives sur la réalisation des trois objectifs de la Convention ainsi que sur le mode de vie et les connaissances traditionnelles des peuples autochtones et des communautés locales</w:t>
      </w:r>
      <w:r w:rsidRPr="00052024">
        <w:rPr>
          <w:iCs/>
          <w:lang w:val="fr-CA"/>
        </w:rPr>
        <w:t>.</w:t>
      </w:r>
    </w:p>
    <w:p w14:paraId="5A4C23AC" w14:textId="7A251340" w:rsidR="007A4CE1" w:rsidRPr="00052024" w:rsidRDefault="009B09B2" w:rsidP="003E3A6F">
      <w:pPr>
        <w:pStyle w:val="StylePara1HeadingsCSTimesNewRoman"/>
        <w:rPr>
          <w:rFonts w:ascii="Times New Roman" w:hAnsi="Times New Roman"/>
          <w:lang w:val="fr-CA"/>
        </w:rPr>
      </w:pPr>
      <w:r w:rsidRPr="00052024">
        <w:rPr>
          <w:rFonts w:ascii="Times New Roman" w:hAnsi="Times New Roman"/>
          <w:lang w:val="fr-CA"/>
        </w:rPr>
        <w:t>Dans sa recommandat</w:t>
      </w:r>
      <w:r w:rsidR="00C83ADC">
        <w:rPr>
          <w:rFonts w:ascii="Times New Roman" w:hAnsi="Times New Roman"/>
          <w:lang w:val="fr-CA"/>
        </w:rPr>
        <w:t>ion XXI/1, l’Organe subsidiaire</w:t>
      </w:r>
      <w:r w:rsidRPr="00052024">
        <w:rPr>
          <w:rFonts w:ascii="Times New Roman" w:hAnsi="Times New Roman"/>
          <w:lang w:val="fr-CA"/>
        </w:rPr>
        <w:t xml:space="preserve"> a également élaboré des conclusions co</w:t>
      </w:r>
      <w:r w:rsidR="00C83ADC">
        <w:rPr>
          <w:rFonts w:ascii="Times New Roman" w:hAnsi="Times New Roman"/>
          <w:lang w:val="fr-CA"/>
        </w:rPr>
        <w:t>ncernant les scénarios pour la V</w:t>
      </w:r>
      <w:r w:rsidRPr="00052024">
        <w:rPr>
          <w:rFonts w:ascii="Times New Roman" w:hAnsi="Times New Roman"/>
          <w:lang w:val="fr-CA"/>
        </w:rPr>
        <w:t xml:space="preserve">ision 2050 pour la diversité biologique, dans lesquelles il souligne notamment le type de mesures pouvant </w:t>
      </w:r>
      <w:r w:rsidR="00CF13DD" w:rsidRPr="00052024">
        <w:rPr>
          <w:rFonts w:ascii="Times New Roman" w:hAnsi="Times New Roman"/>
          <w:lang w:val="fr-CA"/>
        </w:rPr>
        <w:t>être</w:t>
      </w:r>
      <w:r w:rsidR="00C83ADC">
        <w:rPr>
          <w:rFonts w:ascii="Times New Roman" w:hAnsi="Times New Roman"/>
          <w:lang w:val="fr-CA"/>
        </w:rPr>
        <w:t xml:space="preserve"> nécessaires pour réaliser la V</w:t>
      </w:r>
      <w:r w:rsidRPr="00052024">
        <w:rPr>
          <w:rFonts w:ascii="Times New Roman" w:hAnsi="Times New Roman"/>
          <w:lang w:val="fr-CA"/>
        </w:rPr>
        <w:t xml:space="preserve">ision 2050, en reconnaissant que ces mesures pourraient être développées dans différents </w:t>
      </w:r>
      <w:r w:rsidR="00CF13DD" w:rsidRPr="00052024">
        <w:rPr>
          <w:rFonts w:ascii="Times New Roman" w:hAnsi="Times New Roman"/>
          <w:lang w:val="fr-CA"/>
        </w:rPr>
        <w:t xml:space="preserve">« </w:t>
      </w:r>
      <w:r w:rsidRPr="00052024">
        <w:rPr>
          <w:rFonts w:ascii="Times New Roman" w:hAnsi="Times New Roman"/>
          <w:lang w:val="fr-CA"/>
        </w:rPr>
        <w:t>dosages de politiques</w:t>
      </w:r>
      <w:r w:rsidR="00CF13DD" w:rsidRPr="00052024">
        <w:rPr>
          <w:rFonts w:ascii="Times New Roman" w:hAnsi="Times New Roman"/>
          <w:lang w:val="fr-CA"/>
        </w:rPr>
        <w:t xml:space="preserve"> », selon les besoins et les priorités des pays et des parties prenantes. L’importance du lien entre la diversité biologique et l’alimentation et l’agriculture, dont la pêche, ainsi que </w:t>
      </w:r>
      <w:r w:rsidR="005B37E7">
        <w:rPr>
          <w:rFonts w:ascii="Times New Roman" w:hAnsi="Times New Roman"/>
          <w:lang w:val="fr-CA"/>
        </w:rPr>
        <w:t>du</w:t>
      </w:r>
      <w:r w:rsidR="00CF13DD" w:rsidRPr="00052024">
        <w:rPr>
          <w:rFonts w:ascii="Times New Roman" w:hAnsi="Times New Roman"/>
          <w:lang w:val="fr-CA"/>
        </w:rPr>
        <w:t xml:space="preserve"> rôle de la planification spatiale, de la restauration des écosystèmes et des aires protégées, et </w:t>
      </w:r>
      <w:r w:rsidR="005B37E7">
        <w:rPr>
          <w:rFonts w:ascii="Times New Roman" w:hAnsi="Times New Roman"/>
          <w:lang w:val="fr-CA"/>
        </w:rPr>
        <w:t xml:space="preserve">de </w:t>
      </w:r>
      <w:r w:rsidR="00CF13DD" w:rsidRPr="00052024">
        <w:rPr>
          <w:rFonts w:ascii="Times New Roman" w:hAnsi="Times New Roman"/>
          <w:lang w:val="fr-CA"/>
        </w:rPr>
        <w:t xml:space="preserve">la nécessité de réduire les déchets et la consommation excessive ont été mis en évidence dans les diverses éditions des </w:t>
      </w:r>
      <w:r w:rsidR="00CF13DD" w:rsidRPr="00277831">
        <w:rPr>
          <w:rFonts w:ascii="Times New Roman" w:hAnsi="Times New Roman"/>
          <w:i/>
          <w:lang w:val="fr-CA"/>
        </w:rPr>
        <w:t>Perspectives mondiales de la diversité biologique</w:t>
      </w:r>
      <w:r w:rsidR="00277831">
        <w:rPr>
          <w:rFonts w:ascii="Times New Roman" w:hAnsi="Times New Roman"/>
          <w:lang w:val="fr-CA"/>
        </w:rPr>
        <w:t>.</w:t>
      </w:r>
      <w:r w:rsidR="00CF13DD" w:rsidRPr="00052024">
        <w:rPr>
          <w:rFonts w:ascii="Times New Roman" w:hAnsi="Times New Roman"/>
          <w:lang w:val="fr-CA"/>
        </w:rPr>
        <w:t xml:space="preserve"> </w:t>
      </w:r>
    </w:p>
    <w:p w14:paraId="36016FC0" w14:textId="70B7B812" w:rsidR="007A4CE1" w:rsidRPr="00052024" w:rsidRDefault="00CF13DD" w:rsidP="003E3A6F">
      <w:pPr>
        <w:pStyle w:val="StylePara1HeadingsCSTimesNewRoman"/>
        <w:rPr>
          <w:rFonts w:ascii="Times New Roman" w:hAnsi="Times New Roman"/>
          <w:lang w:val="fr-CA"/>
        </w:rPr>
      </w:pPr>
      <w:r w:rsidRPr="00052024">
        <w:rPr>
          <w:rFonts w:ascii="Times New Roman" w:hAnsi="Times New Roman"/>
          <w:lang w:val="fr-CA"/>
        </w:rPr>
        <w:t>L’Organe subsidiaire a reconnu dans ce</w:t>
      </w:r>
      <w:r w:rsidR="00702FDE">
        <w:rPr>
          <w:rFonts w:ascii="Times New Roman" w:hAnsi="Times New Roman"/>
          <w:lang w:val="fr-CA"/>
        </w:rPr>
        <w:t>tte même recommandation que la</w:t>
      </w:r>
      <w:r w:rsidRPr="00052024">
        <w:rPr>
          <w:rFonts w:ascii="Times New Roman" w:hAnsi="Times New Roman"/>
          <w:lang w:val="fr-CA"/>
        </w:rPr>
        <w:t xml:space="preserve"> voie vers un avenir durable exige un changement transformateur, </w:t>
      </w:r>
      <w:r w:rsidR="00277831">
        <w:rPr>
          <w:rFonts w:ascii="Times New Roman" w:hAnsi="Times New Roman"/>
          <w:lang w:val="fr-CA"/>
        </w:rPr>
        <w:t xml:space="preserve">et a </w:t>
      </w:r>
      <w:r w:rsidRPr="00052024">
        <w:rPr>
          <w:rFonts w:ascii="Times New Roman" w:hAnsi="Times New Roman"/>
          <w:lang w:val="fr-CA"/>
        </w:rPr>
        <w:t xml:space="preserve">réitéré le besoin d’une approche cohérente pour la diversité biologique et les changements climatiques, </w:t>
      </w:r>
      <w:r w:rsidR="00233578" w:rsidRPr="00052024">
        <w:rPr>
          <w:rFonts w:ascii="Times New Roman" w:hAnsi="Times New Roman"/>
          <w:lang w:val="fr-CA"/>
        </w:rPr>
        <w:t>e</w:t>
      </w:r>
      <w:r w:rsidRPr="00052024">
        <w:rPr>
          <w:rFonts w:ascii="Times New Roman" w:hAnsi="Times New Roman"/>
          <w:lang w:val="fr-CA"/>
        </w:rPr>
        <w:t xml:space="preserve">t que la vision 2050 </w:t>
      </w:r>
      <w:r w:rsidR="00E37440">
        <w:rPr>
          <w:rFonts w:ascii="Times New Roman" w:hAnsi="Times New Roman"/>
          <w:lang w:val="fr-CA"/>
        </w:rPr>
        <w:t>soit</w:t>
      </w:r>
      <w:r w:rsidRPr="00052024">
        <w:rPr>
          <w:rFonts w:ascii="Times New Roman" w:hAnsi="Times New Roman"/>
          <w:lang w:val="fr-CA"/>
        </w:rPr>
        <w:t xml:space="preserve"> </w:t>
      </w:r>
      <w:r w:rsidR="00233578" w:rsidRPr="00052024">
        <w:rPr>
          <w:rFonts w:ascii="Times New Roman" w:hAnsi="Times New Roman"/>
          <w:lang w:val="fr-CA"/>
        </w:rPr>
        <w:t>en harmonie avec le Programme de développement durable à l’horizon 2030 et autres objectifs internationaux. L’Organe subsidiaire a indiqué que les scénarios et la modélisation pourraient être utiles pour l’élaboration et la mise en œuvre du cadre de la diversité biologique pour l’après-2020 et que les analyses des scénarios adaptés aux circonstances régionales, nationales et locales offrent de l’information pouvant servir à la planification de la conservation et de l’utilisation durable de la diversité biologique</w:t>
      </w:r>
      <w:r w:rsidR="007A4CE1" w:rsidRPr="00052024">
        <w:rPr>
          <w:rFonts w:ascii="Times New Roman" w:hAnsi="Times New Roman"/>
          <w:lang w:val="fr-CA"/>
        </w:rPr>
        <w:t>.</w:t>
      </w:r>
    </w:p>
    <w:p w14:paraId="7028F2A9" w14:textId="531D75C3" w:rsidR="007A4CE1" w:rsidRPr="00052024" w:rsidRDefault="009C4A09" w:rsidP="003E3A6F">
      <w:pPr>
        <w:pStyle w:val="Titre2"/>
        <w:rPr>
          <w:lang w:val="fr-CA"/>
        </w:rPr>
      </w:pPr>
      <w:r w:rsidRPr="00052024">
        <w:rPr>
          <w:lang w:val="fr-CA"/>
        </w:rPr>
        <w:lastRenderedPageBreak/>
        <w:t>D.</w:t>
      </w:r>
      <w:r w:rsidRPr="00052024">
        <w:rPr>
          <w:lang w:val="fr-CA"/>
        </w:rPr>
        <w:tab/>
      </w:r>
      <w:r w:rsidR="00DF2836" w:rsidRPr="00052024">
        <w:rPr>
          <w:iCs w:val="0"/>
          <w:lang w:val="fr-CA"/>
        </w:rPr>
        <w:t xml:space="preserve">Autres besoins et priorités </w:t>
      </w:r>
      <w:r w:rsidR="00277831">
        <w:rPr>
          <w:iCs w:val="0"/>
          <w:lang w:val="fr-CA"/>
        </w:rPr>
        <w:t>recensés</w:t>
      </w:r>
      <w:r w:rsidR="00DF2836" w:rsidRPr="00052024">
        <w:rPr>
          <w:iCs w:val="0"/>
          <w:lang w:val="fr-CA"/>
        </w:rPr>
        <w:t xml:space="preserve"> par la Conférence des Parties et l’Organe subsidiaire </w:t>
      </w:r>
    </w:p>
    <w:p w14:paraId="6DF23C65" w14:textId="2C3B90FC" w:rsidR="007A4CE1" w:rsidRPr="00052024" w:rsidRDefault="00DB02AC" w:rsidP="003E3A6F">
      <w:pPr>
        <w:pStyle w:val="StylePara1HeadingsCSTimesNewRoman"/>
        <w:rPr>
          <w:rFonts w:ascii="Times New Roman" w:hAnsi="Times New Roman"/>
          <w:lang w:val="fr-CA"/>
        </w:rPr>
      </w:pPr>
      <w:r w:rsidRPr="00052024">
        <w:rPr>
          <w:rFonts w:ascii="Times New Roman" w:hAnsi="Times New Roman"/>
          <w:lang w:val="fr-CA"/>
        </w:rPr>
        <w:t>Dans sa recommandation</w:t>
      </w:r>
      <w:r w:rsidR="007A4CE1" w:rsidRPr="00052024">
        <w:rPr>
          <w:rFonts w:ascii="Times New Roman" w:hAnsi="Times New Roman"/>
          <w:lang w:val="fr-CA"/>
        </w:rPr>
        <w:t xml:space="preserve"> </w:t>
      </w:r>
      <w:hyperlink r:id="rId31" w:history="1">
        <w:r w:rsidR="007A4CE1" w:rsidRPr="00052024">
          <w:rPr>
            <w:rStyle w:val="Lienhypertexte"/>
            <w:rFonts w:ascii="Times New Roman" w:hAnsi="Times New Roman"/>
            <w:lang w:val="fr-CA"/>
          </w:rPr>
          <w:t>XXI/3</w:t>
        </w:r>
      </w:hyperlink>
      <w:r w:rsidR="007A4CE1" w:rsidRPr="00052024">
        <w:rPr>
          <w:rFonts w:ascii="Times New Roman" w:hAnsi="Times New Roman"/>
          <w:lang w:val="fr-CA"/>
        </w:rPr>
        <w:t xml:space="preserve">, </w:t>
      </w:r>
      <w:r w:rsidR="0047497B" w:rsidRPr="00052024">
        <w:rPr>
          <w:rFonts w:ascii="Times New Roman" w:hAnsi="Times New Roman"/>
          <w:lang w:val="fr-CA"/>
        </w:rPr>
        <w:t>l</w:t>
      </w:r>
      <w:r w:rsidRPr="00052024">
        <w:rPr>
          <w:rFonts w:ascii="Times New Roman" w:hAnsi="Times New Roman"/>
          <w:lang w:val="fr-CA"/>
        </w:rPr>
        <w:t>’Organe subsidiaire a indiqué que le thème de la diversité bi</w:t>
      </w:r>
      <w:r w:rsidR="0047497B" w:rsidRPr="00052024">
        <w:rPr>
          <w:rFonts w:ascii="Times New Roman" w:hAnsi="Times New Roman"/>
          <w:lang w:val="fr-CA"/>
        </w:rPr>
        <w:t>ologique et la santé pourrait être vu comme une suggestion possible pour le deuxième programme de travail de la Plateforme intergouvernementale scientifique et politique</w:t>
      </w:r>
      <w:r w:rsidR="007A4CE1" w:rsidRPr="00052024">
        <w:rPr>
          <w:rFonts w:ascii="Times New Roman" w:hAnsi="Times New Roman"/>
          <w:lang w:val="fr-CA"/>
        </w:rPr>
        <w:t>.</w:t>
      </w:r>
    </w:p>
    <w:p w14:paraId="0103EA67" w14:textId="35D79669" w:rsidR="00853F10" w:rsidRPr="00052024" w:rsidRDefault="009C4A09" w:rsidP="003E3A6F">
      <w:pPr>
        <w:pStyle w:val="Titre2"/>
        <w:rPr>
          <w:lang w:val="fr-CA"/>
        </w:rPr>
      </w:pPr>
      <w:r w:rsidRPr="00052024">
        <w:rPr>
          <w:lang w:val="fr-CA"/>
        </w:rPr>
        <w:t>E.</w:t>
      </w:r>
      <w:r w:rsidRPr="00052024">
        <w:rPr>
          <w:lang w:val="fr-CA"/>
        </w:rPr>
        <w:tab/>
      </w:r>
      <w:r w:rsidR="00DF2836" w:rsidRPr="00052024">
        <w:rPr>
          <w:iCs w:val="0"/>
          <w:lang w:val="fr-CA"/>
        </w:rPr>
        <w:t>Autres processus d’évaluation pertinents et complémentaires</w:t>
      </w:r>
    </w:p>
    <w:p w14:paraId="0E4420B3" w14:textId="72A8864D" w:rsidR="00853F10" w:rsidRPr="00052024" w:rsidRDefault="0047497B" w:rsidP="003E3A6F">
      <w:pPr>
        <w:pStyle w:val="StylePara1HeadingsCSTimesNewRoman"/>
        <w:rPr>
          <w:rFonts w:ascii="Times New Roman" w:hAnsi="Times New Roman"/>
          <w:lang w:val="fr-CA"/>
        </w:rPr>
      </w:pPr>
      <w:r w:rsidRPr="00052024">
        <w:rPr>
          <w:rFonts w:ascii="Times New Roman" w:hAnsi="Times New Roman"/>
          <w:lang w:val="fr-CA"/>
        </w:rPr>
        <w:t>D’autres évaluations dans des secteurs pertinents à la diversité biologique et les services écosystémiques sont en cours ou planifié</w:t>
      </w:r>
      <w:r w:rsidR="007A79B9">
        <w:rPr>
          <w:rFonts w:ascii="Times New Roman" w:hAnsi="Times New Roman"/>
          <w:lang w:val="fr-CA"/>
        </w:rPr>
        <w:t>e</w:t>
      </w:r>
      <w:r w:rsidRPr="00052024">
        <w:rPr>
          <w:rFonts w:ascii="Times New Roman" w:hAnsi="Times New Roman"/>
          <w:lang w:val="fr-CA"/>
        </w:rPr>
        <w:t>s et devraient être pris</w:t>
      </w:r>
      <w:r w:rsidR="007A79B9">
        <w:rPr>
          <w:rFonts w:ascii="Times New Roman" w:hAnsi="Times New Roman"/>
          <w:lang w:val="fr-CA"/>
        </w:rPr>
        <w:t>es</w:t>
      </w:r>
      <w:r w:rsidRPr="00052024">
        <w:rPr>
          <w:rFonts w:ascii="Times New Roman" w:hAnsi="Times New Roman"/>
          <w:lang w:val="fr-CA"/>
        </w:rPr>
        <w:t xml:space="preserve"> en compte afin d’éviter le double emploi, par exemple l’</w:t>
      </w:r>
      <w:r w:rsidR="005426D9" w:rsidRPr="00052024">
        <w:rPr>
          <w:rFonts w:ascii="Times New Roman" w:hAnsi="Times New Roman"/>
          <w:lang w:val="fr-CA"/>
        </w:rPr>
        <w:t>évaluation mondiale pr</w:t>
      </w:r>
      <w:r w:rsidRPr="00052024">
        <w:rPr>
          <w:rFonts w:ascii="Times New Roman" w:hAnsi="Times New Roman"/>
          <w:lang w:val="fr-CA"/>
        </w:rPr>
        <w:t>évue sur l’azote (</w:t>
      </w:r>
      <w:r w:rsidR="005426D9" w:rsidRPr="00052024">
        <w:rPr>
          <w:rFonts w:ascii="Times New Roman" w:hAnsi="Times New Roman"/>
          <w:lang w:val="fr-CA"/>
        </w:rPr>
        <w:t>par le</w:t>
      </w:r>
      <w:r w:rsidRPr="00052024">
        <w:rPr>
          <w:rFonts w:ascii="Times New Roman" w:hAnsi="Times New Roman"/>
          <w:lang w:val="fr-CA"/>
        </w:rPr>
        <w:t xml:space="preserve"> Programme international de gestion de l’azote), sur les sols (par la FAO et le Partenariat mondial sur les sols) et sur les ressources génétiques pour l’alimentation et l’</w:t>
      </w:r>
      <w:r w:rsidR="007A79B9">
        <w:rPr>
          <w:rFonts w:ascii="Times New Roman" w:hAnsi="Times New Roman"/>
          <w:lang w:val="fr-CA"/>
        </w:rPr>
        <w:t>agriculture (par la FAO) et sa C</w:t>
      </w:r>
      <w:r w:rsidRPr="00052024">
        <w:rPr>
          <w:rFonts w:ascii="Times New Roman" w:hAnsi="Times New Roman"/>
          <w:lang w:val="fr-CA"/>
        </w:rPr>
        <w:t>ommission sur les ressources génétiques pour l’alimentation et l’agriculture</w:t>
      </w:r>
      <w:r w:rsidR="00853F10" w:rsidRPr="00052024">
        <w:rPr>
          <w:rFonts w:ascii="Times New Roman" w:hAnsi="Times New Roman"/>
          <w:lang w:val="fr-CA"/>
        </w:rPr>
        <w:t>)</w:t>
      </w:r>
      <w:r w:rsidR="003255FE" w:rsidRPr="00052024">
        <w:rPr>
          <w:rFonts w:ascii="Times New Roman" w:hAnsi="Times New Roman"/>
          <w:lang w:val="fr-CA"/>
        </w:rPr>
        <w:t>.</w:t>
      </w:r>
    </w:p>
    <w:p w14:paraId="66A73E1B" w14:textId="70DA0C75" w:rsidR="00853F10" w:rsidRPr="00052024" w:rsidRDefault="00D73B56" w:rsidP="003E3A6F">
      <w:pPr>
        <w:pStyle w:val="Titre1"/>
        <w:rPr>
          <w:lang w:val="fr-CA"/>
        </w:rPr>
      </w:pPr>
      <w:r>
        <w:t>I</w:t>
      </w:r>
      <w:r w:rsidR="00853F10" w:rsidRPr="00052024">
        <w:t xml:space="preserve">V. </w:t>
      </w:r>
      <w:r w:rsidR="009C4A09" w:rsidRPr="00052024">
        <w:tab/>
      </w:r>
      <w:r w:rsidR="00E37440">
        <w:rPr>
          <w:lang w:val="fr-CA"/>
        </w:rPr>
        <w:t>CONCLUSIONS</w:t>
      </w:r>
    </w:p>
    <w:p w14:paraId="3906774D" w14:textId="781CCEAD" w:rsidR="00135C76" w:rsidRPr="00052024" w:rsidRDefault="00A52332" w:rsidP="003E3A6F">
      <w:pPr>
        <w:pStyle w:val="StylePara1HeadingsCSTimesNewRoman"/>
        <w:rPr>
          <w:rFonts w:ascii="Times New Roman" w:hAnsi="Times New Roman"/>
          <w:lang w:val="fr-CA"/>
        </w:rPr>
      </w:pPr>
      <w:r w:rsidRPr="00052024">
        <w:rPr>
          <w:rFonts w:ascii="Times New Roman" w:hAnsi="Times New Roman"/>
          <w:lang w:val="fr-CA"/>
        </w:rPr>
        <w:t>Après avoir pris connaissance des facteurs décrits ci-dessus, l’Organe subsidiaire pourrait examiner les points suivants dans le cadre de la méthode stratégique de l</w:t>
      </w:r>
      <w:r w:rsidR="004F0523" w:rsidRPr="00052024">
        <w:rPr>
          <w:rFonts w:ascii="Times New Roman" w:hAnsi="Times New Roman"/>
          <w:lang w:val="fr-CA"/>
        </w:rPr>
        <w:t xml:space="preserve">a </w:t>
      </w:r>
      <w:r w:rsidRPr="00052024">
        <w:rPr>
          <w:rFonts w:ascii="Times New Roman" w:hAnsi="Times New Roman"/>
          <w:lang w:val="fr-CA"/>
        </w:rPr>
        <w:t xml:space="preserve">Plateforme intergouvernementale scientifique et politique sur la biodiversité et les services écosystémiques </w:t>
      </w:r>
      <w:r w:rsidR="00E26EFB" w:rsidRPr="00052024">
        <w:rPr>
          <w:rFonts w:ascii="Times New Roman" w:hAnsi="Times New Roman"/>
          <w:lang w:val="fr-CA"/>
        </w:rPr>
        <w:t>:</w:t>
      </w:r>
    </w:p>
    <w:p w14:paraId="481B8CE7" w14:textId="5BB99E1A" w:rsidR="00A470A7" w:rsidRPr="00052024" w:rsidRDefault="00A52332" w:rsidP="00A52332">
      <w:pPr>
        <w:pStyle w:val="Para1"/>
        <w:numPr>
          <w:ilvl w:val="1"/>
          <w:numId w:val="2"/>
        </w:numPr>
        <w:rPr>
          <w:iCs/>
          <w:lang w:val="fr-CA"/>
        </w:rPr>
      </w:pPr>
      <w:r w:rsidRPr="00052024">
        <w:rPr>
          <w:iCs/>
          <w:lang w:val="fr-CA"/>
        </w:rPr>
        <w:t xml:space="preserve">Les principaux besoins scientifiques et techniques de la mise en œuvre du Plan stratégique 2011-2020 pour la diversité biologique, appuyé à la décision XII/1, demeurent valides et devraient donc </w:t>
      </w:r>
      <w:r w:rsidR="00F93252">
        <w:rPr>
          <w:iCs/>
          <w:lang w:val="fr-CA"/>
        </w:rPr>
        <w:t>continuer d’</w:t>
      </w:r>
      <w:r w:rsidR="00710C0E">
        <w:rPr>
          <w:iCs/>
          <w:lang w:val="fr-CA"/>
        </w:rPr>
        <w:t>être</w:t>
      </w:r>
      <w:r w:rsidR="004F0523" w:rsidRPr="00052024">
        <w:rPr>
          <w:iCs/>
          <w:lang w:val="fr-CA"/>
        </w:rPr>
        <w:t xml:space="preserve"> des facteurs dans le développement et la prestation des futures activités de la Plateforme dans ses quatre fonctions</w:t>
      </w:r>
      <w:r w:rsidR="00A470A7" w:rsidRPr="00052024">
        <w:rPr>
          <w:lang w:val="fr-CA"/>
        </w:rPr>
        <w:t>;</w:t>
      </w:r>
    </w:p>
    <w:p w14:paraId="63F96224" w14:textId="41C2AE9D" w:rsidR="00167D16" w:rsidRPr="00052024" w:rsidRDefault="004F0523" w:rsidP="00167D16">
      <w:pPr>
        <w:pStyle w:val="Para1"/>
        <w:numPr>
          <w:ilvl w:val="1"/>
          <w:numId w:val="2"/>
        </w:numPr>
        <w:rPr>
          <w:iCs/>
          <w:lang w:val="fr-CA"/>
        </w:rPr>
      </w:pPr>
      <w:r w:rsidRPr="00052024">
        <w:rPr>
          <w:lang w:val="fr-CA"/>
        </w:rPr>
        <w:t xml:space="preserve">L’envergure et le calendrier d’une future évaluation mondiale, y compris </w:t>
      </w:r>
      <w:r w:rsidR="007A79B9">
        <w:rPr>
          <w:lang w:val="fr-CA"/>
        </w:rPr>
        <w:t>la prise en considération</w:t>
      </w:r>
      <w:r w:rsidRPr="00052024">
        <w:rPr>
          <w:lang w:val="fr-CA"/>
        </w:rPr>
        <w:t xml:space="preserve"> d’une évaluation unique qui comprend un volet régional et un volet mondial, doivent </w:t>
      </w:r>
      <w:r w:rsidR="00534492" w:rsidRPr="00052024">
        <w:rPr>
          <w:lang w:val="fr-CA"/>
        </w:rPr>
        <w:t>être</w:t>
      </w:r>
      <w:r w:rsidRPr="00052024">
        <w:rPr>
          <w:lang w:val="fr-CA"/>
        </w:rPr>
        <w:t xml:space="preserve"> examinés avec soin afin de répondre aux besoins d’évaluations découlant du cadre mondial de la diversité biologique de l’après-2020</w:t>
      </w:r>
      <w:r w:rsidR="00534492" w:rsidRPr="00052024">
        <w:rPr>
          <w:lang w:val="fr-CA"/>
        </w:rPr>
        <w:t xml:space="preserve"> et du Programme de développement durable à l’horizon 2030 concernant la diversité biologique et </w:t>
      </w:r>
      <w:r w:rsidR="00026E50">
        <w:rPr>
          <w:lang w:val="fr-CA"/>
        </w:rPr>
        <w:t>les</w:t>
      </w:r>
      <w:r w:rsidR="00534492" w:rsidRPr="00052024">
        <w:rPr>
          <w:lang w:val="fr-CA"/>
        </w:rPr>
        <w:t xml:space="preserve"> services écosystémiques</w:t>
      </w:r>
      <w:r w:rsidR="007A79B9">
        <w:rPr>
          <w:lang w:val="fr-CA"/>
        </w:rPr>
        <w:t>. Le chevauchement avec d’autres activités, analyses et évaluations, y compris les futur</w:t>
      </w:r>
      <w:r w:rsidR="00132275">
        <w:rPr>
          <w:lang w:val="fr-CA"/>
        </w:rPr>
        <w:t>e</w:t>
      </w:r>
      <w:r w:rsidR="007A79B9">
        <w:rPr>
          <w:lang w:val="fr-CA"/>
        </w:rPr>
        <w:t xml:space="preserve">s éditions des </w:t>
      </w:r>
      <w:r w:rsidR="007A79B9" w:rsidRPr="00132275">
        <w:rPr>
          <w:i/>
          <w:lang w:val="fr-CA"/>
        </w:rPr>
        <w:t>Perspectives mondiales de la diversité biologique</w:t>
      </w:r>
      <w:r w:rsidR="007A79B9">
        <w:rPr>
          <w:lang w:val="fr-CA"/>
        </w:rPr>
        <w:t>, dev</w:t>
      </w:r>
      <w:r w:rsidR="00026E50">
        <w:rPr>
          <w:lang w:val="fr-CA"/>
        </w:rPr>
        <w:t>raient être minimisé</w:t>
      </w:r>
      <w:r w:rsidR="007A79B9">
        <w:rPr>
          <w:lang w:val="fr-CA"/>
        </w:rPr>
        <w:t xml:space="preserve"> et les synergies maximisées</w:t>
      </w:r>
      <w:r w:rsidR="00167D16" w:rsidRPr="00052024">
        <w:rPr>
          <w:szCs w:val="22"/>
          <w:lang w:val="fr-CA"/>
        </w:rPr>
        <w:t>;</w:t>
      </w:r>
    </w:p>
    <w:p w14:paraId="7136F251" w14:textId="2C226972" w:rsidR="00167D16" w:rsidRPr="00052024" w:rsidRDefault="00534492" w:rsidP="00167D16">
      <w:pPr>
        <w:pStyle w:val="Para1"/>
        <w:numPr>
          <w:ilvl w:val="1"/>
          <w:numId w:val="2"/>
        </w:numPr>
        <w:rPr>
          <w:iCs/>
          <w:lang w:val="fr-CA"/>
        </w:rPr>
      </w:pPr>
      <w:r w:rsidRPr="00052024">
        <w:rPr>
          <w:lang w:val="fr-CA"/>
        </w:rPr>
        <w:t xml:space="preserve">Il existe un besoin important d’améliorer la coopération </w:t>
      </w:r>
      <w:r w:rsidR="00132275">
        <w:rPr>
          <w:lang w:val="fr-CA"/>
        </w:rPr>
        <w:t>avec</w:t>
      </w:r>
      <w:r w:rsidRPr="00052024">
        <w:rPr>
          <w:lang w:val="fr-CA"/>
        </w:rPr>
        <w:t xml:space="preserve"> le Groupe d’experts intergouvernemental sur l’évolution du climat, afin de favoriser la cohérence entr</w:t>
      </w:r>
      <w:r w:rsidR="00994A39" w:rsidRPr="00052024">
        <w:rPr>
          <w:lang w:val="fr-CA"/>
        </w:rPr>
        <w:t>e</w:t>
      </w:r>
      <w:r w:rsidRPr="00052024">
        <w:rPr>
          <w:lang w:val="fr-CA"/>
        </w:rPr>
        <w:t xml:space="preserve"> les scénarios et les évaluations connexes préparés dans le contexte de la diversité biologique et des changements climatiques</w:t>
      </w:r>
      <w:r w:rsidR="00132275">
        <w:rPr>
          <w:lang w:val="fr-CA"/>
        </w:rPr>
        <w:t>,</w:t>
      </w:r>
      <w:r w:rsidRPr="00052024">
        <w:rPr>
          <w:lang w:val="fr-CA"/>
        </w:rPr>
        <w:t xml:space="preserve"> et de</w:t>
      </w:r>
      <w:r w:rsidR="00994A39" w:rsidRPr="00052024">
        <w:rPr>
          <w:lang w:val="fr-CA"/>
        </w:rPr>
        <w:t xml:space="preserve"> favoriser une collaboration supplémentaire accrue entre les communautés scientifiques reliées à ces organismes</w:t>
      </w:r>
      <w:r w:rsidR="009C4A09" w:rsidRPr="00052024">
        <w:rPr>
          <w:lang w:val="fr-CA"/>
        </w:rPr>
        <w:t>.</w:t>
      </w:r>
    </w:p>
    <w:p w14:paraId="63FAF533" w14:textId="70652946" w:rsidR="00910891" w:rsidRPr="00052024" w:rsidRDefault="007626FE" w:rsidP="00537873">
      <w:pPr>
        <w:pStyle w:val="Para1"/>
        <w:numPr>
          <w:ilvl w:val="1"/>
          <w:numId w:val="2"/>
        </w:numPr>
        <w:rPr>
          <w:iCs/>
          <w:lang w:val="fr-CA"/>
        </w:rPr>
      </w:pPr>
      <w:r w:rsidRPr="00052024">
        <w:rPr>
          <w:iCs/>
          <w:lang w:val="fr-CA"/>
        </w:rPr>
        <w:t xml:space="preserve">La Convention devrait soutenir tout effort de la Plateforme intergouvernementale scientifique et politique sur la biodiversité et les services écosystémiques </w:t>
      </w:r>
      <w:r w:rsidR="00132275">
        <w:rPr>
          <w:iCs/>
          <w:lang w:val="fr-CA"/>
        </w:rPr>
        <w:t xml:space="preserve">visant à </w:t>
      </w:r>
      <w:r w:rsidRPr="00052024">
        <w:rPr>
          <w:iCs/>
          <w:lang w:val="fr-CA"/>
        </w:rPr>
        <w:t>évaluer l’efficacité, les résultats et les conséquences de ses résultats concrets dans ses quatre fonctions, afin d’en tirer des enseignements pour les travaux subséquents</w:t>
      </w:r>
      <w:r w:rsidR="00910891" w:rsidRPr="00052024">
        <w:rPr>
          <w:lang w:val="fr-CA"/>
        </w:rPr>
        <w:t>;</w:t>
      </w:r>
    </w:p>
    <w:p w14:paraId="2D9D9566" w14:textId="14C63E05" w:rsidR="00E26EFB" w:rsidRPr="00052024" w:rsidRDefault="007626FE" w:rsidP="00537873">
      <w:pPr>
        <w:pStyle w:val="Para1"/>
        <w:numPr>
          <w:ilvl w:val="1"/>
          <w:numId w:val="2"/>
        </w:numPr>
        <w:rPr>
          <w:iCs/>
          <w:lang w:val="fr-CA"/>
        </w:rPr>
      </w:pPr>
      <w:r w:rsidRPr="00052024">
        <w:rPr>
          <w:lang w:val="fr-CA"/>
        </w:rPr>
        <w:t>Les travaux sur les scénarios et la modélisation afin d’évaluer les voies vers l’avenir et les changements transformateurs requis pour un avenir durable doivent se poursuivre</w:t>
      </w:r>
      <w:r w:rsidR="00E26EFB" w:rsidRPr="00052024">
        <w:rPr>
          <w:lang w:val="fr-CA"/>
        </w:rPr>
        <w:t>;</w:t>
      </w:r>
    </w:p>
    <w:p w14:paraId="117924CD" w14:textId="433113CD" w:rsidR="00E26EFB" w:rsidRPr="00052024" w:rsidRDefault="00A3227C" w:rsidP="00537873">
      <w:pPr>
        <w:pStyle w:val="Para1"/>
        <w:numPr>
          <w:ilvl w:val="1"/>
          <w:numId w:val="2"/>
        </w:numPr>
        <w:rPr>
          <w:lang w:val="fr-CA"/>
        </w:rPr>
      </w:pPr>
      <w:r w:rsidRPr="00052024">
        <w:rPr>
          <w:lang w:val="fr-CA"/>
        </w:rPr>
        <w:t>L’action collective des peuples autochtones et des communautés locales pour la conservation de la diversité biologique et l’utilisation durable de ses éléments constitutifs doit se poursuivre</w:t>
      </w:r>
      <w:r w:rsidR="00167D16" w:rsidRPr="00052024">
        <w:rPr>
          <w:lang w:val="fr-CA"/>
        </w:rPr>
        <w:t>;</w:t>
      </w:r>
    </w:p>
    <w:p w14:paraId="6F858F88" w14:textId="0431AB87" w:rsidR="00E26EFB" w:rsidRPr="00052024" w:rsidRDefault="00A3227C" w:rsidP="003E3A6F">
      <w:pPr>
        <w:pStyle w:val="StylePara1HeadingsCSTimesNewRoman"/>
        <w:rPr>
          <w:rFonts w:ascii="Times New Roman" w:hAnsi="Times New Roman"/>
          <w:lang w:val="fr-CA"/>
        </w:rPr>
      </w:pPr>
      <w:r w:rsidRPr="00052024">
        <w:rPr>
          <w:rFonts w:ascii="Times New Roman" w:hAnsi="Times New Roman"/>
          <w:lang w:val="fr-CA"/>
        </w:rPr>
        <w:t xml:space="preserve">L’Organe subsidiaire pourrait également envisager ce qui suit </w:t>
      </w:r>
      <w:r w:rsidR="00132275">
        <w:rPr>
          <w:rFonts w:ascii="Times New Roman" w:hAnsi="Times New Roman"/>
          <w:lang w:val="fr-CA"/>
        </w:rPr>
        <w:t>en tant</w:t>
      </w:r>
      <w:r w:rsidRPr="00052024">
        <w:rPr>
          <w:rFonts w:ascii="Times New Roman" w:hAnsi="Times New Roman"/>
          <w:lang w:val="fr-CA"/>
        </w:rPr>
        <w:t xml:space="preserve"> </w:t>
      </w:r>
      <w:r w:rsidR="00132275">
        <w:rPr>
          <w:rFonts w:ascii="Times New Roman" w:hAnsi="Times New Roman"/>
          <w:lang w:val="fr-CA"/>
        </w:rPr>
        <w:t>qu’</w:t>
      </w:r>
      <w:r w:rsidRPr="00052024">
        <w:rPr>
          <w:rFonts w:ascii="Times New Roman" w:hAnsi="Times New Roman"/>
          <w:lang w:val="fr-CA"/>
        </w:rPr>
        <w:t xml:space="preserve">éléments potentiels du programme de travail à horizon mobile de la Plateforme intergouvernementale scientifique et politique sur la biodiversité et les services écosystémiques </w:t>
      </w:r>
      <w:r w:rsidR="00E26EFB" w:rsidRPr="00052024">
        <w:rPr>
          <w:rFonts w:ascii="Times New Roman" w:hAnsi="Times New Roman"/>
          <w:lang w:val="fr-CA"/>
        </w:rPr>
        <w:t>:</w:t>
      </w:r>
    </w:p>
    <w:p w14:paraId="71E0440C" w14:textId="633F4948" w:rsidR="00A7424D" w:rsidRPr="00052024" w:rsidRDefault="00947578" w:rsidP="00A7424D">
      <w:pPr>
        <w:pStyle w:val="Para1"/>
        <w:numPr>
          <w:ilvl w:val="1"/>
          <w:numId w:val="2"/>
        </w:numPr>
        <w:rPr>
          <w:iCs/>
          <w:lang w:val="fr-CA"/>
        </w:rPr>
      </w:pPr>
      <w:r w:rsidRPr="00052024">
        <w:rPr>
          <w:iCs/>
          <w:lang w:val="fr-CA"/>
        </w:rPr>
        <w:t>Comprendre et évaluer les déterminants comportementaux, sociaux, économiques, institutionnels, techniques et technologiques des changements transformateurs et la</w:t>
      </w:r>
      <w:r w:rsidR="002E3F6F" w:rsidRPr="00052024">
        <w:rPr>
          <w:iCs/>
          <w:lang w:val="fr-CA"/>
        </w:rPr>
        <w:t xml:space="preserve"> </w:t>
      </w:r>
      <w:r w:rsidR="006335A3" w:rsidRPr="00052024">
        <w:rPr>
          <w:iCs/>
          <w:lang w:val="fr-CA"/>
        </w:rPr>
        <w:t xml:space="preserve">façon dont ils peuvent </w:t>
      </w:r>
      <w:r w:rsidR="00E37440">
        <w:rPr>
          <w:iCs/>
          <w:lang w:val="fr-CA"/>
        </w:rPr>
        <w:t>être déployés pour réaliser la V</w:t>
      </w:r>
      <w:r w:rsidR="006335A3" w:rsidRPr="00052024">
        <w:rPr>
          <w:iCs/>
          <w:lang w:val="fr-CA"/>
        </w:rPr>
        <w:t>ision 2050 pour la diversité biologique</w:t>
      </w:r>
      <w:r w:rsidR="00A7424D" w:rsidRPr="00052024">
        <w:rPr>
          <w:iCs/>
          <w:lang w:val="fr-CA"/>
        </w:rPr>
        <w:t>;</w:t>
      </w:r>
    </w:p>
    <w:p w14:paraId="439F7313" w14:textId="359CA9FE" w:rsidR="00635777" w:rsidRPr="00052024" w:rsidRDefault="006335A3" w:rsidP="00A7424D">
      <w:pPr>
        <w:pStyle w:val="Para1"/>
        <w:numPr>
          <w:ilvl w:val="1"/>
          <w:numId w:val="2"/>
        </w:numPr>
        <w:rPr>
          <w:iCs/>
          <w:lang w:val="fr-CA"/>
        </w:rPr>
      </w:pPr>
      <w:r w:rsidRPr="00052024">
        <w:rPr>
          <w:szCs w:val="22"/>
          <w:lang w:val="fr-CA"/>
        </w:rPr>
        <w:lastRenderedPageBreak/>
        <w:t xml:space="preserve">Évaluer le lien entre la diversité biologique, l’alimentation et l’eau, l’agriculture et la santé et </w:t>
      </w:r>
      <w:r w:rsidR="00426464">
        <w:rPr>
          <w:szCs w:val="22"/>
          <w:lang w:val="fr-CA"/>
        </w:rPr>
        <w:t xml:space="preserve">la </w:t>
      </w:r>
      <w:r w:rsidRPr="00052024">
        <w:rPr>
          <w:szCs w:val="22"/>
          <w:lang w:val="fr-CA"/>
        </w:rPr>
        <w:t xml:space="preserve">nutrition, en tenant compte des </w:t>
      </w:r>
      <w:r w:rsidR="00426464">
        <w:rPr>
          <w:szCs w:val="22"/>
          <w:lang w:val="fr-CA"/>
        </w:rPr>
        <w:t>compromis dans ces secteurs et d</w:t>
      </w:r>
      <w:r w:rsidRPr="00052024">
        <w:rPr>
          <w:szCs w:val="22"/>
          <w:lang w:val="fr-CA"/>
        </w:rPr>
        <w:t>es choix de politiques connexes, y c</w:t>
      </w:r>
      <w:r w:rsidR="00426464">
        <w:rPr>
          <w:szCs w:val="22"/>
          <w:lang w:val="fr-CA"/>
        </w:rPr>
        <w:t>ompris les conséquences pour l’</w:t>
      </w:r>
      <w:r w:rsidRPr="00052024">
        <w:rPr>
          <w:szCs w:val="22"/>
          <w:lang w:val="fr-CA"/>
        </w:rPr>
        <w:t>énergie et le climat, en tenant compte du r</w:t>
      </w:r>
      <w:r w:rsidR="00191E33" w:rsidRPr="00052024">
        <w:rPr>
          <w:szCs w:val="22"/>
          <w:lang w:val="fr-CA"/>
        </w:rPr>
        <w:t>ôle de la diversité biolog</w:t>
      </w:r>
      <w:r w:rsidRPr="00052024">
        <w:rPr>
          <w:szCs w:val="22"/>
          <w:lang w:val="fr-CA"/>
        </w:rPr>
        <w:t>ique et des services écosystémiques</w:t>
      </w:r>
      <w:r w:rsidR="00191E33" w:rsidRPr="00052024">
        <w:rPr>
          <w:szCs w:val="22"/>
          <w:lang w:val="fr-CA"/>
        </w:rPr>
        <w:t xml:space="preserve"> pour atteindre les objectifs de développement durable, en vue de favoriser les décisions que soutiennent les politiques cohérentes et les changements transformateurs si nécessaire pour réaliser la vision 2050 pour la diversité biologique</w:t>
      </w:r>
      <w:r w:rsidR="00635777" w:rsidRPr="00052024">
        <w:rPr>
          <w:lang w:val="fr-CA"/>
        </w:rPr>
        <w:t>;</w:t>
      </w:r>
    </w:p>
    <w:p w14:paraId="570E7D56" w14:textId="5A0FF81A" w:rsidR="00167D16" w:rsidRPr="00052024" w:rsidRDefault="00191E33" w:rsidP="00167D16">
      <w:pPr>
        <w:pStyle w:val="Para1"/>
        <w:numPr>
          <w:ilvl w:val="1"/>
          <w:numId w:val="2"/>
        </w:numPr>
        <w:rPr>
          <w:iCs/>
          <w:lang w:val="fr-CA"/>
        </w:rPr>
      </w:pPr>
      <w:r w:rsidRPr="00052024">
        <w:rPr>
          <w:lang w:val="fr-CA"/>
        </w:rPr>
        <w:t>Entreprendre des évaluations méthodologiques de l’efficacité des diverses politiques et des outils de soutien aux politiques et à la planification, et caractériser et quantifier les méthodes réussies et les cas de conservation et d’utilisation durable de la diversité biologique, et leurs conséquences</w:t>
      </w:r>
      <w:r w:rsidR="003255FE" w:rsidRPr="00052024">
        <w:rPr>
          <w:szCs w:val="22"/>
          <w:lang w:val="fr-CA"/>
        </w:rPr>
        <w:t>;</w:t>
      </w:r>
    </w:p>
    <w:p w14:paraId="61EB397C" w14:textId="4C2805D7" w:rsidR="00635777" w:rsidRPr="00052024" w:rsidRDefault="00191E33" w:rsidP="00E8732D">
      <w:pPr>
        <w:pStyle w:val="Para1"/>
        <w:numPr>
          <w:ilvl w:val="1"/>
          <w:numId w:val="2"/>
        </w:numPr>
        <w:rPr>
          <w:iCs/>
          <w:lang w:val="fr-CA"/>
        </w:rPr>
      </w:pPr>
      <w:r w:rsidRPr="00052024">
        <w:rPr>
          <w:lang w:val="fr-CA"/>
        </w:rPr>
        <w:t>E</w:t>
      </w:r>
      <w:r w:rsidR="00CA40DE" w:rsidRPr="00052024">
        <w:rPr>
          <w:lang w:val="fr-CA"/>
        </w:rPr>
        <w:t>ntreprendre une évaluati</w:t>
      </w:r>
      <w:r w:rsidRPr="00052024">
        <w:rPr>
          <w:lang w:val="fr-CA"/>
        </w:rPr>
        <w:t xml:space="preserve">on méthodologique des critères, paramètres et indicateurs convenant à l’opérationnalisation </w:t>
      </w:r>
      <w:r w:rsidR="00426464">
        <w:rPr>
          <w:lang w:val="fr-CA"/>
        </w:rPr>
        <w:t>par le secteur privé</w:t>
      </w:r>
      <w:r w:rsidR="00CA40DE" w:rsidRPr="00052024">
        <w:rPr>
          <w:lang w:val="fr-CA"/>
        </w:rPr>
        <w:t>,</w:t>
      </w:r>
      <w:r w:rsidRPr="00052024">
        <w:rPr>
          <w:lang w:val="fr-CA"/>
        </w:rPr>
        <w:t xml:space="preserve"> sur les </w:t>
      </w:r>
      <w:r w:rsidR="00CA40DE" w:rsidRPr="00052024">
        <w:rPr>
          <w:lang w:val="fr-CA"/>
        </w:rPr>
        <w:t>impact</w:t>
      </w:r>
      <w:r w:rsidR="00426464">
        <w:rPr>
          <w:lang w:val="fr-CA"/>
        </w:rPr>
        <w:t>s</w:t>
      </w:r>
      <w:r w:rsidR="00CA40DE" w:rsidRPr="00052024">
        <w:rPr>
          <w:lang w:val="fr-CA"/>
        </w:rPr>
        <w:t xml:space="preserve"> des entreprises sur la diversité biologique </w:t>
      </w:r>
      <w:r w:rsidR="003618E0" w:rsidRPr="00052024">
        <w:rPr>
          <w:lang w:val="fr-CA"/>
        </w:rPr>
        <w:t>et les avantages pour la diversité biologique et l</w:t>
      </w:r>
      <w:r w:rsidR="00CA40DE" w:rsidRPr="00052024">
        <w:rPr>
          <w:lang w:val="fr-CA"/>
        </w:rPr>
        <w:t>es services écosystémiques, afin que les entreprises puissent réduire ces impacts</w:t>
      </w:r>
      <w:r w:rsidR="003618E0" w:rsidRPr="00052024">
        <w:rPr>
          <w:lang w:val="fr-CA"/>
        </w:rPr>
        <w:t xml:space="preserve"> et favoriser la conséquences des évaluations et des rapports</w:t>
      </w:r>
      <w:r w:rsidR="00635777" w:rsidRPr="00052024">
        <w:rPr>
          <w:szCs w:val="22"/>
          <w:lang w:val="fr-CA"/>
        </w:rPr>
        <w:t>;</w:t>
      </w:r>
    </w:p>
    <w:p w14:paraId="180943CF" w14:textId="656BA6FF" w:rsidR="00A470A7" w:rsidRPr="00052024" w:rsidRDefault="00E37440" w:rsidP="00612F12">
      <w:pPr>
        <w:pStyle w:val="StylePara1HeadingsCSTimesNewRoman"/>
        <w:rPr>
          <w:rFonts w:ascii="Times New Roman" w:hAnsi="Times New Roman"/>
          <w:lang w:val="fr-CA"/>
        </w:rPr>
      </w:pPr>
      <w:r>
        <w:rPr>
          <w:rFonts w:ascii="Times New Roman" w:hAnsi="Times New Roman"/>
          <w:lang w:val="fr-CA"/>
        </w:rPr>
        <w:t>L’Organe subsidiaire</w:t>
      </w:r>
      <w:r w:rsidR="003618E0" w:rsidRPr="00052024">
        <w:rPr>
          <w:rFonts w:ascii="Times New Roman" w:hAnsi="Times New Roman"/>
          <w:lang w:val="fr-CA"/>
        </w:rPr>
        <w:t xml:space="preserve">  pourrait examiner et compléter ces éléments sur la liste des questions </w:t>
      </w:r>
      <w:r w:rsidR="00551F77">
        <w:rPr>
          <w:rFonts w:ascii="Times New Roman" w:hAnsi="Times New Roman"/>
          <w:lang w:val="fr-CA"/>
        </w:rPr>
        <w:t>que</w:t>
      </w:r>
      <w:r w:rsidR="00612F12" w:rsidRPr="00052024">
        <w:rPr>
          <w:rFonts w:ascii="Times New Roman" w:hAnsi="Times New Roman"/>
          <w:lang w:val="fr-CA"/>
        </w:rPr>
        <w:t xml:space="preserve"> la Conférence des Parties </w:t>
      </w:r>
      <w:r w:rsidR="00551F77">
        <w:rPr>
          <w:rFonts w:ascii="Times New Roman" w:hAnsi="Times New Roman"/>
          <w:lang w:val="fr-CA"/>
        </w:rPr>
        <w:t>pourrait recommander</w:t>
      </w:r>
      <w:r w:rsidR="00612F12" w:rsidRPr="00052024">
        <w:rPr>
          <w:rFonts w:ascii="Times New Roman" w:hAnsi="Times New Roman"/>
          <w:lang w:val="fr-CA"/>
        </w:rPr>
        <w:t xml:space="preserve"> à la Plateforme intergouvernementale scientifique et politique sur la biodiversité et les services écosystémiques, et en dresser la liste dans une annexe à la recommandation ci-dessous</w:t>
      </w:r>
      <w:r w:rsidR="007B2980" w:rsidRPr="00052024">
        <w:rPr>
          <w:rFonts w:ascii="Times New Roman" w:hAnsi="Times New Roman"/>
          <w:lang w:val="fr-CA"/>
        </w:rPr>
        <w:t xml:space="preserve">. </w:t>
      </w:r>
    </w:p>
    <w:p w14:paraId="367B160B" w14:textId="723044BE" w:rsidR="007A4CE1" w:rsidRPr="00052024" w:rsidRDefault="00473C9C" w:rsidP="003E3A6F">
      <w:pPr>
        <w:pStyle w:val="Titre1"/>
        <w:rPr>
          <w:lang w:val="fr-CA"/>
        </w:rPr>
      </w:pPr>
      <w:r w:rsidRPr="00052024">
        <w:rPr>
          <w:lang w:val="fr-CA"/>
        </w:rPr>
        <w:t xml:space="preserve">V. </w:t>
      </w:r>
      <w:r w:rsidR="0075393C" w:rsidRPr="00052024">
        <w:rPr>
          <w:lang w:val="fr-CA"/>
        </w:rPr>
        <w:tab/>
      </w:r>
      <w:r w:rsidR="003618E0" w:rsidRPr="00052024">
        <w:rPr>
          <w:lang w:val="fr-CA"/>
        </w:rPr>
        <w:t>RECOMMANDATION PROPOSÉE</w:t>
      </w:r>
    </w:p>
    <w:p w14:paraId="2B098687" w14:textId="18CC9FDA" w:rsidR="007A4CE1" w:rsidRPr="00052024" w:rsidRDefault="003618E0" w:rsidP="00E37440">
      <w:pPr>
        <w:pStyle w:val="Para1"/>
        <w:tabs>
          <w:tab w:val="clear" w:pos="360"/>
        </w:tabs>
        <w:rPr>
          <w:lang w:val="fr-CA"/>
        </w:rPr>
      </w:pPr>
      <w:r w:rsidRPr="00052024">
        <w:rPr>
          <w:lang w:val="fr-CA"/>
        </w:rPr>
        <w:t xml:space="preserve">L’Organe subsidiaire chargé de fournir des avis scientifiques, techniques et technologiques  pourrait souhaiter adopter une recommandation qui ressemble à ce qui suit </w:t>
      </w:r>
      <w:r w:rsidR="007A4CE1" w:rsidRPr="00052024">
        <w:rPr>
          <w:lang w:val="fr-CA"/>
        </w:rPr>
        <w:t xml:space="preserve">: </w:t>
      </w:r>
    </w:p>
    <w:p w14:paraId="277ABD6A" w14:textId="329157A8" w:rsidR="007A4CE1" w:rsidRPr="00052024" w:rsidRDefault="00612F12" w:rsidP="007A4CE1">
      <w:pPr>
        <w:pStyle w:val="Para1"/>
        <w:numPr>
          <w:ilvl w:val="0"/>
          <w:numId w:val="0"/>
        </w:numPr>
        <w:suppressLineNumbers/>
        <w:suppressAutoHyphens/>
        <w:ind w:left="270" w:firstLine="450"/>
        <w:rPr>
          <w:lang w:val="fr-CA"/>
        </w:rPr>
      </w:pPr>
      <w:r w:rsidRPr="00052024">
        <w:rPr>
          <w:i/>
          <w:iCs/>
          <w:lang w:val="fr-CA"/>
        </w:rPr>
        <w:t>L’Organe subsidiaire chargé de fournir des avis scientifiques, techniques et technologiques :</w:t>
      </w:r>
    </w:p>
    <w:p w14:paraId="2AC15337" w14:textId="3A94A2E7" w:rsidR="00057AC8" w:rsidRPr="00052024" w:rsidRDefault="0075393C" w:rsidP="003E3A6F">
      <w:pPr>
        <w:pStyle w:val="StylePara1HeadingsCSTimesNewRoman"/>
        <w:numPr>
          <w:ilvl w:val="0"/>
          <w:numId w:val="0"/>
        </w:numPr>
        <w:ind w:firstLine="709"/>
        <w:rPr>
          <w:rFonts w:ascii="Times New Roman" w:hAnsi="Times New Roman"/>
          <w:lang w:val="fr-CA"/>
        </w:rPr>
      </w:pPr>
      <w:r w:rsidRPr="00052024">
        <w:rPr>
          <w:rFonts w:ascii="Times New Roman" w:hAnsi="Times New Roman"/>
          <w:iCs/>
          <w:lang w:val="fr-CA"/>
        </w:rPr>
        <w:t>1.</w:t>
      </w:r>
      <w:r w:rsidRPr="00052024">
        <w:rPr>
          <w:rFonts w:ascii="Times New Roman" w:hAnsi="Times New Roman"/>
          <w:i/>
          <w:iCs/>
          <w:lang w:val="fr-CA"/>
        </w:rPr>
        <w:tab/>
      </w:r>
      <w:r w:rsidR="00612F12" w:rsidRPr="00052024">
        <w:rPr>
          <w:rFonts w:ascii="Times New Roman" w:hAnsi="Times New Roman"/>
          <w:i/>
          <w:iCs/>
          <w:lang w:val="fr-CA"/>
        </w:rPr>
        <w:t xml:space="preserve">Exhorte </w:t>
      </w:r>
      <w:r w:rsidR="00612F12" w:rsidRPr="00052024">
        <w:rPr>
          <w:rFonts w:ascii="Times New Roman" w:hAnsi="Times New Roman"/>
          <w:iCs/>
          <w:lang w:val="fr-CA"/>
        </w:rPr>
        <w:t xml:space="preserve">les Parties et </w:t>
      </w:r>
      <w:r w:rsidR="00612F12" w:rsidRPr="00052024">
        <w:rPr>
          <w:rFonts w:ascii="Times New Roman" w:hAnsi="Times New Roman"/>
          <w:i/>
          <w:iCs/>
          <w:lang w:val="fr-CA"/>
        </w:rPr>
        <w:t>invite</w:t>
      </w:r>
      <w:r w:rsidR="00612F12" w:rsidRPr="00052024">
        <w:rPr>
          <w:rFonts w:ascii="Times New Roman" w:hAnsi="Times New Roman"/>
          <w:iCs/>
          <w:lang w:val="fr-CA"/>
        </w:rPr>
        <w:t xml:space="preserve"> les observateurs, selon qu’il convient, à répondre à l’appel </w:t>
      </w:r>
      <w:r w:rsidR="006448CA" w:rsidRPr="00052024">
        <w:rPr>
          <w:rFonts w:ascii="Times New Roman" w:hAnsi="Times New Roman"/>
          <w:iCs/>
          <w:lang w:val="fr-CA"/>
        </w:rPr>
        <w:t xml:space="preserve">de requêtes, contributions et suggestions </w:t>
      </w:r>
      <w:r w:rsidR="00612F12" w:rsidRPr="00052024">
        <w:rPr>
          <w:rFonts w:ascii="Times New Roman" w:hAnsi="Times New Roman"/>
          <w:iCs/>
          <w:lang w:val="fr-CA"/>
        </w:rPr>
        <w:t>de la Plateforme intergouvernementale scientifique et politique sur la biodiversité et les services écosystémiques</w:t>
      </w:r>
      <w:r w:rsidR="006448CA" w:rsidRPr="00052024">
        <w:rPr>
          <w:rFonts w:ascii="Times New Roman" w:hAnsi="Times New Roman"/>
          <w:iCs/>
          <w:lang w:val="fr-CA"/>
        </w:rPr>
        <w:t>, conformément au paragraphe d) de la décision IPBES-6/2</w:t>
      </w:r>
      <w:r w:rsidR="00057AC8" w:rsidRPr="00052024">
        <w:rPr>
          <w:rFonts w:ascii="Times New Roman" w:hAnsi="Times New Roman"/>
          <w:lang w:val="fr-CA"/>
        </w:rPr>
        <w:t xml:space="preserve">; </w:t>
      </w:r>
    </w:p>
    <w:p w14:paraId="55A2384D" w14:textId="4B83FA29" w:rsidR="00AF635A" w:rsidRPr="00052024" w:rsidRDefault="0075393C" w:rsidP="003E3A6F">
      <w:pPr>
        <w:pStyle w:val="StylePara1HeadingsCSTimesNewRoman"/>
        <w:numPr>
          <w:ilvl w:val="0"/>
          <w:numId w:val="0"/>
        </w:numPr>
        <w:ind w:firstLine="709"/>
        <w:rPr>
          <w:rFonts w:ascii="Times New Roman" w:hAnsi="Times New Roman"/>
          <w:lang w:val="fr-CA"/>
        </w:rPr>
      </w:pPr>
      <w:r w:rsidRPr="00052024">
        <w:rPr>
          <w:rFonts w:ascii="Times New Roman" w:hAnsi="Times New Roman"/>
          <w:iCs/>
          <w:lang w:val="fr-CA"/>
        </w:rPr>
        <w:t>2</w:t>
      </w:r>
      <w:r w:rsidRPr="00052024">
        <w:rPr>
          <w:rFonts w:ascii="Times New Roman" w:hAnsi="Times New Roman"/>
          <w:i/>
          <w:iCs/>
          <w:lang w:val="fr-CA"/>
        </w:rPr>
        <w:t>.</w:t>
      </w:r>
      <w:r w:rsidRPr="00052024">
        <w:rPr>
          <w:rFonts w:ascii="Times New Roman" w:hAnsi="Times New Roman"/>
          <w:i/>
          <w:iCs/>
          <w:lang w:val="fr-CA"/>
        </w:rPr>
        <w:tab/>
      </w:r>
      <w:r w:rsidR="006448CA" w:rsidRPr="00052024">
        <w:rPr>
          <w:rFonts w:ascii="Times New Roman" w:hAnsi="Times New Roman"/>
          <w:i/>
          <w:iCs/>
          <w:lang w:val="fr-CA"/>
        </w:rPr>
        <w:t xml:space="preserve">Prie </w:t>
      </w:r>
      <w:r w:rsidR="006448CA" w:rsidRPr="00052024">
        <w:rPr>
          <w:rFonts w:ascii="Times New Roman" w:hAnsi="Times New Roman"/>
          <w:iCs/>
          <w:lang w:val="fr-CA"/>
        </w:rPr>
        <w:t>la Secrétaire exécutive</w:t>
      </w:r>
      <w:r w:rsidR="006448CA" w:rsidRPr="00052024">
        <w:rPr>
          <w:rFonts w:ascii="Times New Roman" w:hAnsi="Times New Roman"/>
          <w:i/>
          <w:iCs/>
          <w:lang w:val="fr-CA"/>
        </w:rPr>
        <w:t xml:space="preserve"> </w:t>
      </w:r>
      <w:r w:rsidR="006448CA" w:rsidRPr="00052024">
        <w:rPr>
          <w:rFonts w:ascii="Times New Roman" w:hAnsi="Times New Roman"/>
          <w:iCs/>
          <w:lang w:val="fr-CA"/>
        </w:rPr>
        <w:t>d’acheminer la liste des éléments jointe en annexe à la présente recommandation en tant qu’information scientifique et technique découlant de l’examen de ce point par l’Organe subsidiaire au Secrétariat de la Plateforme intergouvernementale scientifique et politique sur la biodiversité et les services écosystémiques en tant que source d’information pour le Groupe d’experts multidisciplinaire et le Bureau</w:t>
      </w:r>
      <w:r w:rsidR="00AF635A" w:rsidRPr="00052024">
        <w:rPr>
          <w:rFonts w:ascii="Times New Roman" w:hAnsi="Times New Roman"/>
          <w:iCs/>
          <w:lang w:val="fr-CA"/>
        </w:rPr>
        <w:t>;</w:t>
      </w:r>
    </w:p>
    <w:p w14:paraId="4B56BB36" w14:textId="4DC361BB" w:rsidR="00473C9C" w:rsidRPr="00052024" w:rsidRDefault="0075393C" w:rsidP="003E3A6F">
      <w:pPr>
        <w:pStyle w:val="Para1"/>
        <w:numPr>
          <w:ilvl w:val="0"/>
          <w:numId w:val="0"/>
        </w:numPr>
        <w:suppressLineNumbers/>
        <w:suppressAutoHyphens/>
        <w:ind w:firstLine="709"/>
        <w:rPr>
          <w:lang w:val="fr-CA"/>
        </w:rPr>
      </w:pPr>
      <w:r w:rsidRPr="00052024">
        <w:rPr>
          <w:iCs/>
          <w:lang w:val="fr-CA"/>
        </w:rPr>
        <w:t>3.</w:t>
      </w:r>
      <w:r w:rsidRPr="00052024">
        <w:rPr>
          <w:i/>
          <w:iCs/>
          <w:lang w:val="fr-CA"/>
        </w:rPr>
        <w:tab/>
      </w:r>
      <w:r w:rsidR="006448CA" w:rsidRPr="00052024">
        <w:rPr>
          <w:i/>
          <w:iCs/>
          <w:lang w:val="fr-CA"/>
        </w:rPr>
        <w:t xml:space="preserve">Recommande </w:t>
      </w:r>
      <w:r w:rsidR="006448CA" w:rsidRPr="00052024">
        <w:rPr>
          <w:iCs/>
          <w:lang w:val="fr-CA"/>
        </w:rPr>
        <w:t>que la Conférence des Parties adopte</w:t>
      </w:r>
      <w:r w:rsidR="00E37440">
        <w:rPr>
          <w:iCs/>
          <w:lang w:val="fr-CA"/>
        </w:rPr>
        <w:t xml:space="preserve">, à sa quatorzième réunion, </w:t>
      </w:r>
      <w:r w:rsidR="006448CA" w:rsidRPr="00052024">
        <w:rPr>
          <w:iCs/>
          <w:lang w:val="fr-CA"/>
        </w:rPr>
        <w:t xml:space="preserve"> une décision qui ressemble à ce qui suit </w:t>
      </w:r>
      <w:r w:rsidR="007A4CE1" w:rsidRPr="00052024">
        <w:rPr>
          <w:lang w:val="fr-CA"/>
        </w:rPr>
        <w:t xml:space="preserve">: </w:t>
      </w:r>
    </w:p>
    <w:p w14:paraId="5958ED45" w14:textId="137CAD9F" w:rsidR="00473C9C" w:rsidRPr="00052024" w:rsidRDefault="006448CA" w:rsidP="0075393C">
      <w:pPr>
        <w:pStyle w:val="Para1"/>
        <w:numPr>
          <w:ilvl w:val="0"/>
          <w:numId w:val="0"/>
        </w:numPr>
        <w:suppressLineNumbers/>
        <w:suppressAutoHyphens/>
        <w:ind w:left="709" w:firstLine="709"/>
        <w:rPr>
          <w:i/>
          <w:iCs/>
          <w:lang w:val="fr-CA"/>
        </w:rPr>
      </w:pPr>
      <w:r w:rsidRPr="00052024">
        <w:rPr>
          <w:i/>
          <w:iCs/>
          <w:lang w:val="fr-CA"/>
        </w:rPr>
        <w:t xml:space="preserve">La Conférence des Parties </w:t>
      </w:r>
    </w:p>
    <w:p w14:paraId="43934410" w14:textId="269DFDBB" w:rsidR="000D0CCE" w:rsidRPr="00052024" w:rsidRDefault="0075393C" w:rsidP="003E3A6F">
      <w:pPr>
        <w:pStyle w:val="StylePara1HeadingsCSTimesNewRoman"/>
        <w:numPr>
          <w:ilvl w:val="0"/>
          <w:numId w:val="0"/>
        </w:numPr>
        <w:ind w:left="709" w:firstLine="709"/>
        <w:rPr>
          <w:rFonts w:ascii="Times New Roman" w:hAnsi="Times New Roman"/>
          <w:lang w:val="fr-CA"/>
        </w:rPr>
      </w:pPr>
      <w:r w:rsidRPr="00052024">
        <w:rPr>
          <w:rFonts w:ascii="Times New Roman" w:hAnsi="Times New Roman"/>
          <w:iCs/>
          <w:lang w:val="fr-CA"/>
        </w:rPr>
        <w:t>1.</w:t>
      </w:r>
      <w:r w:rsidRPr="00052024">
        <w:rPr>
          <w:rFonts w:ascii="Times New Roman" w:hAnsi="Times New Roman"/>
          <w:i/>
          <w:iCs/>
          <w:lang w:val="fr-CA"/>
        </w:rPr>
        <w:tab/>
      </w:r>
      <w:r w:rsidR="006448CA" w:rsidRPr="00052024">
        <w:rPr>
          <w:rFonts w:ascii="Times New Roman" w:hAnsi="Times New Roman"/>
          <w:i/>
          <w:iCs/>
          <w:lang w:val="fr-CA"/>
        </w:rPr>
        <w:t xml:space="preserve">Accueille avec satisfaction </w:t>
      </w:r>
      <w:r w:rsidR="006448CA" w:rsidRPr="00052024">
        <w:rPr>
          <w:rFonts w:ascii="Times New Roman" w:hAnsi="Times New Roman"/>
          <w:iCs/>
          <w:lang w:val="fr-CA"/>
        </w:rPr>
        <w:t>les progrès accomplis dans la mise en œuvre du premier programme de travail de la Plateforme intergouvernementale scientifique et politique sur la biodiversité et les services écosystémiques</w:t>
      </w:r>
      <w:r w:rsidR="007B2980" w:rsidRPr="00052024">
        <w:rPr>
          <w:rFonts w:ascii="Times New Roman" w:hAnsi="Times New Roman"/>
          <w:lang w:val="fr-CA"/>
        </w:rPr>
        <w:t xml:space="preserve">; </w:t>
      </w:r>
    </w:p>
    <w:p w14:paraId="03A6E50B" w14:textId="06DF1B6F" w:rsidR="00C72C31" w:rsidRPr="00052024" w:rsidRDefault="0075393C" w:rsidP="003E3A6F">
      <w:pPr>
        <w:pStyle w:val="StylePara1HeadingsCSTimesNewRoman"/>
        <w:numPr>
          <w:ilvl w:val="0"/>
          <w:numId w:val="0"/>
        </w:numPr>
        <w:ind w:left="709" w:firstLine="709"/>
        <w:rPr>
          <w:rFonts w:ascii="Times New Roman" w:hAnsi="Times New Roman"/>
          <w:lang w:val="fr-CA"/>
        </w:rPr>
      </w:pPr>
      <w:r w:rsidRPr="00052024">
        <w:rPr>
          <w:rFonts w:ascii="Times New Roman" w:hAnsi="Times New Roman"/>
          <w:iCs/>
          <w:lang w:val="fr-CA"/>
        </w:rPr>
        <w:t>2.</w:t>
      </w:r>
      <w:r w:rsidRPr="00052024">
        <w:rPr>
          <w:rFonts w:ascii="Times New Roman" w:hAnsi="Times New Roman"/>
          <w:i/>
          <w:iCs/>
          <w:lang w:val="fr-CA"/>
        </w:rPr>
        <w:tab/>
      </w:r>
      <w:r w:rsidR="006448CA" w:rsidRPr="00052024">
        <w:rPr>
          <w:rFonts w:ascii="Times New Roman" w:hAnsi="Times New Roman"/>
          <w:i/>
          <w:iCs/>
          <w:lang w:val="fr-CA"/>
        </w:rPr>
        <w:t xml:space="preserve">Se réjouit </w:t>
      </w:r>
      <w:r w:rsidR="006448CA" w:rsidRPr="00052024">
        <w:rPr>
          <w:rFonts w:ascii="Times New Roman" w:hAnsi="Times New Roman"/>
          <w:iCs/>
          <w:lang w:val="fr-CA"/>
        </w:rPr>
        <w:t>de l’approbation par l</w:t>
      </w:r>
      <w:r w:rsidR="00870659">
        <w:rPr>
          <w:rFonts w:ascii="Times New Roman" w:hAnsi="Times New Roman"/>
          <w:iCs/>
          <w:lang w:val="fr-CA"/>
        </w:rPr>
        <w:t>a</w:t>
      </w:r>
      <w:r w:rsidR="006448CA" w:rsidRPr="00052024">
        <w:rPr>
          <w:rFonts w:ascii="Times New Roman" w:hAnsi="Times New Roman"/>
          <w:iCs/>
          <w:lang w:val="fr-CA"/>
        </w:rPr>
        <w:t xml:space="preserve"> Plénière de la Plateforme intergouvernementale scientifique et politique sur la biodiversité et les services écosystémiques </w:t>
      </w:r>
      <w:r w:rsidR="009604E0" w:rsidRPr="00052024">
        <w:rPr>
          <w:rFonts w:ascii="Times New Roman" w:hAnsi="Times New Roman"/>
          <w:iCs/>
          <w:lang w:val="fr-CA"/>
        </w:rPr>
        <w:t>d’entreprendre l’évaluation thématique de l’utilisation</w:t>
      </w:r>
      <w:r w:rsidR="00870659">
        <w:rPr>
          <w:rFonts w:ascii="Times New Roman" w:hAnsi="Times New Roman"/>
          <w:iCs/>
          <w:lang w:val="fr-CA"/>
        </w:rPr>
        <w:t xml:space="preserve"> durable des espèces sauvages,</w:t>
      </w:r>
      <w:r w:rsidR="009604E0" w:rsidRPr="00052024">
        <w:rPr>
          <w:rFonts w:ascii="Times New Roman" w:hAnsi="Times New Roman"/>
          <w:iCs/>
          <w:lang w:val="fr-CA"/>
        </w:rPr>
        <w:t xml:space="preserve"> l’évaluation thématique des espèces exotiques envahissantes et l’évaluation méthodologique de la conceptualisation diversifiée des nombreuses valeurs de la nature et de ses bienfaits</w:t>
      </w:r>
      <w:r w:rsidR="00C72C31" w:rsidRPr="00052024">
        <w:rPr>
          <w:rFonts w:ascii="Times New Roman" w:hAnsi="Times New Roman"/>
          <w:lang w:val="fr-CA"/>
        </w:rPr>
        <w:t>;</w:t>
      </w:r>
    </w:p>
    <w:p w14:paraId="34AD988F" w14:textId="25805CC9" w:rsidR="00473C9C" w:rsidRPr="00052024" w:rsidRDefault="0075393C" w:rsidP="003E3A6F">
      <w:pPr>
        <w:pStyle w:val="StylePara1HeadingsCSTimesNewRoman"/>
        <w:numPr>
          <w:ilvl w:val="0"/>
          <w:numId w:val="0"/>
        </w:numPr>
        <w:ind w:left="709" w:firstLine="709"/>
        <w:rPr>
          <w:rFonts w:ascii="Times New Roman" w:hAnsi="Times New Roman"/>
          <w:lang w:val="fr-CA"/>
        </w:rPr>
      </w:pPr>
      <w:r w:rsidRPr="00052024">
        <w:rPr>
          <w:rFonts w:ascii="Times New Roman" w:hAnsi="Times New Roman"/>
          <w:iCs/>
          <w:lang w:val="fr-CA"/>
        </w:rPr>
        <w:t>3</w:t>
      </w:r>
      <w:r w:rsidRPr="00052024">
        <w:rPr>
          <w:rFonts w:ascii="Times New Roman" w:hAnsi="Times New Roman"/>
          <w:i/>
          <w:iCs/>
          <w:lang w:val="fr-CA"/>
        </w:rPr>
        <w:t>.</w:t>
      </w:r>
      <w:r w:rsidRPr="00052024">
        <w:rPr>
          <w:rFonts w:ascii="Times New Roman" w:hAnsi="Times New Roman"/>
          <w:i/>
          <w:iCs/>
          <w:lang w:val="fr-CA"/>
        </w:rPr>
        <w:tab/>
      </w:r>
      <w:r w:rsidR="009604E0" w:rsidRPr="00052024">
        <w:rPr>
          <w:rFonts w:ascii="Times New Roman" w:hAnsi="Times New Roman"/>
          <w:i/>
          <w:iCs/>
          <w:lang w:val="fr-CA"/>
        </w:rPr>
        <w:t xml:space="preserve">Prend note </w:t>
      </w:r>
      <w:r w:rsidR="009604E0" w:rsidRPr="00052024">
        <w:rPr>
          <w:rFonts w:ascii="Times New Roman" w:hAnsi="Times New Roman"/>
          <w:iCs/>
          <w:lang w:val="fr-CA"/>
        </w:rPr>
        <w:t>que le cadre stratégique à l’horizon 2030 et les éléments du programme de travail à horizon mobile de la Plateforme intergouvernementale scientifique et politique sur la biodiversité et les services écosystémiques seront pertinents au cadre mondial de la diversité biologique de l’après-2020 et pourr</w:t>
      </w:r>
      <w:r w:rsidR="00870659">
        <w:rPr>
          <w:rFonts w:ascii="Times New Roman" w:hAnsi="Times New Roman"/>
          <w:iCs/>
          <w:lang w:val="fr-CA"/>
        </w:rPr>
        <w:t>a</w:t>
      </w:r>
      <w:r w:rsidR="009604E0" w:rsidRPr="00052024">
        <w:rPr>
          <w:rFonts w:ascii="Times New Roman" w:hAnsi="Times New Roman"/>
          <w:iCs/>
          <w:lang w:val="fr-CA"/>
        </w:rPr>
        <w:t>i</w:t>
      </w:r>
      <w:r w:rsidR="007C0648">
        <w:rPr>
          <w:rFonts w:ascii="Times New Roman" w:hAnsi="Times New Roman"/>
          <w:iCs/>
          <w:lang w:val="fr-CA"/>
        </w:rPr>
        <w:t>en</w:t>
      </w:r>
      <w:r w:rsidR="009604E0" w:rsidRPr="00052024">
        <w:rPr>
          <w:rFonts w:ascii="Times New Roman" w:hAnsi="Times New Roman"/>
          <w:iCs/>
          <w:lang w:val="fr-CA"/>
        </w:rPr>
        <w:t xml:space="preserve">t contribuer à soutenir sa mise en œuvre et l’évaluation des progrès, et </w:t>
      </w:r>
      <w:r w:rsidR="009604E0" w:rsidRPr="00052024">
        <w:rPr>
          <w:rFonts w:ascii="Times New Roman" w:hAnsi="Times New Roman"/>
          <w:i/>
          <w:iCs/>
          <w:lang w:val="fr-CA"/>
        </w:rPr>
        <w:t>prend note également</w:t>
      </w:r>
      <w:r w:rsidR="009604E0" w:rsidRPr="00052024">
        <w:rPr>
          <w:rFonts w:ascii="Times New Roman" w:hAnsi="Times New Roman"/>
          <w:iCs/>
          <w:lang w:val="fr-CA"/>
        </w:rPr>
        <w:t xml:space="preserve"> que la </w:t>
      </w:r>
      <w:r w:rsidR="0011306E" w:rsidRPr="00052024">
        <w:rPr>
          <w:rFonts w:ascii="Times New Roman" w:hAnsi="Times New Roman"/>
          <w:lang w:val="fr-CA"/>
        </w:rPr>
        <w:t xml:space="preserve">mobilité de l’horizon du programme de travail pourrait </w:t>
      </w:r>
      <w:r w:rsidR="0011306E" w:rsidRPr="00052024">
        <w:rPr>
          <w:rFonts w:ascii="Times New Roman" w:hAnsi="Times New Roman"/>
          <w:lang w:val="fr-CA"/>
        </w:rPr>
        <w:lastRenderedPageBreak/>
        <w:t>favoriser d’autres requêtes de la Convention à la lumière des besoins découlant de la version finale du cadre mondial de la diversité biologique de l’après-2020</w:t>
      </w:r>
      <w:r w:rsidR="007B2980" w:rsidRPr="00052024">
        <w:rPr>
          <w:rFonts w:ascii="Times New Roman" w:hAnsi="Times New Roman"/>
          <w:lang w:val="fr-CA"/>
        </w:rPr>
        <w:t>;</w:t>
      </w:r>
    </w:p>
    <w:p w14:paraId="02C27D52" w14:textId="2FCA9196" w:rsidR="00473C9C" w:rsidRPr="00052024" w:rsidRDefault="0075393C" w:rsidP="003E3A6F">
      <w:pPr>
        <w:pStyle w:val="StylePara1HeadingsCSTimesNewRoman"/>
        <w:numPr>
          <w:ilvl w:val="0"/>
          <w:numId w:val="0"/>
        </w:numPr>
        <w:ind w:left="709" w:firstLine="709"/>
        <w:rPr>
          <w:rFonts w:ascii="Times New Roman" w:hAnsi="Times New Roman"/>
          <w:lang w:val="fr-CA"/>
        </w:rPr>
      </w:pPr>
      <w:r w:rsidRPr="00052024">
        <w:rPr>
          <w:rFonts w:ascii="Times New Roman" w:hAnsi="Times New Roman"/>
          <w:iCs/>
          <w:lang w:val="fr-CA"/>
        </w:rPr>
        <w:t>4</w:t>
      </w:r>
      <w:r w:rsidRPr="00052024">
        <w:rPr>
          <w:rFonts w:ascii="Times New Roman" w:hAnsi="Times New Roman"/>
          <w:i/>
          <w:iCs/>
          <w:lang w:val="fr-CA"/>
        </w:rPr>
        <w:t>.</w:t>
      </w:r>
      <w:r w:rsidRPr="00052024">
        <w:rPr>
          <w:rFonts w:ascii="Times New Roman" w:hAnsi="Times New Roman"/>
          <w:i/>
          <w:iCs/>
          <w:lang w:val="fr-CA"/>
        </w:rPr>
        <w:tab/>
      </w:r>
      <w:r w:rsidR="0011306E" w:rsidRPr="00052024">
        <w:rPr>
          <w:rFonts w:ascii="Times New Roman" w:hAnsi="Times New Roman"/>
          <w:i/>
          <w:iCs/>
          <w:lang w:val="fr-CA"/>
        </w:rPr>
        <w:t xml:space="preserve">Encourage </w:t>
      </w:r>
      <w:r w:rsidR="0011306E" w:rsidRPr="00052024">
        <w:rPr>
          <w:rFonts w:ascii="Times New Roman" w:hAnsi="Times New Roman"/>
          <w:iCs/>
          <w:lang w:val="fr-CA"/>
        </w:rPr>
        <w:t xml:space="preserve">la Plateforme intergouvernementale scientifique et politique sur la biodiversité et les services écosystémiques </w:t>
      </w:r>
      <w:r w:rsidR="007C0648">
        <w:rPr>
          <w:rFonts w:ascii="Times New Roman" w:hAnsi="Times New Roman"/>
          <w:iCs/>
          <w:lang w:val="fr-CA"/>
        </w:rPr>
        <w:t>à</w:t>
      </w:r>
      <w:r w:rsidR="0011306E" w:rsidRPr="00052024">
        <w:rPr>
          <w:rFonts w:ascii="Times New Roman" w:hAnsi="Times New Roman"/>
          <w:iCs/>
          <w:lang w:val="fr-CA"/>
        </w:rPr>
        <w:t xml:space="preserve"> collaborer davantage avec le Groupe d’experts intergouvernementaux sur l’évolution du climat au développement et à la mise en œuvre de son programme de travail, en vue de favoriser la cohérence des scénarios et des évaluations connexes préparés dans le contexte de la diversité biologique et des changements climatiques et d’encourager une collaboration accrue entre les communautés scientifiques ayant un lien avec ces organismes</w:t>
      </w:r>
      <w:r w:rsidR="007B2980" w:rsidRPr="00052024">
        <w:rPr>
          <w:rFonts w:ascii="Times New Roman" w:hAnsi="Times New Roman"/>
          <w:lang w:val="fr-CA"/>
        </w:rPr>
        <w:t>;</w:t>
      </w:r>
    </w:p>
    <w:p w14:paraId="7A4E5E52" w14:textId="5DAFB6BB" w:rsidR="006D3730" w:rsidRPr="00052024" w:rsidRDefault="0075393C" w:rsidP="003E3A6F">
      <w:pPr>
        <w:pStyle w:val="StylePara1HeadingsCSTimesNewRoman"/>
        <w:numPr>
          <w:ilvl w:val="0"/>
          <w:numId w:val="0"/>
        </w:numPr>
        <w:ind w:left="709" w:firstLine="709"/>
        <w:rPr>
          <w:rFonts w:ascii="Times New Roman" w:hAnsi="Times New Roman"/>
          <w:lang w:val="fr-CA"/>
        </w:rPr>
      </w:pPr>
      <w:r w:rsidRPr="00052024">
        <w:rPr>
          <w:rFonts w:ascii="Times New Roman" w:hAnsi="Times New Roman"/>
          <w:iCs/>
          <w:lang w:val="fr-CA"/>
        </w:rPr>
        <w:t>5.</w:t>
      </w:r>
      <w:r w:rsidRPr="00052024">
        <w:rPr>
          <w:rFonts w:ascii="Times New Roman" w:hAnsi="Times New Roman"/>
          <w:i/>
          <w:iCs/>
          <w:lang w:val="fr-CA"/>
        </w:rPr>
        <w:tab/>
      </w:r>
      <w:r w:rsidR="0011306E" w:rsidRPr="00052024">
        <w:rPr>
          <w:rFonts w:ascii="Times New Roman" w:hAnsi="Times New Roman"/>
          <w:i/>
          <w:iCs/>
          <w:lang w:val="fr-CA"/>
        </w:rPr>
        <w:t xml:space="preserve">Invite </w:t>
      </w:r>
      <w:r w:rsidR="0011306E" w:rsidRPr="00052024">
        <w:rPr>
          <w:rFonts w:ascii="Times New Roman" w:hAnsi="Times New Roman"/>
          <w:iCs/>
          <w:lang w:val="fr-CA"/>
        </w:rPr>
        <w:t>la Plateforme intergouvernementale scientifique et politique sur la biodiversité et les services écosystémiques à examiner et à prioriser les</w:t>
      </w:r>
      <w:r w:rsidR="003A54BD">
        <w:rPr>
          <w:rFonts w:ascii="Times New Roman" w:hAnsi="Times New Roman"/>
          <w:iCs/>
          <w:lang w:val="fr-CA"/>
        </w:rPr>
        <w:t xml:space="preserve"> éléments et les requêtes joint</w:t>
      </w:r>
      <w:r w:rsidR="0011306E" w:rsidRPr="00052024">
        <w:rPr>
          <w:rFonts w:ascii="Times New Roman" w:hAnsi="Times New Roman"/>
          <w:iCs/>
          <w:lang w:val="fr-CA"/>
        </w:rPr>
        <w:t>s en annexe à la présente décision comme éléments du cadre stratégique et du programme de travail à l’horizon 2030</w:t>
      </w:r>
      <w:r w:rsidR="004E5A64" w:rsidRPr="00052024">
        <w:rPr>
          <w:rFonts w:ascii="Times New Roman" w:hAnsi="Times New Roman"/>
          <w:iCs/>
          <w:lang w:val="fr-CA"/>
        </w:rPr>
        <w:t>.</w:t>
      </w:r>
    </w:p>
    <w:p w14:paraId="2B855E16" w14:textId="07469102" w:rsidR="004E5A64" w:rsidRPr="00052024" w:rsidRDefault="00403D59" w:rsidP="00537873">
      <w:pPr>
        <w:pStyle w:val="Para1"/>
        <w:numPr>
          <w:ilvl w:val="0"/>
          <w:numId w:val="0"/>
        </w:numPr>
        <w:suppressLineNumbers/>
        <w:suppressAutoHyphens/>
        <w:jc w:val="center"/>
        <w:rPr>
          <w:i/>
          <w:iCs/>
          <w:lang w:val="fr-CA"/>
        </w:rPr>
      </w:pPr>
      <w:r w:rsidRPr="00052024">
        <w:rPr>
          <w:i/>
          <w:iCs/>
          <w:lang w:val="fr-CA"/>
        </w:rPr>
        <w:t>Annex</w:t>
      </w:r>
      <w:r w:rsidR="0011306E" w:rsidRPr="00052024">
        <w:rPr>
          <w:i/>
          <w:iCs/>
          <w:lang w:val="fr-CA"/>
        </w:rPr>
        <w:t>e</w:t>
      </w:r>
      <w:r w:rsidRPr="00052024">
        <w:rPr>
          <w:i/>
          <w:iCs/>
          <w:lang w:val="fr-CA"/>
        </w:rPr>
        <w:t xml:space="preserve"> </w:t>
      </w:r>
    </w:p>
    <w:p w14:paraId="36774AEF" w14:textId="665DFDE9" w:rsidR="00F02C0B" w:rsidRPr="00052024" w:rsidRDefault="000F72FF" w:rsidP="00537873">
      <w:pPr>
        <w:pStyle w:val="Para1"/>
        <w:numPr>
          <w:ilvl w:val="0"/>
          <w:numId w:val="0"/>
        </w:numPr>
        <w:suppressLineNumbers/>
        <w:suppressAutoHyphens/>
        <w:jc w:val="center"/>
        <w:rPr>
          <w:b/>
          <w:iCs/>
          <w:lang w:val="fr-CA"/>
        </w:rPr>
      </w:pPr>
      <w:r w:rsidRPr="00052024">
        <w:rPr>
          <w:b/>
          <w:iCs/>
          <w:lang w:val="fr-CA"/>
        </w:rPr>
        <w:t>ÉLÉMENTS ET REQUÊTES POUR EXAMEN PAR LA PLATEFORME INTERGOUVERNEMENTALE SCIENTIFIQUE ET POLITIQUE SUR LA BIODIVERSITÉ ET LES SERVICES ÉCOSYSTÉMIQUES DANS LE CONTEXTE DE SON CADRE STRATÉGIQUE ET PROGRAMME DE TRAVAIL À L’HORIZON 2030</w:t>
      </w:r>
    </w:p>
    <w:p w14:paraId="19827D9B" w14:textId="0CC90627" w:rsidR="006D3730" w:rsidRPr="00052024" w:rsidRDefault="00403D59" w:rsidP="00E8732D">
      <w:pPr>
        <w:pStyle w:val="Para1"/>
        <w:numPr>
          <w:ilvl w:val="0"/>
          <w:numId w:val="0"/>
        </w:numPr>
        <w:suppressLineNumbers/>
        <w:suppressAutoHyphens/>
        <w:ind w:left="1440"/>
        <w:rPr>
          <w:lang w:val="fr-CA"/>
        </w:rPr>
      </w:pPr>
      <w:r w:rsidRPr="00052024">
        <w:rPr>
          <w:i/>
          <w:iCs/>
          <w:lang w:val="fr-CA"/>
        </w:rPr>
        <w:t>[</w:t>
      </w:r>
      <w:r w:rsidR="000F72FF" w:rsidRPr="00052024">
        <w:rPr>
          <w:i/>
          <w:iCs/>
          <w:lang w:val="fr-CA"/>
        </w:rPr>
        <w:t xml:space="preserve">À achever à la réunion sur la base des parties IV et V </w:t>
      </w:r>
      <w:r w:rsidR="00001402">
        <w:rPr>
          <w:i/>
          <w:iCs/>
          <w:lang w:val="fr-CA"/>
        </w:rPr>
        <w:t>du présent document</w:t>
      </w:r>
      <w:r w:rsidRPr="00052024">
        <w:rPr>
          <w:i/>
          <w:iCs/>
          <w:lang w:val="fr-CA"/>
        </w:rPr>
        <w:t>]</w:t>
      </w:r>
    </w:p>
    <w:p w14:paraId="3E19616D" w14:textId="670EA96C" w:rsidR="007A4CE1" w:rsidRPr="00052024" w:rsidRDefault="007A4CE1" w:rsidP="00001402">
      <w:pPr>
        <w:pStyle w:val="Para1"/>
        <w:numPr>
          <w:ilvl w:val="0"/>
          <w:numId w:val="0"/>
        </w:numPr>
        <w:suppressLineNumbers/>
        <w:suppressAutoHyphens/>
        <w:ind w:left="1260"/>
        <w:jc w:val="center"/>
        <w:rPr>
          <w:lang w:val="fr-CA"/>
        </w:rPr>
      </w:pPr>
      <w:r w:rsidRPr="00052024">
        <w:rPr>
          <w:i/>
          <w:kern w:val="22"/>
          <w:szCs w:val="22"/>
          <w:lang w:val="fr-CA"/>
        </w:rPr>
        <w:br w:type="page"/>
      </w:r>
      <w:r w:rsidRPr="00052024">
        <w:rPr>
          <w:i/>
          <w:kern w:val="22"/>
          <w:szCs w:val="22"/>
          <w:lang w:val="fr-CA"/>
        </w:rPr>
        <w:lastRenderedPageBreak/>
        <w:t>Annex</w:t>
      </w:r>
      <w:r w:rsidRPr="00052024">
        <w:rPr>
          <w:i/>
          <w:noProof/>
          <w:snapToGrid/>
          <w:lang w:val="fr-CA" w:eastAsia="fr-CA"/>
        </w:rPr>
        <mc:AlternateContent>
          <mc:Choice Requires="wps">
            <w:drawing>
              <wp:anchor distT="0" distB="0" distL="114300" distR="114300" simplePos="0" relativeHeight="251659264" behindDoc="0" locked="0" layoutInCell="1" allowOverlap="1" wp14:anchorId="60710D7F" wp14:editId="6C1FBC8B">
                <wp:simplePos x="0" y="0"/>
                <wp:positionH relativeFrom="column">
                  <wp:posOffset>8203565</wp:posOffset>
                </wp:positionH>
                <wp:positionV relativeFrom="paragraph">
                  <wp:posOffset>6122035</wp:posOffset>
                </wp:positionV>
                <wp:extent cx="503555" cy="635"/>
                <wp:effectExtent l="12065" t="10160" r="825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E66C4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95pt,482.05pt" to="685.6pt,4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" strokeweight=".25pt"/>
            </w:pict>
          </mc:Fallback>
        </mc:AlternateContent>
      </w:r>
      <w:r w:rsidR="000F72FF" w:rsidRPr="00052024">
        <w:rPr>
          <w:i/>
          <w:kern w:val="22"/>
          <w:szCs w:val="22"/>
          <w:lang w:val="fr-CA"/>
        </w:rPr>
        <w:t>e</w:t>
      </w:r>
      <w:r w:rsidR="00EF3973" w:rsidRPr="00052024">
        <w:rPr>
          <w:i/>
          <w:kern w:val="22"/>
          <w:szCs w:val="22"/>
          <w:lang w:val="fr-CA"/>
        </w:rPr>
        <w:t xml:space="preserve"> 1</w:t>
      </w:r>
    </w:p>
    <w:p w14:paraId="3F6A17ED" w14:textId="77777777" w:rsidR="00351F67" w:rsidRPr="00351F67" w:rsidRDefault="007A4CE1" w:rsidP="00351F67">
      <w:pPr>
        <w:pStyle w:val="HCh"/>
        <w:ind w:left="1267" w:right="1260" w:hanging="1267"/>
        <w:rPr>
          <w:lang w:val="fr-CA"/>
        </w:rPr>
      </w:pPr>
      <w:r w:rsidRPr="00351F67">
        <w:rPr>
          <w:lang w:val="fr-CA" w:eastAsia="ko-KR"/>
        </w:rPr>
        <w:tab/>
      </w:r>
      <w:r w:rsidRPr="00351F67">
        <w:rPr>
          <w:lang w:val="fr-CA" w:eastAsia="ko-KR"/>
        </w:rPr>
        <w:tab/>
      </w:r>
      <w:r w:rsidR="00351F67" w:rsidRPr="00351F67">
        <w:rPr>
          <w:lang w:val="fr-CA"/>
        </w:rPr>
        <w:t>Décision IPBES/1/3</w:t>
      </w:r>
      <w:r w:rsidR="00351F67" w:rsidRPr="00351F67">
        <w:rPr>
          <w:lang w:val="fr-CA"/>
        </w:rPr>
        <w:br/>
        <w:t xml:space="preserve">Procédure de réception et de hiérarchisation </w:t>
      </w:r>
      <w:r w:rsidR="00351F67" w:rsidRPr="00351F67">
        <w:rPr>
          <w:lang w:val="fr-CA"/>
        </w:rPr>
        <w:br/>
        <w:t>des demandes présentées à la Plateforme</w:t>
      </w:r>
    </w:p>
    <w:p w14:paraId="6424B62A" w14:textId="77777777" w:rsidR="00351F67" w:rsidRPr="00351F67" w:rsidRDefault="00351F67" w:rsidP="00351F67">
      <w:pPr>
        <w:pStyle w:val="SingleTxt"/>
        <w:spacing w:after="0" w:line="120" w:lineRule="exact"/>
        <w:rPr>
          <w:i/>
          <w:sz w:val="10"/>
          <w:lang w:val="fr-CA"/>
        </w:rPr>
      </w:pPr>
    </w:p>
    <w:p w14:paraId="6F6D45A4" w14:textId="77777777" w:rsidR="00351F67" w:rsidRPr="00351F67" w:rsidRDefault="00351F67" w:rsidP="00351F67">
      <w:pPr>
        <w:pStyle w:val="SingleTxt"/>
        <w:spacing w:after="0" w:line="120" w:lineRule="exact"/>
        <w:rPr>
          <w:i/>
          <w:sz w:val="10"/>
          <w:lang w:val="fr-CA"/>
        </w:rPr>
      </w:pPr>
    </w:p>
    <w:p w14:paraId="4E15A35B" w14:textId="77777777" w:rsidR="00351F67" w:rsidRPr="00351F67" w:rsidRDefault="00351F67" w:rsidP="00351F67">
      <w:pPr>
        <w:pStyle w:val="SingleTxt"/>
        <w:rPr>
          <w:i/>
          <w:lang w:val="fr-CA"/>
        </w:rPr>
      </w:pPr>
      <w:r w:rsidRPr="00351F67">
        <w:rPr>
          <w:i/>
          <w:lang w:val="fr-CA"/>
        </w:rPr>
        <w:tab/>
        <w:t>La Plénière,</w:t>
      </w:r>
    </w:p>
    <w:p w14:paraId="2F28C0C9" w14:textId="77777777" w:rsidR="00351F67" w:rsidRPr="00351F67" w:rsidRDefault="00351F67" w:rsidP="00351F67">
      <w:pPr>
        <w:pStyle w:val="SingleTxt"/>
        <w:rPr>
          <w:lang w:val="fr-CA"/>
        </w:rPr>
      </w:pPr>
      <w:r w:rsidRPr="00351F67">
        <w:rPr>
          <w:i/>
          <w:lang w:val="fr-CA"/>
        </w:rPr>
        <w:tab/>
        <w:t>Adopte</w:t>
      </w:r>
      <w:r w:rsidRPr="00351F67">
        <w:rPr>
          <w:lang w:val="fr-CA"/>
        </w:rPr>
        <w:t xml:space="preserve"> la procédure de réception et de hiérarchisation des demandes présentées à la Plateforme, décrite à l’annexe de la présente décision.</w:t>
      </w:r>
    </w:p>
    <w:p w14:paraId="4978B9FB" w14:textId="77777777" w:rsidR="00351F67" w:rsidRPr="00351F67" w:rsidRDefault="00351F67" w:rsidP="00351F67">
      <w:pPr>
        <w:pStyle w:val="SingleTxt"/>
        <w:spacing w:after="0" w:line="120" w:lineRule="exact"/>
        <w:rPr>
          <w:sz w:val="10"/>
          <w:lang w:val="fr-CA"/>
        </w:rPr>
      </w:pPr>
    </w:p>
    <w:p w14:paraId="3783BFA8" w14:textId="77777777" w:rsidR="00351F67" w:rsidRPr="00351F67" w:rsidRDefault="00351F67" w:rsidP="00351F67">
      <w:pPr>
        <w:pStyle w:val="SingleTxt"/>
        <w:spacing w:after="0" w:line="120" w:lineRule="exact"/>
        <w:rPr>
          <w:sz w:val="10"/>
          <w:lang w:val="fr-CA"/>
        </w:rPr>
      </w:pPr>
    </w:p>
    <w:p w14:paraId="545C51F8" w14:textId="77777777" w:rsidR="00351F67" w:rsidRPr="00351F67" w:rsidRDefault="00351F67" w:rsidP="00351F67">
      <w:pPr>
        <w:pStyle w:val="H1"/>
        <w:ind w:right="1260"/>
        <w:rPr>
          <w:lang w:val="fr-CA"/>
        </w:rPr>
      </w:pPr>
      <w:r w:rsidRPr="00351F67">
        <w:rPr>
          <w:lang w:val="fr-CA"/>
        </w:rPr>
        <w:tab/>
      </w:r>
      <w:r w:rsidRPr="00351F67">
        <w:rPr>
          <w:lang w:val="fr-CA"/>
        </w:rPr>
        <w:tab/>
        <w:t>Procédure de réception et de hiérarchisation des demandes</w:t>
      </w:r>
      <w:r w:rsidRPr="00351F67">
        <w:rPr>
          <w:lang w:val="fr-CA"/>
        </w:rPr>
        <w:br/>
        <w:t>présentées à la Plateforme</w:t>
      </w:r>
    </w:p>
    <w:p w14:paraId="74C16AF0" w14:textId="77777777" w:rsidR="00351F67" w:rsidRPr="00351F67" w:rsidRDefault="00351F67" w:rsidP="00351F67">
      <w:pPr>
        <w:pStyle w:val="SingleTxt"/>
        <w:spacing w:after="0" w:line="120" w:lineRule="exact"/>
        <w:rPr>
          <w:sz w:val="10"/>
          <w:lang w:val="fr-CA"/>
        </w:rPr>
      </w:pPr>
    </w:p>
    <w:p w14:paraId="3B305CD8" w14:textId="77777777" w:rsidR="00351F67" w:rsidRPr="00351F67" w:rsidRDefault="00351F67" w:rsidP="00351F67">
      <w:pPr>
        <w:pStyle w:val="SingleTxt"/>
        <w:spacing w:after="0" w:line="120" w:lineRule="exact"/>
        <w:rPr>
          <w:sz w:val="10"/>
          <w:lang w:val="fr-CA"/>
        </w:rPr>
      </w:pPr>
    </w:p>
    <w:p w14:paraId="4966946C"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 xml:space="preserve">La présente procédure régit la réception et la hiérarchisation des demandes présentées à la Plateforme et s’applique conformément aux autres règlements et procédures de la Plateforme. Elle ne préjuge nullement des décisions que la Plateforme pourra prendre concernant son programme de travail. </w:t>
      </w:r>
    </w:p>
    <w:p w14:paraId="7F58D7C9" w14:textId="77777777" w:rsidR="00351F67" w:rsidRPr="00351F67" w:rsidRDefault="00351F67" w:rsidP="00351F67">
      <w:pPr>
        <w:pStyle w:val="SingleTxt"/>
        <w:spacing w:after="0" w:line="120" w:lineRule="exact"/>
        <w:rPr>
          <w:b/>
          <w:sz w:val="10"/>
          <w:lang w:val="fr-CA"/>
        </w:rPr>
      </w:pPr>
    </w:p>
    <w:p w14:paraId="0E5B3115" w14:textId="77777777" w:rsidR="00351F67" w:rsidRPr="00351F67" w:rsidRDefault="00351F67" w:rsidP="00351F67">
      <w:pPr>
        <w:pStyle w:val="SingleTxt"/>
        <w:spacing w:after="0" w:line="120" w:lineRule="exact"/>
        <w:rPr>
          <w:b/>
          <w:sz w:val="10"/>
          <w:lang w:val="fr-CA"/>
        </w:rPr>
      </w:pPr>
    </w:p>
    <w:p w14:paraId="5B76BE3B" w14:textId="77777777" w:rsidR="00351F67" w:rsidRPr="00351F67" w:rsidRDefault="00351F67" w:rsidP="00351F67">
      <w:pPr>
        <w:pStyle w:val="H1"/>
        <w:ind w:right="1260"/>
        <w:rPr>
          <w:lang w:val="fr-CA"/>
        </w:rPr>
      </w:pPr>
      <w:r w:rsidRPr="00351F67">
        <w:rPr>
          <w:lang w:val="fr-CA"/>
        </w:rPr>
        <w:tab/>
        <w:t>A.</w:t>
      </w:r>
      <w:r w:rsidRPr="00351F67">
        <w:rPr>
          <w:lang w:val="fr-CA"/>
        </w:rPr>
        <w:tab/>
        <w:t>Réception des demandes présentées à la Plateforme</w:t>
      </w:r>
    </w:p>
    <w:p w14:paraId="756CC1D6" w14:textId="77777777" w:rsidR="00351F67" w:rsidRPr="00351F67" w:rsidRDefault="00351F67" w:rsidP="00351F67">
      <w:pPr>
        <w:pStyle w:val="SingleTxt"/>
        <w:spacing w:after="0" w:line="120" w:lineRule="exact"/>
        <w:rPr>
          <w:sz w:val="10"/>
          <w:lang w:val="fr-CA"/>
        </w:rPr>
      </w:pPr>
    </w:p>
    <w:p w14:paraId="685517DD" w14:textId="77777777" w:rsidR="00351F67" w:rsidRPr="00351F67" w:rsidRDefault="00351F67" w:rsidP="00351F67">
      <w:pPr>
        <w:pStyle w:val="SingleTxt"/>
        <w:spacing w:after="0" w:line="120" w:lineRule="exact"/>
        <w:rPr>
          <w:sz w:val="10"/>
          <w:lang w:val="fr-CA"/>
        </w:rPr>
      </w:pPr>
    </w:p>
    <w:p w14:paraId="2381737F"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Les États et les secrétariats des accords multilatéraux sur l’environnement relatifs à la biodiversité et aux services écosystémiques peuvent envoyer leurs demandes concernant des questions scientifiques ou techniques qui nécessitent l’attention ou l’intervention de la Plateforme.</w:t>
      </w:r>
    </w:p>
    <w:p w14:paraId="38388C6E"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 xml:space="preserve">Sur décision de leurs organes directeurs, les organismes des Nations Unies dont les travaux portent sur la biodiversité et les services écosystémiques sont également invités à présenter des contributions et des suggestions. Les contributions et les suggestions des parties prenantes, telles que d’autres organisations intergouvernementales, les organisations scientifiques régionales et internationales, les fonds d’affectation spéciale pour l’environnement, les organisations non gouvernementales, les communautés locales, les peuples autochtones et le secteur privé, seront également prises en compte, selon qu’il conviendra. </w:t>
      </w:r>
    </w:p>
    <w:p w14:paraId="6C7021C3"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 xml:space="preserve">Afin de simplifier la procédure, les États sont invités à soumettre leurs demandes par l’intermédiaire des organes directeurs ou des organes subsidiaires scientifiques des secrétariats des accords multilatéraux sur l’environnement relatifs à la biodiversité et aux services écosystémiques, de manière à leur permettre de jouer avec les délais de présentation des demandes, compte tenu de leurs calendriers de réunions internes. La présentation de demandes communes est encouragée; ainsi, les secrétariats d’accords multilatéraux sur l’environnement sont invités à présenter leurs demandes par l’intermédiaire de leurs mécanismes de coordination, comme par exemple le Groupe de liaison sur la biodiversité ou les présidents des organes consultatifs scientifiques des conventions relatives à la biodiversité. </w:t>
      </w:r>
    </w:p>
    <w:p w14:paraId="24CC32D2"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 xml:space="preserve">De même, les États sont invités à présenter des demandes communes, notamment par l’intermédiaire des groupes régionaux. </w:t>
      </w:r>
    </w:p>
    <w:p w14:paraId="48C67B3B"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 xml:space="preserve">Les organismes des Nations Unies dont les travaux portent sur la biodiversité et les services écosystémiques, les organisations intergouvernementales, les organisations scientifiques internationales et régionales, les fonds d’affectation spéciale pour l’environnement, les organisations non gouvernementales, les peuples autochtones et les </w:t>
      </w:r>
      <w:r w:rsidRPr="00351F67">
        <w:rPr>
          <w:lang w:val="fr-CA"/>
        </w:rPr>
        <w:lastRenderedPageBreak/>
        <w:t xml:space="preserve">communautés locales ainsi que le secteur privé sont également invités à présenter des contributions et des suggestions communes. </w:t>
      </w:r>
    </w:p>
    <w:p w14:paraId="01725137"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 xml:space="preserve">Les demandes qui sont adressées à la Plateforme doivent être accompagnées des renseignements suivants : </w:t>
      </w:r>
    </w:p>
    <w:p w14:paraId="19A26919" w14:textId="77777777" w:rsidR="00351F67" w:rsidRPr="00351F67" w:rsidRDefault="00351F67" w:rsidP="00351F67">
      <w:pPr>
        <w:pStyle w:val="SingleTxt"/>
        <w:rPr>
          <w:lang w:val="fr-CA"/>
        </w:rPr>
      </w:pPr>
      <w:r w:rsidRPr="00351F67">
        <w:rPr>
          <w:lang w:val="fr-CA"/>
        </w:rPr>
        <w:tab/>
        <w:t>a)</w:t>
      </w:r>
      <w:r w:rsidRPr="00351F67">
        <w:rPr>
          <w:lang w:val="fr-CA"/>
        </w:rPr>
        <w:tab/>
        <w:t>Pertinence pour l’objectif, les fonctions et le programme de travail de la Plateforme;</w:t>
      </w:r>
    </w:p>
    <w:p w14:paraId="06A6ADD1" w14:textId="77777777" w:rsidR="00351F67" w:rsidRPr="00351F67" w:rsidRDefault="00351F67" w:rsidP="00351F67">
      <w:pPr>
        <w:pStyle w:val="SingleTxt"/>
        <w:rPr>
          <w:lang w:val="fr-CA"/>
        </w:rPr>
      </w:pPr>
      <w:r w:rsidRPr="00351F67">
        <w:rPr>
          <w:lang w:val="fr-CA"/>
        </w:rPr>
        <w:tab/>
        <w:t>b)</w:t>
      </w:r>
      <w:r w:rsidRPr="00351F67">
        <w:rPr>
          <w:lang w:val="fr-CA"/>
        </w:rPr>
        <w:tab/>
        <w:t xml:space="preserve">Urgence de l’action à entreprendre compte tenu de l’imminence des risques que font courir les questions à régler; </w:t>
      </w:r>
    </w:p>
    <w:p w14:paraId="4366DFB6" w14:textId="77777777" w:rsidR="00351F67" w:rsidRPr="00351F67" w:rsidRDefault="00351F67" w:rsidP="00351F67">
      <w:pPr>
        <w:pStyle w:val="SingleTxt"/>
        <w:rPr>
          <w:lang w:val="fr-CA"/>
        </w:rPr>
      </w:pPr>
      <w:r w:rsidRPr="00351F67">
        <w:rPr>
          <w:lang w:val="fr-CA"/>
        </w:rPr>
        <w:tab/>
        <w:t>c)</w:t>
      </w:r>
      <w:r w:rsidRPr="00351F67">
        <w:rPr>
          <w:lang w:val="fr-CA"/>
        </w:rPr>
        <w:tab/>
        <w:t xml:space="preserve">Incidences de l’intervention demandée sur des politiques ou mécanismes déterminés; </w:t>
      </w:r>
    </w:p>
    <w:p w14:paraId="5CA134D3" w14:textId="77777777" w:rsidR="00351F67" w:rsidRPr="00351F67" w:rsidRDefault="00351F67" w:rsidP="00351F67">
      <w:pPr>
        <w:pStyle w:val="SingleTxt"/>
        <w:rPr>
          <w:lang w:val="fr-CA"/>
        </w:rPr>
      </w:pPr>
      <w:r w:rsidRPr="00351F67">
        <w:rPr>
          <w:lang w:val="fr-CA"/>
        </w:rPr>
        <w:tab/>
        <w:t>d)</w:t>
      </w:r>
      <w:r w:rsidRPr="00351F67">
        <w:rPr>
          <w:lang w:val="fr-CA"/>
        </w:rPr>
        <w:tab/>
        <w:t>Portée géographique de l’intervention demandée et problèmes que cette intervention devrait concerner;</w:t>
      </w:r>
    </w:p>
    <w:p w14:paraId="2F7473CC" w14:textId="77777777" w:rsidR="00351F67" w:rsidRPr="00351F67" w:rsidRDefault="00351F67" w:rsidP="00351F67">
      <w:pPr>
        <w:pStyle w:val="SingleTxt"/>
        <w:rPr>
          <w:lang w:val="fr-CA"/>
        </w:rPr>
      </w:pPr>
      <w:r w:rsidRPr="00351F67">
        <w:rPr>
          <w:lang w:val="fr-CA"/>
        </w:rPr>
        <w:tab/>
        <w:t>e)</w:t>
      </w:r>
      <w:r w:rsidRPr="00351F67">
        <w:rPr>
          <w:lang w:val="fr-CA"/>
        </w:rPr>
        <w:tab/>
        <w:t>Degré de complexité des problèmes que l’intervention demandée devrait régler;</w:t>
      </w:r>
    </w:p>
    <w:p w14:paraId="218B173A" w14:textId="77777777" w:rsidR="00351F67" w:rsidRPr="00351F67" w:rsidRDefault="00351F67" w:rsidP="00351F67">
      <w:pPr>
        <w:pStyle w:val="SingleTxt"/>
        <w:rPr>
          <w:lang w:val="fr-CA"/>
        </w:rPr>
      </w:pPr>
      <w:r w:rsidRPr="00351F67">
        <w:rPr>
          <w:lang w:val="fr-CA"/>
        </w:rPr>
        <w:tab/>
        <w:t>f)</w:t>
      </w:r>
      <w:r w:rsidRPr="00351F67">
        <w:rPr>
          <w:lang w:val="fr-CA"/>
        </w:rPr>
        <w:tab/>
        <w:t>Travaux antérieurs et projets existants de même nature et indication des lacunes à combler (absence ou manque d’information et de moyens permettant de régler les problèmes et raisons pour lesquelles la Plateforme est le mécanisme idoine pour intervenir);</w:t>
      </w:r>
    </w:p>
    <w:p w14:paraId="7006D5CC" w14:textId="77777777" w:rsidR="00351F67" w:rsidRPr="00351F67" w:rsidRDefault="00351F67" w:rsidP="00351F67">
      <w:pPr>
        <w:pStyle w:val="SingleTxt"/>
        <w:rPr>
          <w:lang w:val="fr-CA"/>
        </w:rPr>
      </w:pPr>
      <w:r w:rsidRPr="00351F67">
        <w:rPr>
          <w:lang w:val="fr-CA"/>
        </w:rPr>
        <w:tab/>
        <w:t>g)</w:t>
      </w:r>
      <w:r w:rsidRPr="00351F67">
        <w:rPr>
          <w:lang w:val="fr-CA"/>
        </w:rPr>
        <w:tab/>
        <w:t xml:space="preserve">Possibilité pour la Plateforme d’avoir recours à des ouvrages scientifiques ou à des compétences spécialisées pour mener à bien l’intervention demandée; </w:t>
      </w:r>
    </w:p>
    <w:p w14:paraId="5144E91F" w14:textId="77777777" w:rsidR="00351F67" w:rsidRPr="00351F67" w:rsidRDefault="00351F67" w:rsidP="00351F67">
      <w:pPr>
        <w:pStyle w:val="SingleTxt"/>
        <w:rPr>
          <w:lang w:val="fr-CA"/>
        </w:rPr>
      </w:pPr>
      <w:r w:rsidRPr="00351F67">
        <w:rPr>
          <w:lang w:val="fr-CA"/>
        </w:rPr>
        <w:tab/>
        <w:t>h)</w:t>
      </w:r>
      <w:r w:rsidRPr="00351F67">
        <w:rPr>
          <w:lang w:val="fr-CA"/>
        </w:rPr>
        <w:tab/>
        <w:t>Indication des effets que l’intervention demandée pourrait avoir et de ses bénéficiaires escomptés;</w:t>
      </w:r>
    </w:p>
    <w:p w14:paraId="5BB02765" w14:textId="77777777" w:rsidR="00351F67" w:rsidRPr="00351F67" w:rsidRDefault="00351F67" w:rsidP="00351F67">
      <w:pPr>
        <w:pStyle w:val="SingleTxt"/>
        <w:rPr>
          <w:lang w:val="fr-CA"/>
        </w:rPr>
      </w:pPr>
      <w:r w:rsidRPr="00351F67">
        <w:rPr>
          <w:lang w:val="fr-CA"/>
        </w:rPr>
        <w:tab/>
        <w:t>i)</w:t>
      </w:r>
      <w:r w:rsidRPr="00351F67">
        <w:rPr>
          <w:lang w:val="fr-CA"/>
        </w:rPr>
        <w:tab/>
        <w:t>Indication des moyens financiers et humains nécessaires pour intervenir et durée de l’intervention;</w:t>
      </w:r>
    </w:p>
    <w:p w14:paraId="0FE4456E" w14:textId="77777777" w:rsidR="00351F67" w:rsidRPr="00351F67" w:rsidRDefault="00351F67" w:rsidP="00351F67">
      <w:pPr>
        <w:pStyle w:val="SingleTxt"/>
        <w:rPr>
          <w:lang w:val="fr-CA"/>
        </w:rPr>
      </w:pPr>
      <w:r w:rsidRPr="00351F67">
        <w:rPr>
          <w:lang w:val="fr-CA"/>
        </w:rPr>
        <w:tab/>
        <w:t>j)</w:t>
      </w:r>
      <w:r w:rsidRPr="00351F67">
        <w:rPr>
          <w:lang w:val="fr-CA"/>
        </w:rPr>
        <w:tab/>
        <w:t>Indication des priorités dans les demandes communes.</w:t>
      </w:r>
    </w:p>
    <w:p w14:paraId="43484A7A"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Les contributions et les suggestions qui sont adressées à la Plateforme doivent également, selon qu’il convient, être accompagnées des renseignements visés au paragraphe 7.</w:t>
      </w:r>
    </w:p>
    <w:p w14:paraId="37AF1689" w14:textId="62F72C44" w:rsidR="007A4CE1" w:rsidRPr="00351F67" w:rsidRDefault="007A4CE1" w:rsidP="00351F67">
      <w:pPr>
        <w:pStyle w:val="HCh"/>
        <w:ind w:left="1267" w:right="1260" w:hanging="1267"/>
        <w:rPr>
          <w:lang w:val="fr-CA"/>
        </w:rPr>
      </w:pPr>
    </w:p>
    <w:p w14:paraId="530058B7" w14:textId="77777777" w:rsidR="007A4CE1" w:rsidRPr="00351F67" w:rsidRDefault="007A4CE1" w:rsidP="007A4CE1">
      <w:pPr>
        <w:pStyle w:val="SingleTxt"/>
        <w:spacing w:after="0" w:line="120" w:lineRule="exact"/>
        <w:rPr>
          <w:sz w:val="10"/>
          <w:lang w:val="fr-CA"/>
        </w:rPr>
      </w:pPr>
    </w:p>
    <w:p w14:paraId="4F58413E" w14:textId="77777777" w:rsidR="007A4CE1" w:rsidRPr="00351F67" w:rsidRDefault="007A4CE1" w:rsidP="007A4CE1">
      <w:pPr>
        <w:pStyle w:val="SingleTxt"/>
        <w:spacing w:after="0" w:line="120" w:lineRule="exact"/>
        <w:rPr>
          <w:sz w:val="10"/>
          <w:lang w:val="fr-CA"/>
        </w:rPr>
      </w:pPr>
    </w:p>
    <w:p w14:paraId="07CBBC6C" w14:textId="61F9AD2F" w:rsidR="007A4CE1" w:rsidRPr="00001402" w:rsidRDefault="007A4CE1" w:rsidP="007A4CE1">
      <w:pPr>
        <w:pStyle w:val="H1"/>
        <w:ind w:right="1260"/>
        <w:rPr>
          <w:rFonts w:eastAsia="Batang"/>
          <w:lang w:val="fr-CA" w:eastAsia="ko-KR"/>
        </w:rPr>
      </w:pPr>
      <w:r w:rsidRPr="00351F67">
        <w:rPr>
          <w:lang w:val="fr-CA"/>
        </w:rPr>
        <w:tab/>
      </w:r>
      <w:r w:rsidRPr="00001402">
        <w:rPr>
          <w:lang w:val="fr-CA"/>
        </w:rPr>
        <w:t>B.</w:t>
      </w:r>
      <w:r w:rsidRPr="00001402">
        <w:rPr>
          <w:lang w:val="fr-CA"/>
        </w:rPr>
        <w:tab/>
      </w:r>
      <w:r w:rsidR="00001402" w:rsidRPr="00351F67">
        <w:rPr>
          <w:lang w:val="fr-CA"/>
        </w:rPr>
        <w:t>Hiérarchisation des demandes présentées à la Plateforme</w:t>
      </w:r>
    </w:p>
    <w:p w14:paraId="2E0826FE" w14:textId="77777777" w:rsidR="007A4CE1" w:rsidRPr="00001402" w:rsidRDefault="007A4CE1" w:rsidP="007A4CE1">
      <w:pPr>
        <w:pStyle w:val="SingleTxt"/>
        <w:spacing w:after="0" w:line="120" w:lineRule="exact"/>
        <w:rPr>
          <w:rFonts w:eastAsia="Batang"/>
          <w:sz w:val="10"/>
          <w:szCs w:val="22"/>
          <w:lang w:val="fr-CA" w:eastAsia="ko-KR"/>
        </w:rPr>
      </w:pPr>
    </w:p>
    <w:p w14:paraId="09CCBB1D" w14:textId="77777777" w:rsidR="007A4CE1" w:rsidRPr="00001402" w:rsidRDefault="007A4CE1" w:rsidP="007A4CE1">
      <w:pPr>
        <w:pStyle w:val="SingleTxt"/>
        <w:spacing w:after="0" w:line="120" w:lineRule="exact"/>
        <w:rPr>
          <w:rFonts w:eastAsia="Batang"/>
          <w:sz w:val="10"/>
          <w:szCs w:val="22"/>
          <w:lang w:val="fr-CA" w:eastAsia="ko-KR"/>
        </w:rPr>
      </w:pPr>
    </w:p>
    <w:p w14:paraId="46286D47" w14:textId="77777777" w:rsidR="00351F67" w:rsidRPr="00351F67" w:rsidRDefault="00351F67" w:rsidP="00351F67">
      <w:pPr>
        <w:pStyle w:val="SingleTxt"/>
        <w:spacing w:after="0" w:line="120" w:lineRule="exact"/>
        <w:rPr>
          <w:sz w:val="10"/>
          <w:lang w:val="fr-CA"/>
        </w:rPr>
      </w:pPr>
    </w:p>
    <w:p w14:paraId="17F50853"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 xml:space="preserve">Toutes les demandes, contributions et suggestions devront parvenir au secrétariat au plus tard six mois avant toute session de l’IPBES. Le secrétariat affiche les demandes, contributions et suggestions qu’il a reçues sur le site Web de l’IPBES. Le Groupe d’experts multidisciplinaire et le Bureau examineront les demandes, contributions et suggestions qu’ils classeront par ordre de priorité en fonction des critères énoncés au paragraphe 7 ci-dessus. </w:t>
      </w:r>
    </w:p>
    <w:p w14:paraId="2E4D0F3A"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 xml:space="preserve">Le Bureau examinera les demandes reçues hors délai à titre exceptionnel. </w:t>
      </w:r>
    </w:p>
    <w:p w14:paraId="5D4DEAF3"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Dans le cas où le Groupe d’experts multidisciplinaire et le Bureau estimeraient qu’il faudrait disposer d’éléments complémentaires pour hiérarchiser certaines demandes, ils proposeront à la Réunion plénière de commencer à les réunir.</w:t>
      </w:r>
    </w:p>
    <w:p w14:paraId="113B660A" w14:textId="77777777" w:rsidR="00351F67" w:rsidRPr="00351F67" w:rsidRDefault="00351F67" w:rsidP="0085547E">
      <w:pPr>
        <w:pStyle w:val="SingleTxt"/>
        <w:numPr>
          <w:ilvl w:val="0"/>
          <w:numId w:val="13"/>
        </w:numPr>
        <w:tabs>
          <w:tab w:val="left" w:pos="1742"/>
        </w:tabs>
        <w:suppressAutoHyphens w:val="0"/>
        <w:jc w:val="both"/>
        <w:rPr>
          <w:lang w:val="fr-CA"/>
        </w:rPr>
      </w:pPr>
      <w:r w:rsidRPr="00351F67">
        <w:rPr>
          <w:lang w:val="fr-CA"/>
        </w:rPr>
        <w:t xml:space="preserve">Le Groupe d’experts multidisciplinaire et le Bureau établiront, 12 semaines avant le début de la session à laquelle les demandes seront examinées, un rapport dans lequel figureront le classement des demandes par ordre de </w:t>
      </w:r>
      <w:r w:rsidRPr="00351F67">
        <w:rPr>
          <w:lang w:val="fr-CA"/>
        </w:rPr>
        <w:lastRenderedPageBreak/>
        <w:t>priorité, ainsi qu’une analyse de la pertinence scientifique et politique des demandes comme il est indiqué au paragraphe 7, y compris la nécessité éventuelle de disposer d’éléments complémentaires et des incidences des demandes sur le programme de travail et les ressources nécessaires. Conformément au règlement intérieur de la Réunion plénière de la Plateforme, le secrétariat fera distribuer le rapport à la Réunion plénière pour examen et suite à donner.</w:t>
      </w:r>
    </w:p>
    <w:p w14:paraId="17C8281D" w14:textId="2EC6477B" w:rsidR="00EF3973" w:rsidRPr="00351F67" w:rsidRDefault="00351F67" w:rsidP="00351F67">
      <w:pPr>
        <w:pStyle w:val="SingleTxt"/>
        <w:rPr>
          <w:lang w:val="fr-CA"/>
        </w:rPr>
      </w:pPr>
      <w:r w:rsidRPr="00351F67">
        <w:rPr>
          <w:lang w:val="fr-CA"/>
        </w:rPr>
        <w:t>La procédure décrite dans le paragraphe ci-dessus s’appliquera, selon qu’il convient, à la hiérarchisation des contributions et suggestions</w:t>
      </w:r>
      <w:r w:rsidR="007A4CE1" w:rsidRPr="00351F67">
        <w:rPr>
          <w:lang w:val="fr-CA"/>
        </w:rPr>
        <w:t>.</w:t>
      </w:r>
    </w:p>
    <w:p w14:paraId="07B0F5DB" w14:textId="77777777" w:rsidR="00351F67" w:rsidRPr="008E6385" w:rsidRDefault="00351F67" w:rsidP="007A4CE1">
      <w:pPr>
        <w:pStyle w:val="SingleTxt"/>
        <w:rPr>
          <w:rFonts w:eastAsia="Batang"/>
          <w:lang w:val="fr-CA" w:eastAsia="ko-KR"/>
        </w:rPr>
      </w:pPr>
    </w:p>
    <w:p w14:paraId="74B79941" w14:textId="14B258DF" w:rsidR="007A4CE1" w:rsidRPr="00001402" w:rsidRDefault="00001402" w:rsidP="00001402">
      <w:pPr>
        <w:pStyle w:val="SingleTxt"/>
        <w:jc w:val="center"/>
        <w:rPr>
          <w:rFonts w:eastAsia="Batang"/>
          <w:i/>
          <w:lang w:eastAsia="ko-KR"/>
        </w:rPr>
      </w:pPr>
      <w:r>
        <w:rPr>
          <w:rFonts w:eastAsia="Batang"/>
          <w:i/>
          <w:lang w:eastAsia="ko-KR"/>
        </w:rPr>
        <w:t>Annex II</w:t>
      </w:r>
    </w:p>
    <w:p w14:paraId="12D42AE1" w14:textId="5A30E319" w:rsidR="00001402" w:rsidRPr="00FA7EDE" w:rsidRDefault="00FA7EDE" w:rsidP="00001402">
      <w:pPr>
        <w:pStyle w:val="BBTitle"/>
        <w:spacing w:before="0" w:after="120"/>
        <w:ind w:left="1253" w:right="562"/>
        <w:rPr>
          <w:color w:val="000000"/>
          <w:lang w:val="fr-CA"/>
        </w:rPr>
      </w:pPr>
      <w:r w:rsidRPr="00FA7EDE">
        <w:rPr>
          <w:lang w:val="fr-CA"/>
        </w:rPr>
        <w:t>IPBES-6/2 : Élaboration d’un projet de cadre stratégique pour la période allant jusqu’en 2030 et d’éléments du programme de travail glissant de la Plateforme</w:t>
      </w:r>
    </w:p>
    <w:p w14:paraId="707DB2E8" w14:textId="77777777" w:rsidR="00001402" w:rsidRPr="00FA7EDE" w:rsidRDefault="00001402" w:rsidP="00001402">
      <w:pPr>
        <w:pStyle w:val="Normal-pool"/>
        <w:tabs>
          <w:tab w:val="clear" w:pos="1247"/>
          <w:tab w:val="clear" w:pos="1814"/>
          <w:tab w:val="clear" w:pos="2381"/>
          <w:tab w:val="clear" w:pos="2948"/>
          <w:tab w:val="clear" w:pos="3515"/>
          <w:tab w:val="clear" w:pos="4082"/>
          <w:tab w:val="left" w:pos="624"/>
        </w:tabs>
        <w:spacing w:after="120"/>
        <w:ind w:left="1247" w:firstLine="624"/>
        <w:rPr>
          <w:i/>
          <w:sz w:val="10"/>
          <w:szCs w:val="10"/>
          <w:lang w:val="fr-CA"/>
        </w:rPr>
      </w:pPr>
    </w:p>
    <w:p w14:paraId="21455ED3" w14:textId="1F0D3EDA" w:rsidR="00001402" w:rsidRPr="00FA7EDE" w:rsidRDefault="00FA7EDE" w:rsidP="00001402">
      <w:pPr>
        <w:pStyle w:val="Normal-pool"/>
        <w:tabs>
          <w:tab w:val="clear" w:pos="1247"/>
          <w:tab w:val="clear" w:pos="1814"/>
          <w:tab w:val="clear" w:pos="2381"/>
          <w:tab w:val="clear" w:pos="2948"/>
          <w:tab w:val="clear" w:pos="3515"/>
          <w:tab w:val="clear" w:pos="4082"/>
          <w:tab w:val="left" w:pos="624"/>
        </w:tabs>
        <w:spacing w:after="120"/>
        <w:ind w:left="1247" w:firstLine="624"/>
        <w:rPr>
          <w:i/>
          <w:lang w:val="fr-CA"/>
        </w:rPr>
      </w:pPr>
      <w:r w:rsidRPr="00FA7EDE">
        <w:rPr>
          <w:i/>
          <w:lang w:val="fr-CA"/>
        </w:rPr>
        <w:t>La Plénière</w:t>
      </w:r>
      <w:r w:rsidR="00001402" w:rsidRPr="00FA7EDE">
        <w:rPr>
          <w:i/>
          <w:lang w:val="fr-CA"/>
        </w:rPr>
        <w:t>,</w:t>
      </w:r>
    </w:p>
    <w:p w14:paraId="7D5397E5" w14:textId="2756375B" w:rsidR="00001402" w:rsidRPr="00FA7EDE" w:rsidRDefault="00FA7EDE" w:rsidP="00001402">
      <w:pPr>
        <w:pStyle w:val="Normal-pool"/>
        <w:tabs>
          <w:tab w:val="clear" w:pos="1247"/>
          <w:tab w:val="clear" w:pos="1814"/>
          <w:tab w:val="clear" w:pos="2381"/>
          <w:tab w:val="clear" w:pos="2948"/>
          <w:tab w:val="clear" w:pos="3515"/>
          <w:tab w:val="clear" w:pos="4082"/>
          <w:tab w:val="left" w:pos="624"/>
        </w:tabs>
        <w:spacing w:after="120"/>
        <w:ind w:left="1247" w:firstLine="624"/>
        <w:rPr>
          <w:lang w:val="fr-CA"/>
        </w:rPr>
      </w:pPr>
      <w:r w:rsidRPr="00FA7EDE">
        <w:rPr>
          <w:lang w:val="fr-CA"/>
        </w:rPr>
        <w:t>Prie le Groupe d’experts multidisciplinaire et le Bureau, avec l’appui du secrétariat</w:t>
      </w:r>
      <w:r>
        <w:rPr>
          <w:lang w:val="fr-CA"/>
        </w:rPr>
        <w:t xml:space="preserve"> </w:t>
      </w:r>
      <w:r w:rsidR="00001402" w:rsidRPr="00FA7EDE">
        <w:rPr>
          <w:lang w:val="fr-CA"/>
        </w:rPr>
        <w:t>:</w:t>
      </w:r>
    </w:p>
    <w:p w14:paraId="0AF724D4" w14:textId="7152982E" w:rsidR="00001402" w:rsidRPr="00FA7EDE" w:rsidRDefault="00FA7EDE" w:rsidP="00FA7EDE">
      <w:pPr>
        <w:pStyle w:val="Normal-pool"/>
        <w:numPr>
          <w:ilvl w:val="0"/>
          <w:numId w:val="9"/>
        </w:numPr>
        <w:tabs>
          <w:tab w:val="clear" w:pos="1247"/>
          <w:tab w:val="clear" w:pos="1814"/>
          <w:tab w:val="clear" w:pos="2381"/>
          <w:tab w:val="clear" w:pos="2948"/>
          <w:tab w:val="clear" w:pos="3515"/>
          <w:tab w:val="clear" w:pos="4082"/>
          <w:tab w:val="left" w:pos="624"/>
        </w:tabs>
        <w:spacing w:after="120"/>
        <w:ind w:left="1260" w:firstLine="540"/>
        <w:rPr>
          <w:lang w:val="fr-CA"/>
        </w:rPr>
      </w:pPr>
      <w:r w:rsidRPr="00FA7EDE">
        <w:rPr>
          <w:lang w:val="fr-CA"/>
        </w:rPr>
        <w:t>D’élaborer un projet de cadre stratégique pour la période allant jusqu’en 2030 et d’éléments du programme de travail glissant de la Plateforme, en tenant compte des vues qu’elle a exprimées à sa sixième session, y compris sur le calendrier indicatif des examens du programme de travail et sur les appels supplémentaires à la soumission de demandes, contributions et suggestions concernant le programme de travai</w:t>
      </w:r>
      <w:r>
        <w:rPr>
          <w:lang w:val="fr-CA"/>
        </w:rPr>
        <w:t>l</w:t>
      </w:r>
      <w:r w:rsidR="00001402" w:rsidRPr="00FA7EDE">
        <w:rPr>
          <w:lang w:val="fr-CA"/>
        </w:rPr>
        <w:t>;</w:t>
      </w:r>
    </w:p>
    <w:p w14:paraId="464C9D93" w14:textId="24FE5184" w:rsidR="00001402" w:rsidRPr="00FA7EDE" w:rsidRDefault="00FA7EDE" w:rsidP="00001402">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lang w:val="fr-CA"/>
        </w:rPr>
      </w:pPr>
      <w:r w:rsidRPr="00FA7EDE">
        <w:rPr>
          <w:lang w:val="fr-CA"/>
        </w:rPr>
        <w:t>D’organiser une série de consultations régionales, y compris par voie électronique, pour recueillir auprès des gouvernements, des partenaires au sein du système des Nations Unies, des accords multilatéraux sur l’environnement relatifs à la biodiversité et aux services écosystémiques, des organisations intergouvernementales et des parties prenantes des idées supplémentaires sur le projet de cadre stratégique et d’éléments du programme de travail de la Plateforme</w:t>
      </w:r>
      <w:r w:rsidR="00001402" w:rsidRPr="00FA7EDE">
        <w:rPr>
          <w:lang w:val="fr-CA"/>
        </w:rPr>
        <w:t>;</w:t>
      </w:r>
    </w:p>
    <w:p w14:paraId="0445F1F7" w14:textId="7B1E6DBF" w:rsidR="00001402" w:rsidRPr="003C35F9" w:rsidRDefault="003C35F9" w:rsidP="00001402">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lang w:val="fr-CA"/>
        </w:rPr>
      </w:pPr>
      <w:r w:rsidRPr="003C35F9">
        <w:rPr>
          <w:lang w:val="fr-CA"/>
        </w:rPr>
        <w:t>D’engager les gouvernements et les entités énumérées au paragraphe b) de la présente décision à soumettre par écrit des observations sur le projet de cadre stratégique et les futurs éléments du programme de travai</w:t>
      </w:r>
      <w:r>
        <w:rPr>
          <w:lang w:val="fr-CA"/>
        </w:rPr>
        <w:t>l</w:t>
      </w:r>
      <w:r w:rsidR="00001402" w:rsidRPr="003C35F9">
        <w:rPr>
          <w:lang w:val="fr-CA"/>
        </w:rPr>
        <w:t>;</w:t>
      </w:r>
    </w:p>
    <w:p w14:paraId="0A6030E1" w14:textId="5EE7EDA0" w:rsidR="00001402" w:rsidRPr="003C35F9" w:rsidRDefault="003C35F9" w:rsidP="00001402">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lang w:val="fr-CA"/>
        </w:rPr>
      </w:pPr>
      <w:r w:rsidRPr="003C35F9">
        <w:rPr>
          <w:lang w:val="fr-CA"/>
        </w:rPr>
        <w:t>De lancer un appel officiel à la soumission de demandes, contributions et suggestions concernant les priorités à court terme et les besoins stratégiques à plus long terme, avec pour date limite le 30 septembre 2018, selon la procédure de réception et de hiérarchisation des demandes, qui figure dans la décision IPBES-1/3, et</w:t>
      </w:r>
      <w:r>
        <w:rPr>
          <w:lang w:val="fr-CA"/>
        </w:rPr>
        <w:t xml:space="preserve"> </w:t>
      </w:r>
      <w:r w:rsidR="00001402" w:rsidRPr="003C35F9">
        <w:rPr>
          <w:lang w:val="fr-CA"/>
        </w:rPr>
        <w:t>:</w:t>
      </w:r>
    </w:p>
    <w:p w14:paraId="273FD84B" w14:textId="5EBED0B2" w:rsidR="00001402" w:rsidRPr="003C35F9" w:rsidRDefault="003C35F9" w:rsidP="003C35F9">
      <w:pPr>
        <w:pStyle w:val="Normalnumber"/>
        <w:numPr>
          <w:ilvl w:val="2"/>
          <w:numId w:val="7"/>
        </w:numPr>
        <w:tabs>
          <w:tab w:val="clear" w:pos="1247"/>
          <w:tab w:val="clear" w:pos="1871"/>
          <w:tab w:val="clear" w:pos="2495"/>
        </w:tabs>
        <w:ind w:left="2880" w:hanging="450"/>
        <w:rPr>
          <w:lang w:val="fr-CA"/>
        </w:rPr>
      </w:pPr>
      <w:r w:rsidRPr="003C35F9">
        <w:rPr>
          <w:lang w:val="fr-CA"/>
        </w:rPr>
        <w:t>D’inviter les membres et les observateurs admis à participer dans une plus large mesure en vertu de la décision IPBES-5/4 ainsi que les accords multilatéraux sur l’environnement relatifs à la biodiversité et aux services écosystémiques à présenter des demandes, comme indiqué par leurs organes directeurs respectif</w:t>
      </w:r>
      <w:r>
        <w:rPr>
          <w:lang w:val="fr-CA"/>
        </w:rPr>
        <w:t>s</w:t>
      </w:r>
      <w:r w:rsidR="00001402" w:rsidRPr="003C35F9">
        <w:rPr>
          <w:lang w:val="fr-CA"/>
        </w:rPr>
        <w:t>;</w:t>
      </w:r>
    </w:p>
    <w:p w14:paraId="575983B2" w14:textId="7B86E4B8" w:rsidR="00001402" w:rsidRPr="003C35F9" w:rsidRDefault="003C35F9" w:rsidP="00001402">
      <w:pPr>
        <w:pStyle w:val="Normalnumber"/>
        <w:numPr>
          <w:ilvl w:val="2"/>
          <w:numId w:val="7"/>
        </w:numPr>
        <w:tabs>
          <w:tab w:val="clear" w:pos="1247"/>
          <w:tab w:val="clear" w:pos="1871"/>
          <w:tab w:val="clear" w:pos="2495"/>
        </w:tabs>
        <w:ind w:left="2880" w:hanging="385"/>
        <w:rPr>
          <w:lang w:val="fr-CA"/>
        </w:rPr>
      </w:pPr>
      <w:r w:rsidRPr="003C35F9">
        <w:rPr>
          <w:lang w:val="fr-CA"/>
        </w:rPr>
        <w:t>D’inviter les organismes des Nations Unies compétents dans le domaine de la diversité biologique et des services écosystémiques ainsi que les parties prenantes, telles que les organisations internationales concernées, les organisations scientifiques internationales et régionales, les fonds d’affectation spéciale pour l’environnement, les organisations non gouvernementales, les peuples autochtones et les communautés locales, et le secteur privé, à présenter des contributions et des suggestions</w:t>
      </w:r>
      <w:r w:rsidR="00001402" w:rsidRPr="003C35F9">
        <w:rPr>
          <w:lang w:val="fr-CA"/>
        </w:rPr>
        <w:t>;</w:t>
      </w:r>
    </w:p>
    <w:p w14:paraId="201E2453" w14:textId="5959330D" w:rsidR="00001402" w:rsidRPr="003C35F9" w:rsidRDefault="003C35F9" w:rsidP="00001402">
      <w:pPr>
        <w:pStyle w:val="Normalnumber"/>
        <w:numPr>
          <w:ilvl w:val="2"/>
          <w:numId w:val="7"/>
        </w:numPr>
        <w:tabs>
          <w:tab w:val="clear" w:pos="1247"/>
          <w:tab w:val="clear" w:pos="1871"/>
          <w:tab w:val="clear" w:pos="2495"/>
        </w:tabs>
        <w:ind w:left="2880" w:hanging="385"/>
        <w:rPr>
          <w:lang w:val="fr-CA"/>
        </w:rPr>
      </w:pPr>
      <w:r w:rsidRPr="003C35F9">
        <w:rPr>
          <w:lang w:val="fr-CA"/>
        </w:rPr>
        <w:t>D’inviter des experts des savoirs autochtones et locaux et des détenteurs de ces savoirs à présenter des contributions et des suggestions par l’intermédiaire du mécanisme</w:t>
      </w:r>
      <w:r>
        <w:rPr>
          <w:lang w:val="fr-CA"/>
        </w:rPr>
        <w:t xml:space="preserve"> participatif de la Plateforme</w:t>
      </w:r>
      <w:r w:rsidR="00001402" w:rsidRPr="003C35F9">
        <w:rPr>
          <w:lang w:val="fr-CA"/>
        </w:rPr>
        <w:t>;</w:t>
      </w:r>
    </w:p>
    <w:p w14:paraId="3F6443C4" w14:textId="70E6D21F" w:rsidR="00001402" w:rsidRPr="003C35F9" w:rsidRDefault="003C35F9" w:rsidP="00001402">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lang w:val="fr-CA"/>
        </w:rPr>
      </w:pPr>
      <w:r w:rsidRPr="003C35F9">
        <w:rPr>
          <w:lang w:val="fr-CA"/>
        </w:rPr>
        <w:lastRenderedPageBreak/>
        <w:t>D’informer les secrétariats des accords multilatéraux sur l’environnement concernés de l’appel à demandes mentionné à l’alinéa i) du paragraphe d) de la présente décision et de proroger à leur égard le délai de présentation des demandes compte tenu du calendrier de réunion de leurs organes directeurs respectifs</w:t>
      </w:r>
      <w:r w:rsidR="00001402" w:rsidRPr="003C35F9">
        <w:rPr>
          <w:lang w:val="fr-CA"/>
        </w:rPr>
        <w:t>;</w:t>
      </w:r>
    </w:p>
    <w:p w14:paraId="04889837" w14:textId="0171183E" w:rsidR="00001402" w:rsidRPr="003C35F9" w:rsidRDefault="003C35F9" w:rsidP="00001402">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lang w:val="fr-CA"/>
        </w:rPr>
      </w:pPr>
      <w:r w:rsidRPr="003C35F9">
        <w:rPr>
          <w:lang w:val="fr-CA"/>
        </w:rPr>
        <w:t>De permettre l’accès aux demandes, contributions et suggestions reçues comme suite à l’appel visé au paragraphe d) de la présente décision aux membres de la Plénière de la Plateforme, aux observateurs admis à participer dans une plus large mesure en vertu de la décision IPBES-5/4, aux accords multilatéraux sur l’environnement et aux entités énumérées à l’alinéa ii) du paragraphe d) de la présente décision</w:t>
      </w:r>
      <w:r w:rsidR="00001402" w:rsidRPr="003C35F9">
        <w:rPr>
          <w:lang w:val="fr-CA"/>
        </w:rPr>
        <w:t>;</w:t>
      </w:r>
    </w:p>
    <w:p w14:paraId="07441993" w14:textId="7C30902A" w:rsidR="00001402" w:rsidRPr="003C35F9" w:rsidRDefault="003C35F9" w:rsidP="00001402">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lang w:val="fr-CA"/>
        </w:rPr>
      </w:pPr>
      <w:r w:rsidRPr="003C35F9">
        <w:rPr>
          <w:lang w:val="fr-CA"/>
        </w:rPr>
        <w:t>De compiler les demandes, contributions et suggestions reçues et d’établir un rapport contenant une liste récapitulative hiérarchisée, qu’elle examinera à sa septième session</w:t>
      </w:r>
      <w:r w:rsidR="00001402" w:rsidRPr="003C35F9">
        <w:rPr>
          <w:lang w:val="fr-CA"/>
        </w:rPr>
        <w:t>;</w:t>
      </w:r>
    </w:p>
    <w:p w14:paraId="5A95DA97" w14:textId="543551C3" w:rsidR="00001402" w:rsidRPr="003C35F9" w:rsidRDefault="003C35F9" w:rsidP="00001402">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lang w:val="fr-CA"/>
        </w:rPr>
      </w:pPr>
      <w:r w:rsidRPr="003C35F9">
        <w:rPr>
          <w:lang w:val="fr-CA"/>
        </w:rPr>
        <w:t>De continuer à réviser le projet de cadre stratégique pour la période allant jusqu’en 2030 et à élaborer des éléments du programme de travail de la Plateforme à la lumière du rapport visé au paragraphe g) de la présente décision</w:t>
      </w:r>
      <w:r w:rsidR="00001402" w:rsidRPr="003C35F9">
        <w:rPr>
          <w:lang w:val="fr-CA"/>
        </w:rPr>
        <w:t>;</w:t>
      </w:r>
    </w:p>
    <w:p w14:paraId="41EFC9EB" w14:textId="4E085343" w:rsidR="00001402" w:rsidRPr="003C35F9" w:rsidRDefault="003C35F9" w:rsidP="00001402">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lang w:val="fr-CA"/>
        </w:rPr>
      </w:pPr>
      <w:r w:rsidRPr="003C35F9">
        <w:rPr>
          <w:lang w:val="fr-CA"/>
        </w:rPr>
        <w:t>D’inviter les gouvernements et les parties prenantes à soumettre des observations sur le projet de cadre stratégique pour la période allant jusqu’en 2030 et d’éléments du programme de travail de la Plateforme ainsi révisé, mentionné au paragraphe h) de la présente décision</w:t>
      </w:r>
      <w:bookmarkStart w:id="1" w:name="_GoBack"/>
      <w:bookmarkEnd w:id="1"/>
      <w:r w:rsidR="00001402" w:rsidRPr="003C35F9">
        <w:rPr>
          <w:lang w:val="fr-CA"/>
        </w:rPr>
        <w:t>;</w:t>
      </w:r>
    </w:p>
    <w:p w14:paraId="272207E7" w14:textId="3AB879F3" w:rsidR="00001402" w:rsidRPr="003C35F9" w:rsidRDefault="003C35F9" w:rsidP="00001402">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lang w:val="fr-CA"/>
        </w:rPr>
      </w:pPr>
      <w:r w:rsidRPr="003C35F9">
        <w:rPr>
          <w:lang w:val="fr-CA"/>
        </w:rPr>
        <w:t>D’établir la version définitive du projet de cadre stratégique pour la période allant jusqu’en 2030 et d’éléments du programme de travail de la Plateforme en tenant compte des observations visées au paragraphe i) de la présente décision, pour qu’elle l’examine et l’approuve à sa septième session</w:t>
      </w:r>
      <w:r w:rsidR="00001402" w:rsidRPr="003C35F9">
        <w:rPr>
          <w:lang w:val="fr-CA"/>
        </w:rPr>
        <w:t>.</w:t>
      </w:r>
    </w:p>
    <w:p w14:paraId="5F95DFFD" w14:textId="77777777" w:rsidR="00001402" w:rsidRPr="006F59A7" w:rsidRDefault="00001402" w:rsidP="00001402">
      <w:pPr>
        <w:pStyle w:val="Normal-pool"/>
        <w:suppressLineNumbers/>
        <w:tabs>
          <w:tab w:val="clear" w:pos="1247"/>
          <w:tab w:val="clear" w:pos="1814"/>
          <w:tab w:val="clear" w:pos="2381"/>
          <w:tab w:val="clear" w:pos="2948"/>
          <w:tab w:val="clear" w:pos="3515"/>
          <w:tab w:val="clear" w:pos="4082"/>
          <w:tab w:val="left" w:pos="624"/>
        </w:tabs>
        <w:suppressAutoHyphens/>
        <w:kinsoku w:val="0"/>
        <w:overflowPunct w:val="0"/>
        <w:autoSpaceDE w:val="0"/>
        <w:autoSpaceDN w:val="0"/>
        <w:adjustRightInd w:val="0"/>
        <w:snapToGrid w:val="0"/>
        <w:spacing w:after="120"/>
        <w:ind w:right="4"/>
        <w:jc w:val="center"/>
        <w:rPr>
          <w:snapToGrid w:val="0"/>
          <w:kern w:val="22"/>
        </w:rPr>
      </w:pPr>
      <w:r w:rsidRPr="006F59A7">
        <w:rPr>
          <w:snapToGrid w:val="0"/>
          <w:kern w:val="22"/>
        </w:rPr>
        <w:t>__________</w:t>
      </w:r>
    </w:p>
    <w:p w14:paraId="5FCCF1AA" w14:textId="3FED6F50" w:rsidR="005A0491" w:rsidRPr="00CA6AAD" w:rsidRDefault="005A0491" w:rsidP="00001402">
      <w:pPr>
        <w:pStyle w:val="BBTitle"/>
        <w:ind w:firstLine="29"/>
      </w:pPr>
    </w:p>
    <w:sectPr w:rsidR="005A0491" w:rsidRPr="00CA6AAD" w:rsidSect="00CA1572">
      <w:headerReference w:type="even" r:id="rId32"/>
      <w:headerReference w:type="default" r:id="rId33"/>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69491" w14:textId="77777777" w:rsidR="00B54C07" w:rsidRDefault="00B54C07">
      <w:r>
        <w:separator/>
      </w:r>
    </w:p>
  </w:endnote>
  <w:endnote w:type="continuationSeparator" w:id="0">
    <w:p w14:paraId="5FF158AA" w14:textId="77777777" w:rsidR="00B54C07" w:rsidRDefault="00B5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02E90" w14:textId="77777777" w:rsidR="00B54C07" w:rsidRDefault="00B54C07">
      <w:r>
        <w:separator/>
      </w:r>
    </w:p>
  </w:footnote>
  <w:footnote w:type="continuationSeparator" w:id="0">
    <w:p w14:paraId="60BB1B63" w14:textId="77777777" w:rsidR="00B54C07" w:rsidRDefault="00B54C07">
      <w:r>
        <w:continuationSeparator/>
      </w:r>
    </w:p>
  </w:footnote>
  <w:footnote w:id="1">
    <w:p w14:paraId="1B060914" w14:textId="77777777" w:rsidR="00A04FF3" w:rsidRDefault="00A04FF3" w:rsidP="00E8732D">
      <w:pPr>
        <w:pStyle w:val="Notedebasdepage"/>
        <w:ind w:firstLine="0"/>
        <w:rPr>
          <w:lang w:val="fr-CA"/>
        </w:rPr>
      </w:pPr>
      <w:r>
        <w:rPr>
          <w:lang w:val="fr-CA"/>
        </w:rPr>
        <w:t>*Nouveau tirage pour raisons techniques (3 juillet 2018)</w:t>
      </w:r>
    </w:p>
    <w:p w14:paraId="4DEABC1E" w14:textId="5CDA6ACF" w:rsidR="00A04FF3" w:rsidRDefault="00A04FF3" w:rsidP="00E8732D">
      <w:pPr>
        <w:pStyle w:val="Notedebasdepage"/>
        <w:ind w:firstLine="0"/>
        <w:rPr>
          <w:rStyle w:val="Lienhypertexte"/>
          <w:snapToGrid w:val="0"/>
          <w:kern w:val="18"/>
          <w:szCs w:val="18"/>
        </w:rPr>
      </w:pPr>
      <w:r>
        <w:rPr>
          <w:lang w:val="fr-CA"/>
        </w:rPr>
        <w:t>**</w:t>
      </w:r>
      <w:r w:rsidRPr="00A04FF3">
        <w:rPr>
          <w:snapToGrid w:val="0"/>
          <w:kern w:val="18"/>
          <w:szCs w:val="18"/>
          <w:lang w:val="fr-CA"/>
        </w:rPr>
        <w:t>CBD/SBSTTA/22/1</w:t>
      </w:r>
    </w:p>
    <w:p w14:paraId="06AB55DB" w14:textId="413F9AC6" w:rsidR="00F17E77" w:rsidRPr="006A1E7C" w:rsidRDefault="00F17E77" w:rsidP="00E8732D">
      <w:pPr>
        <w:pStyle w:val="Notedebasdepage"/>
        <w:ind w:firstLine="0"/>
        <w:rPr>
          <w:lang w:val="fr-CA"/>
        </w:rPr>
      </w:pPr>
      <w:r w:rsidRPr="005804BA">
        <w:rPr>
          <w:rStyle w:val="Appelnotedebasdep"/>
          <w:szCs w:val="22"/>
        </w:rPr>
        <w:footnoteRef/>
      </w:r>
      <w:r w:rsidRPr="006A1E7C">
        <w:rPr>
          <w:lang w:val="fr-CA"/>
        </w:rPr>
        <w:t xml:space="preserve"> Conformément à la décision IPBES-6/2, la renvoi au « deuxième programme de travail » est remplacé</w:t>
      </w:r>
      <w:r>
        <w:rPr>
          <w:lang w:val="fr-CA"/>
        </w:rPr>
        <w:t xml:space="preserve"> par un renvoi au « cadre strat</w:t>
      </w:r>
      <w:r w:rsidRPr="006A1E7C">
        <w:rPr>
          <w:lang w:val="fr-CA"/>
        </w:rPr>
        <w:t xml:space="preserve">égique à </w:t>
      </w:r>
      <w:r>
        <w:rPr>
          <w:lang w:val="fr-CA"/>
        </w:rPr>
        <w:t>l’</w:t>
      </w:r>
      <w:r w:rsidRPr="006A1E7C">
        <w:rPr>
          <w:lang w:val="fr-CA"/>
        </w:rPr>
        <w:t xml:space="preserve">horizon 2030 et les éléments du programme de travail </w:t>
      </w:r>
      <w:r>
        <w:rPr>
          <w:lang w:val="fr-CA"/>
        </w:rPr>
        <w:t xml:space="preserve">à horizon mobile de la Plateforme ». </w:t>
      </w:r>
      <w:r w:rsidRPr="006A1E7C">
        <w:rPr>
          <w:lang w:val="fr-CA"/>
        </w:rPr>
        <w:t xml:space="preserve"> </w:t>
      </w:r>
    </w:p>
  </w:footnote>
  <w:footnote w:id="2">
    <w:p w14:paraId="637D05F8" w14:textId="6875E02E" w:rsidR="00F17E77" w:rsidRPr="009C0D46" w:rsidRDefault="00F17E77" w:rsidP="006A1E7C">
      <w:pPr>
        <w:pStyle w:val="Notedebasdepage"/>
        <w:ind w:firstLine="0"/>
        <w:rPr>
          <w:lang w:val="fr-CA"/>
        </w:rPr>
      </w:pPr>
      <w:r>
        <w:rPr>
          <w:rStyle w:val="Appelnotedebasdep"/>
        </w:rPr>
        <w:footnoteRef/>
      </w:r>
      <w:r w:rsidRPr="006A1E7C">
        <w:rPr>
          <w:lang w:val="fr-CA"/>
        </w:rPr>
        <w:t xml:space="preserve"> </w:t>
      </w:r>
      <w:r w:rsidRPr="009C0D46">
        <w:rPr>
          <w:lang w:val="fr-CA"/>
        </w:rPr>
        <w:t xml:space="preserve">Les résultats de la sixième session de la Plénière de </w:t>
      </w:r>
      <w:r w:rsidR="00BC58A1">
        <w:rPr>
          <w:lang w:val="fr-CA"/>
        </w:rPr>
        <w:t xml:space="preserve">la </w:t>
      </w:r>
      <w:r w:rsidRPr="009C0D46">
        <w:rPr>
          <w:lang w:val="fr-CA"/>
        </w:rPr>
        <w:t xml:space="preserve">Plateforme intergouvernementale scientifique et politique </w:t>
      </w:r>
      <w:r w:rsidR="00D31E41">
        <w:rPr>
          <w:lang w:val="fr-CA"/>
        </w:rPr>
        <w:t>sur la biodiversité et les services</w:t>
      </w:r>
      <w:r w:rsidRPr="009C0D46">
        <w:rPr>
          <w:lang w:val="fr-CA"/>
        </w:rPr>
        <w:t xml:space="preserve"> écosystémiques sont publiés sur le site</w:t>
      </w:r>
      <w:r w:rsidRPr="009C0D46">
        <w:rPr>
          <w:kern w:val="22"/>
          <w:szCs w:val="22"/>
          <w:lang w:val="fr-CA"/>
        </w:rPr>
        <w:t xml:space="preserve"> https://www.ipbes.net/outcomes </w:t>
      </w:r>
    </w:p>
  </w:footnote>
  <w:footnote w:id="3">
    <w:p w14:paraId="64091D01" w14:textId="6AD4D896" w:rsidR="00F17E77" w:rsidRPr="009C0D46" w:rsidRDefault="00F17E77" w:rsidP="009728ED">
      <w:pPr>
        <w:pStyle w:val="Para1"/>
        <w:numPr>
          <w:ilvl w:val="0"/>
          <w:numId w:val="0"/>
        </w:numPr>
        <w:suppressLineNumbers/>
        <w:tabs>
          <w:tab w:val="num" w:pos="720"/>
        </w:tabs>
        <w:suppressAutoHyphens/>
        <w:rPr>
          <w:sz w:val="18"/>
          <w:lang w:val="fr-CA"/>
        </w:rPr>
      </w:pPr>
      <w:r w:rsidRPr="009C0D46">
        <w:rPr>
          <w:rStyle w:val="Appelnotedebasdep"/>
          <w:lang w:val="fr-CA"/>
        </w:rPr>
        <w:footnoteRef/>
      </w:r>
      <w:r w:rsidRPr="009C0D46">
        <w:rPr>
          <w:sz w:val="18"/>
          <w:lang w:val="fr-CA"/>
        </w:rPr>
        <w:t xml:space="preserve"> </w:t>
      </w:r>
      <w:r>
        <w:rPr>
          <w:sz w:val="18"/>
          <w:lang w:val="fr-CA"/>
        </w:rPr>
        <w:t xml:space="preserve">Une notification a été émise afin de solliciter des commentaires d’examen </w:t>
      </w:r>
      <w:r w:rsidR="000F3312">
        <w:rPr>
          <w:sz w:val="18"/>
          <w:lang w:val="fr-CA"/>
        </w:rPr>
        <w:t xml:space="preserve">sur une </w:t>
      </w:r>
      <w:r>
        <w:rPr>
          <w:sz w:val="18"/>
          <w:lang w:val="fr-CA"/>
        </w:rPr>
        <w:t xml:space="preserve">version antérieure de </w:t>
      </w:r>
      <w:r w:rsidR="003E1C6B">
        <w:rPr>
          <w:sz w:val="18"/>
          <w:lang w:val="fr-CA"/>
        </w:rPr>
        <w:t>ce document</w:t>
      </w:r>
      <w:r>
        <w:rPr>
          <w:sz w:val="18"/>
          <w:lang w:val="fr-CA"/>
        </w:rPr>
        <w:t xml:space="preserve"> ainsi que des propositions de requêtes pour le prochain programme de travail de la Plateforme. Des commentaires d’examen ont été reçus de la Belgique, la Nouvelle-Zélande, le Royaume-Uni de Grande-Bretagne et d’Irlande du Nord, de la République bolivarienne du </w:t>
      </w:r>
      <w:r w:rsidR="00B121A8">
        <w:rPr>
          <w:sz w:val="18"/>
          <w:lang w:val="fr-CA"/>
        </w:rPr>
        <w:t>V</w:t>
      </w:r>
      <w:r>
        <w:rPr>
          <w:sz w:val="18"/>
          <w:lang w:val="fr-CA"/>
        </w:rPr>
        <w:t>enezuela, de l’Union européenne, de BirdLife International, Conservation international, du Forum international des peuples autochtones sur la biodiversité et Yes Inc Mali.</w:t>
      </w:r>
    </w:p>
  </w:footnote>
  <w:footnote w:id="4">
    <w:p w14:paraId="49E7AD51" w14:textId="31ABF12F" w:rsidR="00F17E77" w:rsidRPr="009C0D46" w:rsidRDefault="00F17E77" w:rsidP="00E8732D">
      <w:pPr>
        <w:pStyle w:val="Notedebasdepage"/>
        <w:ind w:firstLine="0"/>
        <w:rPr>
          <w:lang w:val="fr-CA"/>
        </w:rPr>
      </w:pPr>
      <w:r w:rsidRPr="009C0D46">
        <w:rPr>
          <w:rStyle w:val="Appelnotedebasdep"/>
          <w:lang w:val="fr-CA"/>
        </w:rPr>
        <w:footnoteRef/>
      </w:r>
      <w:r w:rsidRPr="009C0D46">
        <w:rPr>
          <w:lang w:val="fr-CA"/>
        </w:rPr>
        <w:t xml:space="preserve"> </w:t>
      </w:r>
      <w:r>
        <w:rPr>
          <w:lang w:val="fr-CA"/>
        </w:rPr>
        <w:t xml:space="preserve">Voir par exemple </w:t>
      </w:r>
      <w:r w:rsidRPr="009C0D46">
        <w:rPr>
          <w:lang w:val="fr-CA"/>
        </w:rPr>
        <w:t xml:space="preserve">CBD/SBSTTA/21/INF/16, UNEP/CBD/SBSTTA/20/INF/61, </w:t>
      </w:r>
      <w:r w:rsidRPr="009C0D46">
        <w:rPr>
          <w:rStyle w:val="lev"/>
          <w:b w:val="0"/>
          <w:bCs w:val="0"/>
          <w:lang w:val="fr-CA"/>
        </w:rPr>
        <w:t xml:space="preserve">UNEP/CBD/SBSTTA/19/INF/11, UNEP/CBD/SBSTTA/18/INF/19 </w:t>
      </w:r>
      <w:r>
        <w:rPr>
          <w:rStyle w:val="lev"/>
          <w:b w:val="0"/>
          <w:bCs w:val="0"/>
          <w:lang w:val="fr-CA"/>
        </w:rPr>
        <w:t>et</w:t>
      </w:r>
      <w:r w:rsidRPr="009C0D46">
        <w:rPr>
          <w:rStyle w:val="lev"/>
          <w:b w:val="0"/>
          <w:bCs w:val="0"/>
          <w:lang w:val="fr-CA"/>
        </w:rPr>
        <w:t xml:space="preserve"> </w:t>
      </w:r>
      <w:r w:rsidRPr="009C0D46">
        <w:rPr>
          <w:lang w:val="fr-CA"/>
        </w:rPr>
        <w:t>UNEP/CBD/COP/12/INF/28</w:t>
      </w:r>
      <w:r w:rsidRPr="009C0D46">
        <w:rPr>
          <w:rStyle w:val="lev"/>
          <w:b w:val="0"/>
          <w:bCs w:val="0"/>
          <w:lang w:val="fr-CA"/>
        </w:rPr>
        <w:t>.</w:t>
      </w:r>
    </w:p>
  </w:footnote>
  <w:footnote w:id="5">
    <w:p w14:paraId="57F0C687" w14:textId="73112F43" w:rsidR="00F17E77" w:rsidRPr="004F57F2" w:rsidRDefault="00F17E77" w:rsidP="00E8732D">
      <w:pPr>
        <w:pStyle w:val="Notedebasdepage"/>
        <w:ind w:firstLine="0"/>
        <w:rPr>
          <w:lang w:val="fr-CA"/>
        </w:rPr>
      </w:pPr>
      <w:r>
        <w:rPr>
          <w:rStyle w:val="Appelnotedebasdep"/>
        </w:rPr>
        <w:footnoteRef/>
      </w:r>
      <w:r w:rsidRPr="004F57F2">
        <w:rPr>
          <w:lang w:val="fr-CA"/>
        </w:rPr>
        <w:t xml:space="preserve"> </w:t>
      </w:r>
      <w:r w:rsidR="002E2D25">
        <w:rPr>
          <w:lang w:val="fr-CA"/>
        </w:rPr>
        <w:t>La note de la Secrétaire exécutive sur les scénarios de la Vision 2050 pour la diversité biologique (</w:t>
      </w:r>
      <w:r w:rsidRPr="004F57F2">
        <w:rPr>
          <w:lang w:val="fr-CA"/>
        </w:rPr>
        <w:t>CBD/SBSTTA/21/2</w:t>
      </w:r>
      <w:r w:rsidR="002E2D25">
        <w:rPr>
          <w:lang w:val="fr-CA"/>
        </w:rPr>
        <w:t>)</w:t>
      </w:r>
      <w:r w:rsidRPr="004F57F2">
        <w:rPr>
          <w:lang w:val="fr-CA"/>
        </w:rPr>
        <w:t xml:space="preserve"> examine le </w:t>
      </w:r>
      <w:r>
        <w:rPr>
          <w:lang w:val="fr-CA"/>
        </w:rPr>
        <w:t>rô</w:t>
      </w:r>
      <w:r w:rsidRPr="004F57F2">
        <w:rPr>
          <w:lang w:val="fr-CA"/>
        </w:rPr>
        <w:t xml:space="preserve">le décisionnel </w:t>
      </w:r>
      <w:r w:rsidR="002E2D25">
        <w:rPr>
          <w:lang w:val="fr-CA"/>
        </w:rPr>
        <w:t>relatif aux</w:t>
      </w:r>
      <w:r w:rsidRPr="004F57F2">
        <w:rPr>
          <w:lang w:val="fr-CA"/>
        </w:rPr>
        <w:t xml:space="preserve"> quatre types de scenarios décrits dans l’évaluation </w:t>
      </w:r>
      <w:r w:rsidR="002E41F3">
        <w:rPr>
          <w:lang w:val="fr-CA"/>
        </w:rPr>
        <w:t>réalisée</w:t>
      </w:r>
      <w:r w:rsidRPr="004F57F2">
        <w:rPr>
          <w:lang w:val="fr-CA"/>
        </w:rPr>
        <w:t xml:space="preserve"> par la Plateforme intergouvernementale scientifique et politique sur la biodiversité et les services écosystémiques. </w:t>
      </w:r>
    </w:p>
  </w:footnote>
  <w:footnote w:id="6">
    <w:p w14:paraId="4AFD1B88" w14:textId="05D826C4" w:rsidR="00F17E77" w:rsidRPr="004F57F2" w:rsidRDefault="00F17E77" w:rsidP="0019654F">
      <w:pPr>
        <w:pStyle w:val="Notedebasdepage"/>
        <w:keepLines w:val="0"/>
        <w:ind w:firstLine="0"/>
        <w:jc w:val="left"/>
        <w:rPr>
          <w:kern w:val="18"/>
          <w:lang w:val="fr-CA"/>
        </w:rPr>
      </w:pPr>
      <w:r w:rsidRPr="001F2542">
        <w:rPr>
          <w:rStyle w:val="Appelnotedebasdep"/>
          <w:rFonts w:eastAsiaTheme="majorEastAsia"/>
          <w:kern w:val="18"/>
        </w:rPr>
        <w:footnoteRef/>
      </w:r>
      <w:r w:rsidRPr="004F57F2">
        <w:rPr>
          <w:kern w:val="18"/>
          <w:lang w:val="fr-CA"/>
        </w:rPr>
        <w:t xml:space="preserve"> Voir https://www.ipbes.net/deliverables/3c-scenarios-and-modelling et CBD/SBSTTA/21/INF/18</w:t>
      </w:r>
    </w:p>
  </w:footnote>
  <w:footnote w:id="7">
    <w:p w14:paraId="6B161F39" w14:textId="7A7D9BB7" w:rsidR="00F17E77" w:rsidRPr="00850B98" w:rsidRDefault="00F17E77" w:rsidP="00E8732D">
      <w:pPr>
        <w:pStyle w:val="Notedebasdepage"/>
        <w:ind w:firstLine="0"/>
        <w:rPr>
          <w:lang w:val="fr-CA"/>
        </w:rPr>
      </w:pPr>
      <w:r>
        <w:rPr>
          <w:rStyle w:val="Appelnotedebasdep"/>
        </w:rPr>
        <w:footnoteRef/>
      </w:r>
      <w:r w:rsidRPr="00850B98">
        <w:rPr>
          <w:lang w:val="fr-CA"/>
        </w:rPr>
        <w:t xml:space="preserve"> Les résumés </w:t>
      </w:r>
      <w:r>
        <w:rPr>
          <w:lang w:val="fr-CA"/>
        </w:rPr>
        <w:t>à l’intention des décideurs des cinq évaluations sont publiés sur le site</w:t>
      </w:r>
      <w:r w:rsidRPr="00850B98">
        <w:rPr>
          <w:lang w:val="fr-CA"/>
        </w:rPr>
        <w:t xml:space="preserve"> https://www.ipbes.net/outcomes</w:t>
      </w:r>
    </w:p>
  </w:footnote>
  <w:footnote w:id="8">
    <w:p w14:paraId="4AB8C059" w14:textId="446A4638" w:rsidR="00F17E77" w:rsidRPr="00850B98" w:rsidRDefault="00F17E77" w:rsidP="00E8732D">
      <w:pPr>
        <w:pStyle w:val="Notedebasdepage"/>
        <w:ind w:firstLine="0"/>
        <w:rPr>
          <w:lang w:val="fr-CA"/>
        </w:rPr>
      </w:pPr>
      <w:r>
        <w:rPr>
          <w:rStyle w:val="Appelnotedebasdep"/>
        </w:rPr>
        <w:footnoteRef/>
      </w:r>
      <w:r w:rsidRPr="00850B98">
        <w:rPr>
          <w:lang w:val="fr-CA"/>
        </w:rPr>
        <w:t xml:space="preserve"> Évaluation scientifique actualisé</w:t>
      </w:r>
      <w:r>
        <w:rPr>
          <w:lang w:val="fr-CA"/>
        </w:rPr>
        <w:t>e</w:t>
      </w:r>
      <w:r w:rsidRPr="00850B98">
        <w:rPr>
          <w:lang w:val="fr-CA"/>
        </w:rPr>
        <w:t xml:space="preserve"> des </w:t>
      </w:r>
      <w:r>
        <w:rPr>
          <w:lang w:val="fr-CA"/>
        </w:rPr>
        <w:t>progrès</w:t>
      </w:r>
      <w:r w:rsidRPr="00850B98">
        <w:rPr>
          <w:lang w:val="fr-CA"/>
        </w:rPr>
        <w:t xml:space="preserve"> </w:t>
      </w:r>
      <w:r>
        <w:rPr>
          <w:lang w:val="fr-CA"/>
        </w:rPr>
        <w:t>en vue de la réalisati</w:t>
      </w:r>
      <w:r w:rsidR="00C43D7C">
        <w:rPr>
          <w:lang w:val="fr-CA"/>
        </w:rPr>
        <w:t>on d’O</w:t>
      </w:r>
      <w:r w:rsidRPr="00850B98">
        <w:rPr>
          <w:lang w:val="fr-CA"/>
        </w:rPr>
        <w:t xml:space="preserve">bjectifs d’Aichi </w:t>
      </w:r>
      <w:r w:rsidR="00C43D7C">
        <w:rPr>
          <w:lang w:val="fr-CA"/>
        </w:rPr>
        <w:t>relatifs à</w:t>
      </w:r>
      <w:r w:rsidRPr="00850B98">
        <w:rPr>
          <w:lang w:val="fr-CA"/>
        </w:rPr>
        <w:t xml:space="preserve"> la diversité biologique précis et moyens d’accélérer les progr</w:t>
      </w:r>
      <w:r>
        <w:rPr>
          <w:lang w:val="fr-CA"/>
        </w:rPr>
        <w:t>ès. Voir</w:t>
      </w:r>
      <w:r w:rsidRPr="00850B98">
        <w:rPr>
          <w:lang w:val="fr-CA"/>
        </w:rPr>
        <w:t xml:space="preserve"> CBD/SBSTTA/22/5.</w:t>
      </w:r>
    </w:p>
  </w:footnote>
  <w:footnote w:id="9">
    <w:p w14:paraId="2CB7ECE0" w14:textId="5B638B80" w:rsidR="00F17E77" w:rsidRPr="00A60D97" w:rsidRDefault="00F17E77" w:rsidP="00E8732D">
      <w:pPr>
        <w:pStyle w:val="Notedebasdepage"/>
        <w:ind w:firstLine="0"/>
        <w:rPr>
          <w:lang w:val="fr-CA"/>
        </w:rPr>
      </w:pPr>
      <w:r w:rsidRPr="00755D52">
        <w:rPr>
          <w:rStyle w:val="Appelnotedebasdep"/>
        </w:rPr>
        <w:footnoteRef/>
      </w:r>
      <w:r w:rsidRPr="00A60D97">
        <w:rPr>
          <w:lang w:val="fr-CA"/>
        </w:rPr>
        <w:t xml:space="preserve"> </w:t>
      </w:r>
      <w:r w:rsidRPr="00A60D97">
        <w:rPr>
          <w:szCs w:val="18"/>
          <w:lang w:val="fr-CA"/>
        </w:rPr>
        <w:t xml:space="preserve">La version intégrale du plan de renforcement des capacités </w:t>
      </w:r>
      <w:r>
        <w:rPr>
          <w:szCs w:val="18"/>
          <w:lang w:val="fr-CA"/>
        </w:rPr>
        <w:t xml:space="preserve">à horizon mobile de la Plateforme intergouvernementale scientifique et politique sur la biodiversité et les services écosystémiques est présentée dans le document </w:t>
      </w:r>
      <w:r w:rsidRPr="00A60D97">
        <w:rPr>
          <w:szCs w:val="18"/>
          <w:lang w:val="fr-CA"/>
        </w:rPr>
        <w:t>IPBES/5/INF/3</w:t>
      </w:r>
      <w:r>
        <w:rPr>
          <w:szCs w:val="18"/>
          <w:lang w:val="fr-CA"/>
        </w:rPr>
        <w:t xml:space="preserve">; le sommaire analytique est joint </w:t>
      </w:r>
      <w:r w:rsidR="00DE3E96">
        <w:rPr>
          <w:szCs w:val="18"/>
          <w:lang w:val="fr-CA"/>
        </w:rPr>
        <w:t>à l’annexe I</w:t>
      </w:r>
      <w:r>
        <w:rPr>
          <w:szCs w:val="18"/>
          <w:lang w:val="fr-CA"/>
        </w:rPr>
        <w:t xml:space="preserve"> à la décision</w:t>
      </w:r>
      <w:r w:rsidRPr="00A60D97">
        <w:rPr>
          <w:szCs w:val="18"/>
          <w:lang w:val="fr-CA"/>
        </w:rPr>
        <w:t xml:space="preserve"> IPBES-5/1.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00B32355" w14:textId="77777777" w:rsidR="00F17E77" w:rsidRDefault="00F17E77" w:rsidP="005440A6">
        <w:pPr>
          <w:pStyle w:val="En-tte"/>
          <w:tabs>
            <w:tab w:val="clear" w:pos="4320"/>
            <w:tab w:val="clear" w:pos="8640"/>
          </w:tabs>
          <w:jc w:val="left"/>
          <w:rPr>
            <w:noProof/>
            <w:kern w:val="22"/>
          </w:rPr>
        </w:pPr>
        <w:r>
          <w:rPr>
            <w:noProof/>
            <w:kern w:val="22"/>
            <w:lang w:val="en-US"/>
          </w:rPr>
          <w:t>CBD/SBSTTA/22/11</w:t>
        </w:r>
      </w:p>
    </w:sdtContent>
  </w:sdt>
  <w:p w14:paraId="735F2CE6" w14:textId="77777777" w:rsidR="00F17E77" w:rsidRPr="005440A6" w:rsidRDefault="00F17E77" w:rsidP="005440A6">
    <w:pPr>
      <w:pStyle w:val="En-tte"/>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03312E">
      <w:rPr>
        <w:noProof/>
        <w:kern w:val="22"/>
      </w:rPr>
      <w:t>12</w:t>
    </w:r>
    <w:r w:rsidRPr="005440A6">
      <w:rPr>
        <w:noProof/>
        <w:kern w:val="22"/>
      </w:rPr>
      <w:fldChar w:fldCharType="end"/>
    </w:r>
  </w:p>
  <w:p w14:paraId="254A562A" w14:textId="77777777" w:rsidR="00F17E77" w:rsidRPr="005440A6" w:rsidRDefault="00F17E77" w:rsidP="005440A6">
    <w:pPr>
      <w:pStyle w:val="En-tte"/>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1792F378" w14:textId="77777777" w:rsidR="00F17E77" w:rsidRPr="005440A6" w:rsidRDefault="00F17E77" w:rsidP="00BE45DE">
        <w:pPr>
          <w:pStyle w:val="En-tte"/>
          <w:tabs>
            <w:tab w:val="clear" w:pos="4320"/>
            <w:tab w:val="clear" w:pos="8640"/>
          </w:tabs>
          <w:jc w:val="right"/>
          <w:rPr>
            <w:noProof/>
            <w:kern w:val="22"/>
          </w:rPr>
        </w:pPr>
        <w:r>
          <w:rPr>
            <w:noProof/>
            <w:kern w:val="22"/>
            <w:lang w:val="en-US"/>
          </w:rPr>
          <w:t>CBD/SBSTTA/22/11</w:t>
        </w:r>
      </w:p>
    </w:sdtContent>
  </w:sdt>
  <w:p w14:paraId="7B930175" w14:textId="77777777" w:rsidR="00F17E77" w:rsidRPr="005440A6" w:rsidRDefault="00F17E77" w:rsidP="005440A6">
    <w:pPr>
      <w:pStyle w:val="En-tte"/>
      <w:tabs>
        <w:tab w:val="clear" w:pos="4320"/>
        <w:tab w:val="clear" w:pos="8640"/>
      </w:tab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03312E">
      <w:rPr>
        <w:noProof/>
        <w:kern w:val="22"/>
      </w:rPr>
      <w:t>13</w:t>
    </w:r>
    <w:r w:rsidRPr="005440A6">
      <w:rPr>
        <w:noProof/>
        <w:kern w:val="22"/>
      </w:rPr>
      <w:fldChar w:fldCharType="end"/>
    </w:r>
  </w:p>
  <w:p w14:paraId="51ABCE8D" w14:textId="77777777" w:rsidR="00F17E77" w:rsidRPr="005440A6" w:rsidRDefault="00F17E77" w:rsidP="005440A6">
    <w:pPr>
      <w:pStyle w:val="En-tte"/>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FAF"/>
    <w:multiLevelType w:val="hybridMultilevel"/>
    <w:tmpl w:val="312275DC"/>
    <w:lvl w:ilvl="0" w:tplc="E46CC4DC">
      <w:start w:val="1"/>
      <w:numFmt w:val="lowerLetter"/>
      <w:lvlText w:val="%1)"/>
      <w:lvlJc w:val="left"/>
      <w:pPr>
        <w:ind w:left="720" w:hanging="360"/>
      </w:pPr>
      <w:rPr>
        <w:rFonts w:asciiTheme="majorBidi" w:eastAsia="Times New Roman" w:hAnsiTheme="majorBid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7411"/>
    <w:multiLevelType w:val="hybridMultilevel"/>
    <w:tmpl w:val="CA664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0643E"/>
    <w:multiLevelType w:val="hybridMultilevel"/>
    <w:tmpl w:val="4E6ABF3E"/>
    <w:lvl w:ilvl="0" w:tplc="8DCC61BE">
      <w:start w:val="1"/>
      <w:numFmt w:val="decimal"/>
      <w:pStyle w:val="Normalnumber"/>
      <w:lvlText w:val="%1."/>
      <w:lvlJc w:val="left"/>
      <w:pPr>
        <w:ind w:left="720" w:hanging="360"/>
      </w:pPr>
    </w:lvl>
    <w:lvl w:ilvl="1" w:tplc="136C8672">
      <w:start w:val="1"/>
      <w:numFmt w:val="lowerLetter"/>
      <w:lvlText w:val="(%2)"/>
      <w:lvlJc w:val="left"/>
      <w:pPr>
        <w:ind w:left="1440" w:hanging="360"/>
      </w:pPr>
      <w:rPr>
        <w:rFonts w:ascii="Times New Roman" w:eastAsia="Times New Roman" w:hAnsi="Times New Roman" w:cs="Times New Roman"/>
      </w:rPr>
    </w:lvl>
    <w:lvl w:ilvl="2" w:tplc="2F0AFDF8">
      <w:start w:val="1"/>
      <w:numFmt w:val="lowerRoman"/>
      <w:lvlText w:val="%3)"/>
      <w:lvlJc w:val="right"/>
      <w:pPr>
        <w:ind w:left="2160" w:hanging="180"/>
      </w:pPr>
      <w:rPr>
        <w:rFonts w:ascii="Times New Roman" w:eastAsia="Times New Roman"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07A67"/>
    <w:multiLevelType w:val="hybridMultilevel"/>
    <w:tmpl w:val="2220A426"/>
    <w:lvl w:ilvl="0" w:tplc="BA8AD460">
      <w:start w:val="1"/>
      <w:numFmt w:val="lowerLetter"/>
      <w:lvlText w:val="%1)"/>
      <w:lvlJc w:val="left"/>
      <w:pPr>
        <w:ind w:left="2591" w:hanging="360"/>
      </w:pPr>
      <w:rPr>
        <w:rFonts w:ascii="Times New Roman" w:eastAsia="Times New Roman" w:hAnsi="Times New Roman" w:cs="Times New Roman"/>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8B74569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4F618C8"/>
    <w:multiLevelType w:val="singleLevel"/>
    <w:tmpl w:val="1F72CB74"/>
    <w:lvl w:ilvl="0">
      <w:start w:val="1"/>
      <w:numFmt w:val="decimal"/>
      <w:lvlRestart w:val="0"/>
      <w:lvlText w:val="%1."/>
      <w:lvlJc w:val="left"/>
      <w:pPr>
        <w:tabs>
          <w:tab w:val="num" w:pos="1742"/>
        </w:tabs>
        <w:ind w:left="1267" w:firstLine="0"/>
      </w:pPr>
      <w:rPr>
        <w:rFonts w:hint="default"/>
        <w:b w:val="0"/>
        <w:i w:val="0"/>
        <w:w w:val="100"/>
      </w:rPr>
    </w:lvl>
  </w:abstractNum>
  <w:abstractNum w:abstractNumId="10" w15:restartNumberingAfterBreak="0">
    <w:nsid w:val="56827643"/>
    <w:multiLevelType w:val="hybridMultilevel"/>
    <w:tmpl w:val="B04C0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10B2C"/>
    <w:multiLevelType w:val="hybridMultilevel"/>
    <w:tmpl w:val="9F5870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7B40EDA"/>
    <w:multiLevelType w:val="hybridMultilevel"/>
    <w:tmpl w:val="FF306848"/>
    <w:lvl w:ilvl="0" w:tplc="317CF0A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2"/>
  </w:num>
  <w:num w:numId="9">
    <w:abstractNumId w:val="3"/>
  </w:num>
  <w:num w:numId="10">
    <w:abstractNumId w:val="1"/>
  </w:num>
  <w:num w:numId="11">
    <w:abstractNumId w:val="0"/>
  </w:num>
  <w:num w:numId="12">
    <w:abstractNumId w:val="10"/>
  </w:num>
  <w:num w:numId="13">
    <w:abstractNumId w:val="9"/>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3B"/>
    <w:rsid w:val="00001402"/>
    <w:rsid w:val="00002947"/>
    <w:rsid w:val="00006882"/>
    <w:rsid w:val="0001520C"/>
    <w:rsid w:val="00016A8F"/>
    <w:rsid w:val="000219AC"/>
    <w:rsid w:val="00026E50"/>
    <w:rsid w:val="00031D24"/>
    <w:rsid w:val="00032CBD"/>
    <w:rsid w:val="0003312E"/>
    <w:rsid w:val="00036F38"/>
    <w:rsid w:val="00037873"/>
    <w:rsid w:val="00042394"/>
    <w:rsid w:val="000518FD"/>
    <w:rsid w:val="00052024"/>
    <w:rsid w:val="00054381"/>
    <w:rsid w:val="0005644B"/>
    <w:rsid w:val="00057AC8"/>
    <w:rsid w:val="0006411B"/>
    <w:rsid w:val="00064ED7"/>
    <w:rsid w:val="000711E1"/>
    <w:rsid w:val="000714BA"/>
    <w:rsid w:val="00073708"/>
    <w:rsid w:val="00075B47"/>
    <w:rsid w:val="000774E2"/>
    <w:rsid w:val="00091416"/>
    <w:rsid w:val="00096A7F"/>
    <w:rsid w:val="000A35ED"/>
    <w:rsid w:val="000B36FF"/>
    <w:rsid w:val="000B6DD4"/>
    <w:rsid w:val="000C1222"/>
    <w:rsid w:val="000C3A14"/>
    <w:rsid w:val="000D0CCE"/>
    <w:rsid w:val="000D67F9"/>
    <w:rsid w:val="000E2AC7"/>
    <w:rsid w:val="000E637D"/>
    <w:rsid w:val="000E6470"/>
    <w:rsid w:val="000E7E6A"/>
    <w:rsid w:val="000F17C7"/>
    <w:rsid w:val="000F3312"/>
    <w:rsid w:val="000F52B2"/>
    <w:rsid w:val="000F63AB"/>
    <w:rsid w:val="000F6E73"/>
    <w:rsid w:val="000F72FF"/>
    <w:rsid w:val="00100F9A"/>
    <w:rsid w:val="00106129"/>
    <w:rsid w:val="0011093A"/>
    <w:rsid w:val="0011306E"/>
    <w:rsid w:val="00114928"/>
    <w:rsid w:val="00116AB8"/>
    <w:rsid w:val="0012214B"/>
    <w:rsid w:val="001278B8"/>
    <w:rsid w:val="00132275"/>
    <w:rsid w:val="0013255F"/>
    <w:rsid w:val="00135C76"/>
    <w:rsid w:val="001439AB"/>
    <w:rsid w:val="00147D77"/>
    <w:rsid w:val="00153D15"/>
    <w:rsid w:val="00155EE1"/>
    <w:rsid w:val="0015655D"/>
    <w:rsid w:val="00156E88"/>
    <w:rsid w:val="0016189E"/>
    <w:rsid w:val="0016403C"/>
    <w:rsid w:val="00166367"/>
    <w:rsid w:val="00166A15"/>
    <w:rsid w:val="00167D16"/>
    <w:rsid w:val="00174F7A"/>
    <w:rsid w:val="00187413"/>
    <w:rsid w:val="00191E33"/>
    <w:rsid w:val="00192E06"/>
    <w:rsid w:val="00195E63"/>
    <w:rsid w:val="0019654F"/>
    <w:rsid w:val="00197F1D"/>
    <w:rsid w:val="001A5072"/>
    <w:rsid w:val="001A693A"/>
    <w:rsid w:val="001B3A4E"/>
    <w:rsid w:val="001B4B01"/>
    <w:rsid w:val="001C193F"/>
    <w:rsid w:val="001C3205"/>
    <w:rsid w:val="001C3352"/>
    <w:rsid w:val="001C6802"/>
    <w:rsid w:val="001D1175"/>
    <w:rsid w:val="001D701A"/>
    <w:rsid w:val="001E0331"/>
    <w:rsid w:val="001E5D72"/>
    <w:rsid w:val="001E7135"/>
    <w:rsid w:val="001F6379"/>
    <w:rsid w:val="002023AE"/>
    <w:rsid w:val="002024A4"/>
    <w:rsid w:val="00203B29"/>
    <w:rsid w:val="00204415"/>
    <w:rsid w:val="00207A6E"/>
    <w:rsid w:val="00216D35"/>
    <w:rsid w:val="00220048"/>
    <w:rsid w:val="00220097"/>
    <w:rsid w:val="00220266"/>
    <w:rsid w:val="00221410"/>
    <w:rsid w:val="002214CD"/>
    <w:rsid w:val="00222952"/>
    <w:rsid w:val="00223512"/>
    <w:rsid w:val="00224B92"/>
    <w:rsid w:val="00226182"/>
    <w:rsid w:val="002268EF"/>
    <w:rsid w:val="00227E93"/>
    <w:rsid w:val="002322DF"/>
    <w:rsid w:val="00233578"/>
    <w:rsid w:val="002357E1"/>
    <w:rsid w:val="00245D35"/>
    <w:rsid w:val="00252897"/>
    <w:rsid w:val="00256090"/>
    <w:rsid w:val="00257DF1"/>
    <w:rsid w:val="00270DD2"/>
    <w:rsid w:val="0027171C"/>
    <w:rsid w:val="00274F6F"/>
    <w:rsid w:val="00275F89"/>
    <w:rsid w:val="00277831"/>
    <w:rsid w:val="00277C97"/>
    <w:rsid w:val="00282D66"/>
    <w:rsid w:val="0028462B"/>
    <w:rsid w:val="0028558E"/>
    <w:rsid w:val="00290BBD"/>
    <w:rsid w:val="00291944"/>
    <w:rsid w:val="002B0942"/>
    <w:rsid w:val="002C4BDB"/>
    <w:rsid w:val="002C5CD3"/>
    <w:rsid w:val="002D0F48"/>
    <w:rsid w:val="002D1BF7"/>
    <w:rsid w:val="002E2D25"/>
    <w:rsid w:val="002E3F6F"/>
    <w:rsid w:val="002E41F3"/>
    <w:rsid w:val="002E773E"/>
    <w:rsid w:val="002F582B"/>
    <w:rsid w:val="00301B1D"/>
    <w:rsid w:val="00304287"/>
    <w:rsid w:val="00312428"/>
    <w:rsid w:val="00314E1E"/>
    <w:rsid w:val="003210FF"/>
    <w:rsid w:val="003255FE"/>
    <w:rsid w:val="00325DE3"/>
    <w:rsid w:val="003348BE"/>
    <w:rsid w:val="00336766"/>
    <w:rsid w:val="00344E86"/>
    <w:rsid w:val="00347F36"/>
    <w:rsid w:val="00351F67"/>
    <w:rsid w:val="003524BB"/>
    <w:rsid w:val="00355CEE"/>
    <w:rsid w:val="003571C7"/>
    <w:rsid w:val="00357F75"/>
    <w:rsid w:val="003618E0"/>
    <w:rsid w:val="003641F6"/>
    <w:rsid w:val="00367095"/>
    <w:rsid w:val="003770DE"/>
    <w:rsid w:val="0037762A"/>
    <w:rsid w:val="00391D33"/>
    <w:rsid w:val="003974EB"/>
    <w:rsid w:val="003A3E17"/>
    <w:rsid w:val="003A4B18"/>
    <w:rsid w:val="003A54BD"/>
    <w:rsid w:val="003A60D1"/>
    <w:rsid w:val="003B10B9"/>
    <w:rsid w:val="003B2BAA"/>
    <w:rsid w:val="003B461D"/>
    <w:rsid w:val="003B4FD3"/>
    <w:rsid w:val="003B7308"/>
    <w:rsid w:val="003C1046"/>
    <w:rsid w:val="003C113F"/>
    <w:rsid w:val="003C1A81"/>
    <w:rsid w:val="003C35F9"/>
    <w:rsid w:val="003D1C3D"/>
    <w:rsid w:val="003E00B0"/>
    <w:rsid w:val="003E1C6B"/>
    <w:rsid w:val="003E2646"/>
    <w:rsid w:val="003E2DAE"/>
    <w:rsid w:val="003E3329"/>
    <w:rsid w:val="003E3A6F"/>
    <w:rsid w:val="003E5673"/>
    <w:rsid w:val="003F056A"/>
    <w:rsid w:val="003F10C3"/>
    <w:rsid w:val="003F6E44"/>
    <w:rsid w:val="00401713"/>
    <w:rsid w:val="00403D59"/>
    <w:rsid w:val="0040430D"/>
    <w:rsid w:val="00406BC6"/>
    <w:rsid w:val="00426464"/>
    <w:rsid w:val="00427C70"/>
    <w:rsid w:val="00430B4B"/>
    <w:rsid w:val="004327F7"/>
    <w:rsid w:val="004363E0"/>
    <w:rsid w:val="0044424E"/>
    <w:rsid w:val="004448C7"/>
    <w:rsid w:val="00457539"/>
    <w:rsid w:val="0046305D"/>
    <w:rsid w:val="00473C9C"/>
    <w:rsid w:val="0047444F"/>
    <w:rsid w:val="0047497B"/>
    <w:rsid w:val="004763D5"/>
    <w:rsid w:val="00486A7D"/>
    <w:rsid w:val="00497964"/>
    <w:rsid w:val="004A159C"/>
    <w:rsid w:val="004B196B"/>
    <w:rsid w:val="004B2D21"/>
    <w:rsid w:val="004B597A"/>
    <w:rsid w:val="004C2EE1"/>
    <w:rsid w:val="004C418A"/>
    <w:rsid w:val="004C4E37"/>
    <w:rsid w:val="004C72C6"/>
    <w:rsid w:val="004E2C83"/>
    <w:rsid w:val="004E5A64"/>
    <w:rsid w:val="004E6078"/>
    <w:rsid w:val="004E6D5E"/>
    <w:rsid w:val="004E7893"/>
    <w:rsid w:val="004F0523"/>
    <w:rsid w:val="004F57F2"/>
    <w:rsid w:val="004F7B8A"/>
    <w:rsid w:val="004F7BDC"/>
    <w:rsid w:val="00500530"/>
    <w:rsid w:val="005032C9"/>
    <w:rsid w:val="00503A32"/>
    <w:rsid w:val="00507602"/>
    <w:rsid w:val="00516198"/>
    <w:rsid w:val="00516C26"/>
    <w:rsid w:val="005304CF"/>
    <w:rsid w:val="00534492"/>
    <w:rsid w:val="00537873"/>
    <w:rsid w:val="00540276"/>
    <w:rsid w:val="00540797"/>
    <w:rsid w:val="005426D9"/>
    <w:rsid w:val="005440A6"/>
    <w:rsid w:val="00551F77"/>
    <w:rsid w:val="005551EE"/>
    <w:rsid w:val="00561403"/>
    <w:rsid w:val="0056486D"/>
    <w:rsid w:val="00566572"/>
    <w:rsid w:val="005759A9"/>
    <w:rsid w:val="005804BA"/>
    <w:rsid w:val="00582567"/>
    <w:rsid w:val="005830AC"/>
    <w:rsid w:val="005864A8"/>
    <w:rsid w:val="00593C8A"/>
    <w:rsid w:val="005955D2"/>
    <w:rsid w:val="005A0491"/>
    <w:rsid w:val="005A3FCF"/>
    <w:rsid w:val="005A4284"/>
    <w:rsid w:val="005A7866"/>
    <w:rsid w:val="005B37E7"/>
    <w:rsid w:val="005B41D5"/>
    <w:rsid w:val="005B44D0"/>
    <w:rsid w:val="005B6DC6"/>
    <w:rsid w:val="005C09E7"/>
    <w:rsid w:val="005C0A1D"/>
    <w:rsid w:val="005C1481"/>
    <w:rsid w:val="005C3F77"/>
    <w:rsid w:val="005C5BFE"/>
    <w:rsid w:val="005C5CDC"/>
    <w:rsid w:val="005D139C"/>
    <w:rsid w:val="005E7CFF"/>
    <w:rsid w:val="005F4C74"/>
    <w:rsid w:val="0060056F"/>
    <w:rsid w:val="006025C5"/>
    <w:rsid w:val="0060409D"/>
    <w:rsid w:val="0061216B"/>
    <w:rsid w:val="00612D06"/>
    <w:rsid w:val="00612F12"/>
    <w:rsid w:val="006136A9"/>
    <w:rsid w:val="0061537A"/>
    <w:rsid w:val="006204CC"/>
    <w:rsid w:val="006260D5"/>
    <w:rsid w:val="00630867"/>
    <w:rsid w:val="006335A3"/>
    <w:rsid w:val="00635777"/>
    <w:rsid w:val="00640EB8"/>
    <w:rsid w:val="00642297"/>
    <w:rsid w:val="006448CA"/>
    <w:rsid w:val="006507F2"/>
    <w:rsid w:val="00655498"/>
    <w:rsid w:val="0066011C"/>
    <w:rsid w:val="00660CC8"/>
    <w:rsid w:val="00670501"/>
    <w:rsid w:val="00676E37"/>
    <w:rsid w:val="006811D6"/>
    <w:rsid w:val="00682029"/>
    <w:rsid w:val="00682AD5"/>
    <w:rsid w:val="00684503"/>
    <w:rsid w:val="006857DC"/>
    <w:rsid w:val="00690847"/>
    <w:rsid w:val="00695800"/>
    <w:rsid w:val="006A1E7C"/>
    <w:rsid w:val="006A1F1A"/>
    <w:rsid w:val="006B000E"/>
    <w:rsid w:val="006B074E"/>
    <w:rsid w:val="006B093D"/>
    <w:rsid w:val="006B2BD5"/>
    <w:rsid w:val="006B5E4F"/>
    <w:rsid w:val="006C6F74"/>
    <w:rsid w:val="006D0E3D"/>
    <w:rsid w:val="006D3461"/>
    <w:rsid w:val="006D3730"/>
    <w:rsid w:val="006F284C"/>
    <w:rsid w:val="006F7227"/>
    <w:rsid w:val="00701E61"/>
    <w:rsid w:val="00702366"/>
    <w:rsid w:val="00702FDE"/>
    <w:rsid w:val="0070591C"/>
    <w:rsid w:val="00710C0E"/>
    <w:rsid w:val="00715581"/>
    <w:rsid w:val="00715971"/>
    <w:rsid w:val="007163BC"/>
    <w:rsid w:val="007173D3"/>
    <w:rsid w:val="00730AE3"/>
    <w:rsid w:val="0073286E"/>
    <w:rsid w:val="007359FE"/>
    <w:rsid w:val="00735E62"/>
    <w:rsid w:val="00736B7A"/>
    <w:rsid w:val="00736BC2"/>
    <w:rsid w:val="00737AD9"/>
    <w:rsid w:val="007414C0"/>
    <w:rsid w:val="00747E45"/>
    <w:rsid w:val="00752CD8"/>
    <w:rsid w:val="0075393C"/>
    <w:rsid w:val="00760842"/>
    <w:rsid w:val="007626FE"/>
    <w:rsid w:val="00766978"/>
    <w:rsid w:val="0077004B"/>
    <w:rsid w:val="00775814"/>
    <w:rsid w:val="00781A80"/>
    <w:rsid w:val="0079325E"/>
    <w:rsid w:val="007945D5"/>
    <w:rsid w:val="007A4CE1"/>
    <w:rsid w:val="007A79B9"/>
    <w:rsid w:val="007B1587"/>
    <w:rsid w:val="007B2980"/>
    <w:rsid w:val="007B4220"/>
    <w:rsid w:val="007C0648"/>
    <w:rsid w:val="007C5285"/>
    <w:rsid w:val="007C633B"/>
    <w:rsid w:val="007D2EF6"/>
    <w:rsid w:val="007D3182"/>
    <w:rsid w:val="007D354F"/>
    <w:rsid w:val="007D456F"/>
    <w:rsid w:val="007D6C99"/>
    <w:rsid w:val="007E3903"/>
    <w:rsid w:val="007E4B08"/>
    <w:rsid w:val="0080363E"/>
    <w:rsid w:val="0081189B"/>
    <w:rsid w:val="00811AD5"/>
    <w:rsid w:val="00821390"/>
    <w:rsid w:val="00822B58"/>
    <w:rsid w:val="00825524"/>
    <w:rsid w:val="00826AFC"/>
    <w:rsid w:val="0083211E"/>
    <w:rsid w:val="00832D09"/>
    <w:rsid w:val="008357D4"/>
    <w:rsid w:val="00844BB5"/>
    <w:rsid w:val="00845F70"/>
    <w:rsid w:val="00847801"/>
    <w:rsid w:val="00850B98"/>
    <w:rsid w:val="00853F10"/>
    <w:rsid w:val="008547FC"/>
    <w:rsid w:val="0085547E"/>
    <w:rsid w:val="00862D81"/>
    <w:rsid w:val="00864BCD"/>
    <w:rsid w:val="00865878"/>
    <w:rsid w:val="00870659"/>
    <w:rsid w:val="008707FF"/>
    <w:rsid w:val="00870D40"/>
    <w:rsid w:val="0088112B"/>
    <w:rsid w:val="00883768"/>
    <w:rsid w:val="00895A34"/>
    <w:rsid w:val="008A002D"/>
    <w:rsid w:val="008A0051"/>
    <w:rsid w:val="008A3061"/>
    <w:rsid w:val="008A7E26"/>
    <w:rsid w:val="008B34ED"/>
    <w:rsid w:val="008C013C"/>
    <w:rsid w:val="008C114B"/>
    <w:rsid w:val="008C1E35"/>
    <w:rsid w:val="008C346B"/>
    <w:rsid w:val="008D2FDC"/>
    <w:rsid w:val="008D493E"/>
    <w:rsid w:val="008D5AA2"/>
    <w:rsid w:val="008E0AD6"/>
    <w:rsid w:val="008E135A"/>
    <w:rsid w:val="008E4B6E"/>
    <w:rsid w:val="008E57F4"/>
    <w:rsid w:val="008E5F84"/>
    <w:rsid w:val="008E6385"/>
    <w:rsid w:val="008E7500"/>
    <w:rsid w:val="008F09C3"/>
    <w:rsid w:val="008F3B26"/>
    <w:rsid w:val="008F6FBF"/>
    <w:rsid w:val="008F75AB"/>
    <w:rsid w:val="00901E2D"/>
    <w:rsid w:val="009067F8"/>
    <w:rsid w:val="00907134"/>
    <w:rsid w:val="009104C7"/>
    <w:rsid w:val="00910891"/>
    <w:rsid w:val="00910A7C"/>
    <w:rsid w:val="00911C3C"/>
    <w:rsid w:val="0091436E"/>
    <w:rsid w:val="0091709C"/>
    <w:rsid w:val="009201AD"/>
    <w:rsid w:val="00922EAD"/>
    <w:rsid w:val="009270F0"/>
    <w:rsid w:val="0092794B"/>
    <w:rsid w:val="00927AAA"/>
    <w:rsid w:val="00930CE7"/>
    <w:rsid w:val="0093192D"/>
    <w:rsid w:val="00932F23"/>
    <w:rsid w:val="00933705"/>
    <w:rsid w:val="00937BAC"/>
    <w:rsid w:val="00940FB4"/>
    <w:rsid w:val="00947578"/>
    <w:rsid w:val="00947584"/>
    <w:rsid w:val="00952C0C"/>
    <w:rsid w:val="00953856"/>
    <w:rsid w:val="00954568"/>
    <w:rsid w:val="009554D5"/>
    <w:rsid w:val="009604E0"/>
    <w:rsid w:val="0096359D"/>
    <w:rsid w:val="009722E9"/>
    <w:rsid w:val="009728ED"/>
    <w:rsid w:val="00984082"/>
    <w:rsid w:val="00994A39"/>
    <w:rsid w:val="00997684"/>
    <w:rsid w:val="009A46E7"/>
    <w:rsid w:val="009B09B2"/>
    <w:rsid w:val="009B0A20"/>
    <w:rsid w:val="009B18A5"/>
    <w:rsid w:val="009B2E1A"/>
    <w:rsid w:val="009B3D1C"/>
    <w:rsid w:val="009B5996"/>
    <w:rsid w:val="009B5E1D"/>
    <w:rsid w:val="009C0D46"/>
    <w:rsid w:val="009C4A09"/>
    <w:rsid w:val="009D1EE8"/>
    <w:rsid w:val="009D2F92"/>
    <w:rsid w:val="009D5D8D"/>
    <w:rsid w:val="009E0C8B"/>
    <w:rsid w:val="009E2B79"/>
    <w:rsid w:val="009E3B3A"/>
    <w:rsid w:val="009E7296"/>
    <w:rsid w:val="009F43F8"/>
    <w:rsid w:val="00A0325B"/>
    <w:rsid w:val="00A04FF3"/>
    <w:rsid w:val="00A05020"/>
    <w:rsid w:val="00A07E23"/>
    <w:rsid w:val="00A10051"/>
    <w:rsid w:val="00A1072A"/>
    <w:rsid w:val="00A130B2"/>
    <w:rsid w:val="00A20F36"/>
    <w:rsid w:val="00A30DAD"/>
    <w:rsid w:val="00A3227C"/>
    <w:rsid w:val="00A33352"/>
    <w:rsid w:val="00A470A7"/>
    <w:rsid w:val="00A52332"/>
    <w:rsid w:val="00A52EBF"/>
    <w:rsid w:val="00A56847"/>
    <w:rsid w:val="00A60D97"/>
    <w:rsid w:val="00A61246"/>
    <w:rsid w:val="00A7424D"/>
    <w:rsid w:val="00A81C6D"/>
    <w:rsid w:val="00A82341"/>
    <w:rsid w:val="00A82E18"/>
    <w:rsid w:val="00A85291"/>
    <w:rsid w:val="00A90A22"/>
    <w:rsid w:val="00AA014E"/>
    <w:rsid w:val="00AB07C1"/>
    <w:rsid w:val="00AB49D8"/>
    <w:rsid w:val="00AC1E69"/>
    <w:rsid w:val="00AC1FAC"/>
    <w:rsid w:val="00AC485E"/>
    <w:rsid w:val="00AD5572"/>
    <w:rsid w:val="00AD79A6"/>
    <w:rsid w:val="00AD7CD2"/>
    <w:rsid w:val="00AE1319"/>
    <w:rsid w:val="00AF0F45"/>
    <w:rsid w:val="00AF3EA1"/>
    <w:rsid w:val="00AF635A"/>
    <w:rsid w:val="00B007F1"/>
    <w:rsid w:val="00B029CE"/>
    <w:rsid w:val="00B039A5"/>
    <w:rsid w:val="00B047BF"/>
    <w:rsid w:val="00B121A8"/>
    <w:rsid w:val="00B12E4C"/>
    <w:rsid w:val="00B13C45"/>
    <w:rsid w:val="00B21067"/>
    <w:rsid w:val="00B271A0"/>
    <w:rsid w:val="00B3025E"/>
    <w:rsid w:val="00B308A7"/>
    <w:rsid w:val="00B3299A"/>
    <w:rsid w:val="00B365DD"/>
    <w:rsid w:val="00B40019"/>
    <w:rsid w:val="00B42992"/>
    <w:rsid w:val="00B45EAD"/>
    <w:rsid w:val="00B516B6"/>
    <w:rsid w:val="00B531CB"/>
    <w:rsid w:val="00B54C07"/>
    <w:rsid w:val="00B564D7"/>
    <w:rsid w:val="00B56B11"/>
    <w:rsid w:val="00B5744A"/>
    <w:rsid w:val="00B63707"/>
    <w:rsid w:val="00B662FF"/>
    <w:rsid w:val="00B6695D"/>
    <w:rsid w:val="00B67240"/>
    <w:rsid w:val="00B679A7"/>
    <w:rsid w:val="00B70462"/>
    <w:rsid w:val="00B75821"/>
    <w:rsid w:val="00B85F9B"/>
    <w:rsid w:val="00B97A56"/>
    <w:rsid w:val="00B97D2E"/>
    <w:rsid w:val="00BA1498"/>
    <w:rsid w:val="00BA3233"/>
    <w:rsid w:val="00BB1B56"/>
    <w:rsid w:val="00BB42CE"/>
    <w:rsid w:val="00BB653E"/>
    <w:rsid w:val="00BC58A1"/>
    <w:rsid w:val="00BC6828"/>
    <w:rsid w:val="00BD7295"/>
    <w:rsid w:val="00BE29FB"/>
    <w:rsid w:val="00BE37A4"/>
    <w:rsid w:val="00BE45DE"/>
    <w:rsid w:val="00BE764F"/>
    <w:rsid w:val="00C0027F"/>
    <w:rsid w:val="00C03C8E"/>
    <w:rsid w:val="00C05456"/>
    <w:rsid w:val="00C06A3B"/>
    <w:rsid w:val="00C06A72"/>
    <w:rsid w:val="00C076A9"/>
    <w:rsid w:val="00C15AE3"/>
    <w:rsid w:val="00C15BBB"/>
    <w:rsid w:val="00C21052"/>
    <w:rsid w:val="00C21FF1"/>
    <w:rsid w:val="00C23FAC"/>
    <w:rsid w:val="00C26DB3"/>
    <w:rsid w:val="00C31FC0"/>
    <w:rsid w:val="00C3292B"/>
    <w:rsid w:val="00C339B9"/>
    <w:rsid w:val="00C37FF1"/>
    <w:rsid w:val="00C40969"/>
    <w:rsid w:val="00C42AFF"/>
    <w:rsid w:val="00C431FB"/>
    <w:rsid w:val="00C43D7C"/>
    <w:rsid w:val="00C44385"/>
    <w:rsid w:val="00C47325"/>
    <w:rsid w:val="00C507CD"/>
    <w:rsid w:val="00C72C31"/>
    <w:rsid w:val="00C734E7"/>
    <w:rsid w:val="00C73DAC"/>
    <w:rsid w:val="00C82383"/>
    <w:rsid w:val="00C83ADC"/>
    <w:rsid w:val="00C85EA4"/>
    <w:rsid w:val="00C870FE"/>
    <w:rsid w:val="00C877AD"/>
    <w:rsid w:val="00C912FE"/>
    <w:rsid w:val="00C9136F"/>
    <w:rsid w:val="00C94BEB"/>
    <w:rsid w:val="00C97512"/>
    <w:rsid w:val="00CA1572"/>
    <w:rsid w:val="00CA40DE"/>
    <w:rsid w:val="00CA45FB"/>
    <w:rsid w:val="00CA6AAD"/>
    <w:rsid w:val="00CA6B87"/>
    <w:rsid w:val="00CB02C9"/>
    <w:rsid w:val="00CB32DA"/>
    <w:rsid w:val="00CC2031"/>
    <w:rsid w:val="00CC414E"/>
    <w:rsid w:val="00CC56A6"/>
    <w:rsid w:val="00CD271B"/>
    <w:rsid w:val="00CD4154"/>
    <w:rsid w:val="00CD7580"/>
    <w:rsid w:val="00CE1D6B"/>
    <w:rsid w:val="00CE1EE5"/>
    <w:rsid w:val="00CE21E7"/>
    <w:rsid w:val="00CE51C3"/>
    <w:rsid w:val="00CF13DD"/>
    <w:rsid w:val="00CF4F69"/>
    <w:rsid w:val="00CF7820"/>
    <w:rsid w:val="00D110C7"/>
    <w:rsid w:val="00D1411A"/>
    <w:rsid w:val="00D15589"/>
    <w:rsid w:val="00D22AE8"/>
    <w:rsid w:val="00D2308E"/>
    <w:rsid w:val="00D23752"/>
    <w:rsid w:val="00D237C2"/>
    <w:rsid w:val="00D24E92"/>
    <w:rsid w:val="00D25453"/>
    <w:rsid w:val="00D31E41"/>
    <w:rsid w:val="00D3242F"/>
    <w:rsid w:val="00D3404D"/>
    <w:rsid w:val="00D3575C"/>
    <w:rsid w:val="00D36959"/>
    <w:rsid w:val="00D432AD"/>
    <w:rsid w:val="00D43698"/>
    <w:rsid w:val="00D44393"/>
    <w:rsid w:val="00D4440A"/>
    <w:rsid w:val="00D44ACC"/>
    <w:rsid w:val="00D44F95"/>
    <w:rsid w:val="00D46CF5"/>
    <w:rsid w:val="00D4797F"/>
    <w:rsid w:val="00D51069"/>
    <w:rsid w:val="00D53CB9"/>
    <w:rsid w:val="00D54340"/>
    <w:rsid w:val="00D73B56"/>
    <w:rsid w:val="00D73C73"/>
    <w:rsid w:val="00D81568"/>
    <w:rsid w:val="00D9010A"/>
    <w:rsid w:val="00D91557"/>
    <w:rsid w:val="00D94C57"/>
    <w:rsid w:val="00D9537D"/>
    <w:rsid w:val="00D959B3"/>
    <w:rsid w:val="00DA1081"/>
    <w:rsid w:val="00DA19C4"/>
    <w:rsid w:val="00DA2166"/>
    <w:rsid w:val="00DB02AC"/>
    <w:rsid w:val="00DB0D6A"/>
    <w:rsid w:val="00DB236B"/>
    <w:rsid w:val="00DC2C46"/>
    <w:rsid w:val="00DD52CC"/>
    <w:rsid w:val="00DE308B"/>
    <w:rsid w:val="00DE3E96"/>
    <w:rsid w:val="00DF1C44"/>
    <w:rsid w:val="00DF2836"/>
    <w:rsid w:val="00DF311C"/>
    <w:rsid w:val="00DF4FD1"/>
    <w:rsid w:val="00DF6515"/>
    <w:rsid w:val="00DF6C1E"/>
    <w:rsid w:val="00E00656"/>
    <w:rsid w:val="00E05B48"/>
    <w:rsid w:val="00E104C8"/>
    <w:rsid w:val="00E11446"/>
    <w:rsid w:val="00E12C8F"/>
    <w:rsid w:val="00E14902"/>
    <w:rsid w:val="00E15D91"/>
    <w:rsid w:val="00E239D9"/>
    <w:rsid w:val="00E26EFB"/>
    <w:rsid w:val="00E32177"/>
    <w:rsid w:val="00E3267A"/>
    <w:rsid w:val="00E37440"/>
    <w:rsid w:val="00E37A7A"/>
    <w:rsid w:val="00E46A21"/>
    <w:rsid w:val="00E4754F"/>
    <w:rsid w:val="00E47630"/>
    <w:rsid w:val="00E51420"/>
    <w:rsid w:val="00E5171D"/>
    <w:rsid w:val="00E51936"/>
    <w:rsid w:val="00E55B3B"/>
    <w:rsid w:val="00E55E91"/>
    <w:rsid w:val="00E62C21"/>
    <w:rsid w:val="00E651A9"/>
    <w:rsid w:val="00E6616D"/>
    <w:rsid w:val="00E72AA5"/>
    <w:rsid w:val="00E73562"/>
    <w:rsid w:val="00E76643"/>
    <w:rsid w:val="00E80107"/>
    <w:rsid w:val="00E8732D"/>
    <w:rsid w:val="00E8732E"/>
    <w:rsid w:val="00E87F4C"/>
    <w:rsid w:val="00E920F6"/>
    <w:rsid w:val="00E92C82"/>
    <w:rsid w:val="00EA7525"/>
    <w:rsid w:val="00EC0891"/>
    <w:rsid w:val="00EC0ACC"/>
    <w:rsid w:val="00EC2441"/>
    <w:rsid w:val="00ED3D55"/>
    <w:rsid w:val="00ED3E8B"/>
    <w:rsid w:val="00ED3FAC"/>
    <w:rsid w:val="00EE4261"/>
    <w:rsid w:val="00EE47D0"/>
    <w:rsid w:val="00EE4BC7"/>
    <w:rsid w:val="00EE51DB"/>
    <w:rsid w:val="00EF3973"/>
    <w:rsid w:val="00EF6314"/>
    <w:rsid w:val="00F01823"/>
    <w:rsid w:val="00F02C0B"/>
    <w:rsid w:val="00F03CEC"/>
    <w:rsid w:val="00F06C1D"/>
    <w:rsid w:val="00F13DC0"/>
    <w:rsid w:val="00F14485"/>
    <w:rsid w:val="00F16F02"/>
    <w:rsid w:val="00F17E77"/>
    <w:rsid w:val="00F2636D"/>
    <w:rsid w:val="00F26A60"/>
    <w:rsid w:val="00F34852"/>
    <w:rsid w:val="00F465B6"/>
    <w:rsid w:val="00F503F1"/>
    <w:rsid w:val="00F50EC1"/>
    <w:rsid w:val="00F53C42"/>
    <w:rsid w:val="00F57942"/>
    <w:rsid w:val="00F62C45"/>
    <w:rsid w:val="00F63D9D"/>
    <w:rsid w:val="00F64CB9"/>
    <w:rsid w:val="00F67181"/>
    <w:rsid w:val="00F7067E"/>
    <w:rsid w:val="00F74DCF"/>
    <w:rsid w:val="00F75CD3"/>
    <w:rsid w:val="00F77628"/>
    <w:rsid w:val="00F838DD"/>
    <w:rsid w:val="00F87FD5"/>
    <w:rsid w:val="00F9156B"/>
    <w:rsid w:val="00F91790"/>
    <w:rsid w:val="00F92CBB"/>
    <w:rsid w:val="00F93252"/>
    <w:rsid w:val="00FA31E7"/>
    <w:rsid w:val="00FA7EDE"/>
    <w:rsid w:val="00FB0D1D"/>
    <w:rsid w:val="00FB3B70"/>
    <w:rsid w:val="00FC196B"/>
    <w:rsid w:val="00FC2768"/>
    <w:rsid w:val="00FC3A1C"/>
    <w:rsid w:val="00FC6159"/>
    <w:rsid w:val="00FD061C"/>
    <w:rsid w:val="00FD1D02"/>
    <w:rsid w:val="00FD3028"/>
    <w:rsid w:val="00FD68A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D8389"/>
  <w15:docId w15:val="{806D3DAF-29C3-4BA8-9B7F-B976DFDD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98"/>
    <w:pPr>
      <w:jc w:val="both"/>
    </w:pPr>
    <w:rPr>
      <w:sz w:val="22"/>
      <w:szCs w:val="24"/>
      <w:lang w:val="en-GB"/>
    </w:rPr>
  </w:style>
  <w:style w:type="paragraph" w:styleId="Titre1">
    <w:name w:val="heading 1"/>
    <w:basedOn w:val="Normal"/>
    <w:next w:val="Titre2"/>
    <w:qFormat/>
    <w:pPr>
      <w:keepNext/>
      <w:tabs>
        <w:tab w:val="left" w:pos="720"/>
      </w:tabs>
      <w:spacing w:before="240" w:after="120"/>
      <w:jc w:val="center"/>
      <w:outlineLvl w:val="0"/>
    </w:pPr>
    <w:rPr>
      <w:b/>
      <w:caps/>
    </w:rPr>
  </w:style>
  <w:style w:type="paragraph" w:styleId="Titre2">
    <w:name w:val="heading 2"/>
    <w:basedOn w:val="Normal"/>
    <w:next w:val="Normal"/>
    <w:qFormat/>
    <w:rsid w:val="00E55B3B"/>
    <w:pPr>
      <w:keepNext/>
      <w:tabs>
        <w:tab w:val="left" w:pos="720"/>
      </w:tabs>
      <w:spacing w:before="120" w:after="120"/>
      <w:jc w:val="center"/>
      <w:outlineLvl w:val="1"/>
    </w:pPr>
    <w:rPr>
      <w:b/>
      <w:bCs/>
      <w:iCs/>
    </w:rPr>
  </w:style>
  <w:style w:type="paragraph" w:styleId="Titre3">
    <w:name w:val="heading 3"/>
    <w:basedOn w:val="Normal"/>
    <w:next w:val="Normal"/>
    <w:qFormat/>
    <w:pPr>
      <w:keepNext/>
      <w:tabs>
        <w:tab w:val="left" w:pos="567"/>
      </w:tabs>
      <w:spacing w:before="120" w:after="120"/>
      <w:jc w:val="center"/>
      <w:outlineLvl w:val="2"/>
    </w:pPr>
    <w:rPr>
      <w:i/>
      <w:iCs/>
    </w:rPr>
  </w:style>
  <w:style w:type="paragraph" w:styleId="Titre4">
    <w:name w:val="heading 4"/>
    <w:basedOn w:val="Normal"/>
    <w:qFormat/>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qFormat/>
    <w:pPr>
      <w:keepNext/>
      <w:numPr>
        <w:ilvl w:val="4"/>
        <w:numId w:val="1"/>
      </w:numPr>
      <w:spacing w:before="120" w:after="120"/>
      <w:jc w:val="left"/>
      <w:outlineLvl w:val="4"/>
    </w:pPr>
    <w:rPr>
      <w:bCs/>
      <w:i/>
      <w:szCs w:val="26"/>
      <w:lang w:val="en-CA"/>
    </w:rPr>
  </w:style>
  <w:style w:type="paragraph" w:styleId="Titre6">
    <w:name w:val="heading 6"/>
    <w:basedOn w:val="Normal"/>
    <w:next w:val="Normal"/>
    <w:qFormat/>
    <w:pPr>
      <w:keepNext/>
      <w:spacing w:after="240" w:line="240" w:lineRule="exact"/>
      <w:ind w:left="720"/>
      <w:outlineLvl w:val="5"/>
    </w:pPr>
    <w:rPr>
      <w:u w:val="single"/>
    </w:rPr>
  </w:style>
  <w:style w:type="paragraph" w:styleId="Titre7">
    <w:name w:val="heading 7"/>
    <w:basedOn w:val="Normal"/>
    <w:next w:val="Normal"/>
    <w:qFormat/>
    <w:pPr>
      <w:keepNext/>
      <w:jc w:val="right"/>
      <w:outlineLvl w:val="6"/>
    </w:pPr>
    <w:rPr>
      <w:rFonts w:ascii="Univers" w:hAnsi="Univers"/>
      <w:b/>
      <w:sz w:val="28"/>
    </w:rPr>
  </w:style>
  <w:style w:type="paragraph" w:styleId="Titre8">
    <w:name w:val="heading 8"/>
    <w:basedOn w:val="Normal"/>
    <w:next w:val="Normal"/>
    <w:qFormat/>
    <w:pPr>
      <w:keepNext/>
      <w:jc w:val="right"/>
      <w:outlineLvl w:val="7"/>
    </w:pPr>
    <w:rPr>
      <w:rFonts w:ascii="Univers" w:hAnsi="Univers"/>
      <w:b/>
      <w:sz w:val="32"/>
    </w:rPr>
  </w:style>
  <w:style w:type="paragraph" w:styleId="Titre9">
    <w:name w:val="heading 9"/>
    <w:basedOn w:val="Normal"/>
    <w:next w:val="Normal"/>
    <w:qFormat/>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pPr>
      <w:keepLines/>
      <w:spacing w:after="60"/>
      <w:ind w:firstLine="720"/>
    </w:pPr>
    <w:rPr>
      <w:sz w:val="18"/>
    </w:rPr>
  </w:style>
  <w:style w:type="paragraph" w:styleId="Corpsdetexte">
    <w:name w:val="Body Text"/>
    <w:aliases w:val=" Car,Car"/>
    <w:basedOn w:val="Normal"/>
    <w:link w:val="CorpsdetexteCar"/>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uiPriority w:val="99"/>
    <w:rPr>
      <w:sz w:val="16"/>
    </w:rPr>
  </w:style>
  <w:style w:type="paragraph" w:styleId="Commentaire">
    <w:name w:val="annotation text"/>
    <w:basedOn w:val="Normal"/>
    <w:link w:val="CommentaireCar"/>
    <w:uiPriority w:val="99"/>
    <w:semiHidden/>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5804BA"/>
    <w:rPr>
      <w:sz w:val="22"/>
      <w:u w:val="none"/>
      <w:vertAlign w:val="superscript"/>
    </w:rPr>
  </w:style>
  <w:style w:type="paragraph" w:styleId="Retraitcorpsdetexte">
    <w:name w:val="Body Text Indent"/>
    <w:basedOn w:val="Normal"/>
    <w:pPr>
      <w:spacing w:before="120" w:after="120"/>
      <w:ind w:left="1440" w:hanging="720"/>
      <w:jc w:val="left"/>
    </w:pPr>
  </w:style>
  <w:style w:type="character" w:styleId="Numrodepage">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4"/>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pPr>
      <w:spacing w:before="120"/>
    </w:pPr>
    <w:rPr>
      <w:rFonts w:cs="Arial"/>
      <w:b/>
      <w:bCs/>
      <w:sz w:val="24"/>
    </w:rPr>
  </w:style>
  <w:style w:type="paragraph" w:styleId="TM9">
    <w:name w:val="toc 9"/>
    <w:basedOn w:val="Normal"/>
    <w:next w:val="Normal"/>
    <w:autoRedefine/>
    <w:pPr>
      <w:spacing w:before="120" w:after="120"/>
      <w:ind w:left="1760"/>
      <w:jc w:val="left"/>
    </w:pPr>
  </w:style>
  <w:style w:type="paragraph" w:styleId="TM1">
    <w:name w:val="toc 1"/>
    <w:basedOn w:val="Normal"/>
    <w:next w:val="Normal"/>
    <w:autoRedefine/>
    <w:semiHidden/>
    <w:pPr>
      <w:ind w:left="720" w:hanging="720"/>
    </w:pPr>
    <w:rPr>
      <w:caps/>
    </w:rPr>
  </w:style>
  <w:style w:type="paragraph" w:styleId="TM2">
    <w:name w:val="toc 2"/>
    <w:basedOn w:val="Normal"/>
    <w:next w:val="Normal"/>
    <w:autoRedefine/>
    <w:semiHidden/>
    <w:pPr>
      <w:tabs>
        <w:tab w:val="right" w:leader="dot" w:pos="9356"/>
      </w:tabs>
      <w:ind w:left="1440" w:hanging="720"/>
    </w:pPr>
    <w:rPr>
      <w:noProof/>
      <w:szCs w:val="22"/>
    </w:rPr>
  </w:style>
  <w:style w:type="paragraph" w:styleId="TM3">
    <w:name w:val="toc 3"/>
    <w:basedOn w:val="Normal"/>
    <w:next w:val="Normal"/>
    <w:autoRedefine/>
    <w:semiHidden/>
    <w:pPr>
      <w:ind w:left="2160" w:hanging="720"/>
    </w:pPr>
  </w:style>
  <w:style w:type="paragraph" w:styleId="TM4">
    <w:name w:val="toc 4"/>
    <w:basedOn w:val="Normal"/>
    <w:next w:val="Normal"/>
    <w:autoRedefine/>
    <w:semiHidden/>
    <w:pPr>
      <w:spacing w:before="120" w:after="120"/>
      <w:ind w:left="660"/>
      <w:jc w:val="left"/>
    </w:pPr>
  </w:style>
  <w:style w:type="paragraph" w:styleId="TM5">
    <w:name w:val="toc 5"/>
    <w:basedOn w:val="Normal"/>
    <w:next w:val="Normal"/>
    <w:autoRedefine/>
    <w:semiHidden/>
    <w:pPr>
      <w:spacing w:before="120" w:after="120"/>
      <w:ind w:left="880"/>
      <w:jc w:val="left"/>
    </w:pPr>
  </w:style>
  <w:style w:type="paragraph" w:styleId="TM6">
    <w:name w:val="toc 6"/>
    <w:basedOn w:val="Normal"/>
    <w:next w:val="Normal"/>
    <w:autoRedefine/>
    <w:semiHidden/>
    <w:pPr>
      <w:spacing w:before="120" w:after="120"/>
      <w:ind w:left="1100"/>
      <w:jc w:val="left"/>
    </w:pPr>
  </w:style>
  <w:style w:type="paragraph" w:styleId="TM7">
    <w:name w:val="toc 7"/>
    <w:basedOn w:val="Normal"/>
    <w:next w:val="Normal"/>
    <w:autoRedefine/>
    <w:semiHidden/>
    <w:pPr>
      <w:spacing w:before="120" w:after="120"/>
      <w:ind w:left="1320"/>
      <w:jc w:val="left"/>
    </w:pPr>
  </w:style>
  <w:style w:type="paragraph" w:styleId="TM8">
    <w:name w:val="toc 8"/>
    <w:basedOn w:val="Normal"/>
    <w:next w:val="Normal"/>
    <w:autoRedefine/>
    <w:semiHidden/>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Pr>
      <w:color w:val="800080"/>
      <w:u w:val="single"/>
    </w:rPr>
  </w:style>
  <w:style w:type="paragraph" w:customStyle="1" w:styleId="Style1">
    <w:name w:val="Style1"/>
    <w:basedOn w:val="Titre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unhideWhenUsed/>
    <w:rsid w:val="00406BC6"/>
    <w:rPr>
      <w:color w:val="0000FF"/>
      <w:u w:val="single"/>
    </w:rPr>
  </w:style>
  <w:style w:type="character" w:styleId="Appeldenotedefin">
    <w:name w:val="endnote reference"/>
    <w:semiHidden/>
    <w:rPr>
      <w:vertAlign w:val="superscript"/>
    </w:rPr>
  </w:style>
  <w:style w:type="paragraph" w:styleId="Notedefin">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Titre1"/>
    <w:pPr>
      <w:ind w:left="1843" w:hanging="1134"/>
      <w:jc w:val="left"/>
    </w:pPr>
  </w:style>
  <w:style w:type="paragraph" w:customStyle="1" w:styleId="Heading1multiline">
    <w:name w:val="Heading 1 (multiline)"/>
    <w:basedOn w:val="Titre1"/>
    <w:pPr>
      <w:ind w:left="1843" w:right="996" w:hanging="567"/>
      <w:jc w:val="left"/>
    </w:pPr>
  </w:style>
  <w:style w:type="paragraph" w:customStyle="1" w:styleId="Heading2multiline">
    <w:name w:val="Heading 2 (multiline)"/>
    <w:basedOn w:val="Titre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06BC6"/>
    <w:rPr>
      <w:rFonts w:ascii="Tahoma" w:hAnsi="Tahoma" w:cs="Tahoma"/>
      <w:sz w:val="16"/>
      <w:szCs w:val="16"/>
    </w:rPr>
  </w:style>
  <w:style w:type="character" w:customStyle="1" w:styleId="TextedebullesCar">
    <w:name w:val="Texte de bulles Car"/>
    <w:link w:val="Textedebulles"/>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sz w:val="20"/>
      <w:szCs w:val="20"/>
    </w:rPr>
  </w:style>
  <w:style w:type="character" w:customStyle="1" w:styleId="CommentaireCar">
    <w:name w:val="Commentaire Car"/>
    <w:link w:val="Commentaire"/>
    <w:uiPriority w:val="99"/>
    <w:semiHidden/>
    <w:rsid w:val="00D9537D"/>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67"/>
    <w:rsid w:val="00073708"/>
    <w:rPr>
      <w:color w:val="808080"/>
    </w:rPr>
  </w:style>
  <w:style w:type="paragraph" w:styleId="Paragraphedeliste">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440A"/>
    <w:pPr>
      <w:spacing w:before="100" w:beforeAutospacing="1" w:after="100" w:afterAutospacing="1"/>
      <w:jc w:val="left"/>
    </w:pPr>
    <w:rPr>
      <w:rFonts w:ascii="Times" w:hAnsi="Times"/>
      <w:sz w:val="20"/>
      <w:szCs w:val="20"/>
      <w:lang w:val="en-CA"/>
    </w:rPr>
  </w:style>
  <w:style w:type="character" w:styleId="lev">
    <w:name w:val="Strong"/>
    <w:basedOn w:val="Policepardfaut"/>
    <w:uiPriority w:val="22"/>
    <w:qFormat/>
    <w:rsid w:val="004F7BDC"/>
    <w:rPr>
      <w:b/>
      <w:bCs/>
    </w:rPr>
  </w:style>
  <w:style w:type="paragraph" w:customStyle="1" w:styleId="Default">
    <w:name w:val="Default"/>
    <w:rsid w:val="00F53C42"/>
    <w:pPr>
      <w:autoSpaceDE w:val="0"/>
      <w:autoSpaceDN w:val="0"/>
      <w:adjustRightInd w:val="0"/>
    </w:pPr>
    <w:rPr>
      <w:color w:val="000000"/>
      <w:sz w:val="24"/>
      <w:szCs w:val="24"/>
      <w:lang w:val="en-US"/>
    </w:rPr>
  </w:style>
  <w:style w:type="character" w:customStyle="1" w:styleId="CorpsdetexteCar">
    <w:name w:val="Corps de texte Car"/>
    <w:aliases w:val=" Car Car,Car Car"/>
    <w:link w:val="Corpsdetexte"/>
    <w:rsid w:val="001278B8"/>
    <w:rPr>
      <w:iCs/>
      <w:sz w:val="22"/>
      <w:szCs w:val="24"/>
      <w:lang w:val="en-GB"/>
    </w:rPr>
  </w:style>
  <w:style w:type="paragraph" w:customStyle="1" w:styleId="Para1-Annex">
    <w:name w:val="Para1-Annex"/>
    <w:basedOn w:val="Normal"/>
    <w:rsid w:val="00C06A72"/>
    <w:pPr>
      <w:numPr>
        <w:numId w:val="5"/>
      </w:numPr>
      <w:spacing w:before="120" w:after="120"/>
    </w:pPr>
  </w:style>
  <w:style w:type="character" w:customStyle="1" w:styleId="Para1Char">
    <w:name w:val="Para1 Char"/>
    <w:link w:val="Para1"/>
    <w:rsid w:val="00C06A72"/>
    <w:rPr>
      <w:snapToGrid w:val="0"/>
      <w:sz w:val="22"/>
      <w:szCs w:val="18"/>
      <w:lang w:val="en-GB"/>
    </w:rPr>
  </w:style>
  <w:style w:type="paragraph" w:customStyle="1" w:styleId="H1">
    <w:name w:val="_ H_1"/>
    <w:basedOn w:val="Normal"/>
    <w:next w:val="SingleTxt"/>
    <w:rsid w:val="007A4CE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jc w:val="left"/>
      <w:outlineLvl w:val="0"/>
    </w:pPr>
    <w:rPr>
      <w:b/>
      <w:spacing w:val="4"/>
      <w:w w:val="103"/>
      <w:kern w:val="14"/>
      <w:sz w:val="24"/>
      <w:szCs w:val="20"/>
      <w:lang w:val="en-CA" w:eastAsia="en-CA"/>
    </w:rPr>
  </w:style>
  <w:style w:type="paragraph" w:customStyle="1" w:styleId="HCh">
    <w:name w:val="_ H _Ch"/>
    <w:basedOn w:val="H1"/>
    <w:next w:val="SingleTxt"/>
    <w:rsid w:val="007A4CE1"/>
    <w:pPr>
      <w:spacing w:line="300" w:lineRule="exact"/>
      <w:ind w:left="0" w:right="0" w:firstLine="0"/>
    </w:pPr>
    <w:rPr>
      <w:spacing w:val="-2"/>
      <w:sz w:val="28"/>
    </w:rPr>
  </w:style>
  <w:style w:type="paragraph" w:customStyle="1" w:styleId="SingleTxt">
    <w:name w:val="__Single Txt"/>
    <w:basedOn w:val="Normal"/>
    <w:rsid w:val="007A4CE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left"/>
    </w:pPr>
    <w:rPr>
      <w:spacing w:val="4"/>
      <w:w w:val="103"/>
      <w:kern w:val="14"/>
      <w:sz w:val="20"/>
      <w:szCs w:val="20"/>
      <w:lang w:val="en-CA" w:eastAsia="en-CA"/>
    </w:rPr>
  </w:style>
  <w:style w:type="paragraph" w:customStyle="1" w:styleId="Normal-pool">
    <w:name w:val="Normal-pool"/>
    <w:link w:val="Normal-poolChar"/>
    <w:qFormat/>
    <w:rsid w:val="007A4CE1"/>
    <w:pPr>
      <w:tabs>
        <w:tab w:val="left" w:pos="1247"/>
        <w:tab w:val="left" w:pos="1814"/>
        <w:tab w:val="left" w:pos="2381"/>
        <w:tab w:val="left" w:pos="2948"/>
        <w:tab w:val="left" w:pos="3515"/>
        <w:tab w:val="left" w:pos="4082"/>
      </w:tabs>
    </w:pPr>
    <w:rPr>
      <w:lang w:val="en-GB"/>
    </w:rPr>
  </w:style>
  <w:style w:type="paragraph" w:customStyle="1" w:styleId="Normalnumber">
    <w:name w:val="Normal_number"/>
    <w:basedOn w:val="Normal"/>
    <w:link w:val="NormalnumberChar"/>
    <w:qFormat/>
    <w:rsid w:val="007A4CE1"/>
    <w:pPr>
      <w:numPr>
        <w:numId w:val="7"/>
      </w:numPr>
      <w:tabs>
        <w:tab w:val="left" w:pos="624"/>
        <w:tab w:val="left" w:pos="1247"/>
        <w:tab w:val="left" w:pos="1871"/>
        <w:tab w:val="left" w:pos="2495"/>
      </w:tabs>
      <w:spacing w:after="120"/>
      <w:jc w:val="left"/>
    </w:pPr>
    <w:rPr>
      <w:sz w:val="20"/>
      <w:szCs w:val="20"/>
    </w:rPr>
  </w:style>
  <w:style w:type="character" w:customStyle="1" w:styleId="Normal-poolChar">
    <w:name w:val="Normal-pool Char"/>
    <w:link w:val="Normal-pool"/>
    <w:rsid w:val="007A4CE1"/>
    <w:rPr>
      <w:lang w:val="en-GB"/>
    </w:rPr>
  </w:style>
  <w:style w:type="character" w:customStyle="1" w:styleId="NormalnumberChar">
    <w:name w:val="Normal_number Char"/>
    <w:link w:val="Normalnumber"/>
    <w:rsid w:val="007A4CE1"/>
    <w:rPr>
      <w:lang w:val="en-GB"/>
    </w:rPr>
  </w:style>
  <w:style w:type="paragraph" w:customStyle="1" w:styleId="BBTitle">
    <w:name w:val="BB_Title"/>
    <w:basedOn w:val="Normal"/>
    <w:rsid w:val="00EF3973"/>
    <w:pPr>
      <w:keepNext/>
      <w:keepLines/>
      <w:tabs>
        <w:tab w:val="left" w:pos="1247"/>
        <w:tab w:val="left" w:pos="1814"/>
        <w:tab w:val="left" w:pos="2381"/>
        <w:tab w:val="left" w:pos="2948"/>
        <w:tab w:val="left" w:pos="3515"/>
        <w:tab w:val="left" w:pos="4082"/>
      </w:tabs>
      <w:suppressAutoHyphens/>
      <w:spacing w:before="320" w:after="240"/>
      <w:ind w:left="1247" w:right="567"/>
      <w:jc w:val="left"/>
    </w:pPr>
    <w:rPr>
      <w:b/>
      <w:sz w:val="28"/>
      <w:szCs w:val="28"/>
    </w:rPr>
  </w:style>
  <w:style w:type="character" w:styleId="Accentuation">
    <w:name w:val="Emphasis"/>
    <w:basedOn w:val="Policepardfaut"/>
    <w:uiPriority w:val="20"/>
    <w:qFormat/>
    <w:rsid w:val="00C72C31"/>
    <w:rPr>
      <w:i/>
      <w:iCs/>
    </w:rPr>
  </w:style>
  <w:style w:type="character" w:styleId="VariableHTML">
    <w:name w:val="HTML Variable"/>
    <w:basedOn w:val="Policepardfaut"/>
    <w:uiPriority w:val="99"/>
    <w:semiHidden/>
    <w:unhideWhenUsed/>
    <w:rsid w:val="00135C76"/>
    <w:rPr>
      <w:i/>
      <w:iCs/>
    </w:rPr>
  </w:style>
  <w:style w:type="paragraph" w:customStyle="1" w:styleId="StylePara1HeadingsCSTimesNewRoman">
    <w:name w:val="Style Para1 + +Headings CS (Times New Roman)"/>
    <w:basedOn w:val="Para1"/>
    <w:rsid w:val="005804BA"/>
    <w:pPr>
      <w:tabs>
        <w:tab w:val="clear" w:pos="360"/>
      </w:tabs>
    </w:pPr>
    <w:rPr>
      <w:rFonts w:asciiTheme="majorBidi" w:hAnsiTheme="majorBidi"/>
    </w:rPr>
  </w:style>
  <w:style w:type="character" w:customStyle="1" w:styleId="UnresolvedMention1">
    <w:name w:val="Unresolved Mention1"/>
    <w:basedOn w:val="Policepardfaut"/>
    <w:uiPriority w:val="99"/>
    <w:semiHidden/>
    <w:unhideWhenUsed/>
    <w:rsid w:val="005804BA"/>
    <w:rPr>
      <w:color w:val="808080"/>
      <w:shd w:val="clear" w:color="auto" w:fill="E6E6E6"/>
    </w:rPr>
  </w:style>
  <w:style w:type="character" w:customStyle="1" w:styleId="UnresolvedMention">
    <w:name w:val="Unresolved Mention"/>
    <w:basedOn w:val="Policepardfaut"/>
    <w:uiPriority w:val="99"/>
    <w:semiHidden/>
    <w:unhideWhenUsed/>
    <w:rsid w:val="00AC1F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3395">
      <w:bodyDiv w:val="1"/>
      <w:marLeft w:val="0"/>
      <w:marRight w:val="0"/>
      <w:marTop w:val="0"/>
      <w:marBottom w:val="0"/>
      <w:divBdr>
        <w:top w:val="none" w:sz="0" w:space="0" w:color="auto"/>
        <w:left w:val="none" w:sz="0" w:space="0" w:color="auto"/>
        <w:bottom w:val="none" w:sz="0" w:space="0" w:color="auto"/>
        <w:right w:val="none" w:sz="0" w:space="0" w:color="auto"/>
      </w:divBdr>
      <w:divsChild>
        <w:div w:id="1830292354">
          <w:marLeft w:val="0"/>
          <w:marRight w:val="0"/>
          <w:marTop w:val="0"/>
          <w:marBottom w:val="0"/>
          <w:divBdr>
            <w:top w:val="none" w:sz="0" w:space="0" w:color="auto"/>
            <w:left w:val="none" w:sz="0" w:space="0" w:color="auto"/>
            <w:bottom w:val="none" w:sz="0" w:space="0" w:color="auto"/>
            <w:right w:val="none" w:sz="0" w:space="0" w:color="auto"/>
          </w:divBdr>
          <w:divsChild>
            <w:div w:id="447355618">
              <w:marLeft w:val="0"/>
              <w:marRight w:val="0"/>
              <w:marTop w:val="0"/>
              <w:marBottom w:val="0"/>
              <w:divBdr>
                <w:top w:val="none" w:sz="0" w:space="0" w:color="auto"/>
                <w:left w:val="none" w:sz="0" w:space="0" w:color="auto"/>
                <w:bottom w:val="none" w:sz="0" w:space="0" w:color="auto"/>
                <w:right w:val="none" w:sz="0" w:space="0" w:color="auto"/>
              </w:divBdr>
              <w:divsChild>
                <w:div w:id="237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047">
      <w:bodyDiv w:val="1"/>
      <w:marLeft w:val="0"/>
      <w:marRight w:val="0"/>
      <w:marTop w:val="0"/>
      <w:marBottom w:val="0"/>
      <w:divBdr>
        <w:top w:val="none" w:sz="0" w:space="0" w:color="auto"/>
        <w:left w:val="none" w:sz="0" w:space="0" w:color="auto"/>
        <w:bottom w:val="none" w:sz="0" w:space="0" w:color="auto"/>
        <w:right w:val="none" w:sz="0" w:space="0" w:color="auto"/>
      </w:divBdr>
    </w:div>
    <w:div w:id="282810875">
      <w:bodyDiv w:val="1"/>
      <w:marLeft w:val="0"/>
      <w:marRight w:val="0"/>
      <w:marTop w:val="0"/>
      <w:marBottom w:val="0"/>
      <w:divBdr>
        <w:top w:val="none" w:sz="0" w:space="0" w:color="auto"/>
        <w:left w:val="none" w:sz="0" w:space="0" w:color="auto"/>
        <w:bottom w:val="none" w:sz="0" w:space="0" w:color="auto"/>
        <w:right w:val="none" w:sz="0" w:space="0" w:color="auto"/>
      </w:divBdr>
      <w:divsChild>
        <w:div w:id="1156798874">
          <w:marLeft w:val="0"/>
          <w:marRight w:val="0"/>
          <w:marTop w:val="0"/>
          <w:marBottom w:val="0"/>
          <w:divBdr>
            <w:top w:val="none" w:sz="0" w:space="0" w:color="auto"/>
            <w:left w:val="none" w:sz="0" w:space="0" w:color="auto"/>
            <w:bottom w:val="none" w:sz="0" w:space="0" w:color="auto"/>
            <w:right w:val="none" w:sz="0" w:space="0" w:color="auto"/>
          </w:divBdr>
          <w:divsChild>
            <w:div w:id="1881430931">
              <w:marLeft w:val="0"/>
              <w:marRight w:val="0"/>
              <w:marTop w:val="0"/>
              <w:marBottom w:val="0"/>
              <w:divBdr>
                <w:top w:val="none" w:sz="0" w:space="0" w:color="auto"/>
                <w:left w:val="none" w:sz="0" w:space="0" w:color="auto"/>
                <w:bottom w:val="none" w:sz="0" w:space="0" w:color="auto"/>
                <w:right w:val="none" w:sz="0" w:space="0" w:color="auto"/>
              </w:divBdr>
              <w:divsChild>
                <w:div w:id="2595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69002">
      <w:bodyDiv w:val="1"/>
      <w:marLeft w:val="0"/>
      <w:marRight w:val="0"/>
      <w:marTop w:val="0"/>
      <w:marBottom w:val="0"/>
      <w:divBdr>
        <w:top w:val="none" w:sz="0" w:space="0" w:color="auto"/>
        <w:left w:val="none" w:sz="0" w:space="0" w:color="auto"/>
        <w:bottom w:val="none" w:sz="0" w:space="0" w:color="auto"/>
        <w:right w:val="none" w:sz="0" w:space="0" w:color="auto"/>
      </w:divBdr>
      <w:divsChild>
        <w:div w:id="1130397292">
          <w:marLeft w:val="0"/>
          <w:marRight w:val="0"/>
          <w:marTop w:val="105"/>
          <w:marBottom w:val="105"/>
          <w:divBdr>
            <w:top w:val="none" w:sz="0" w:space="0" w:color="auto"/>
            <w:left w:val="none" w:sz="0" w:space="0" w:color="auto"/>
            <w:bottom w:val="none" w:sz="0" w:space="0" w:color="auto"/>
            <w:right w:val="none" w:sz="0" w:space="0" w:color="auto"/>
          </w:divBdr>
          <w:divsChild>
            <w:div w:id="297733115">
              <w:marLeft w:val="0"/>
              <w:marRight w:val="0"/>
              <w:marTop w:val="105"/>
              <w:marBottom w:val="105"/>
              <w:divBdr>
                <w:top w:val="none" w:sz="0" w:space="0" w:color="auto"/>
                <w:left w:val="none" w:sz="0" w:space="0" w:color="auto"/>
                <w:bottom w:val="none" w:sz="0" w:space="0" w:color="auto"/>
                <w:right w:val="none" w:sz="0" w:space="0" w:color="auto"/>
              </w:divBdr>
            </w:div>
            <w:div w:id="578246690">
              <w:marLeft w:val="0"/>
              <w:marRight w:val="0"/>
              <w:marTop w:val="105"/>
              <w:marBottom w:val="105"/>
              <w:divBdr>
                <w:top w:val="none" w:sz="0" w:space="0" w:color="auto"/>
                <w:left w:val="none" w:sz="0" w:space="0" w:color="auto"/>
                <w:bottom w:val="none" w:sz="0" w:space="0" w:color="auto"/>
                <w:right w:val="none" w:sz="0" w:space="0" w:color="auto"/>
              </w:divBdr>
            </w:div>
            <w:div w:id="877281152">
              <w:marLeft w:val="0"/>
              <w:marRight w:val="0"/>
              <w:marTop w:val="105"/>
              <w:marBottom w:val="105"/>
              <w:divBdr>
                <w:top w:val="none" w:sz="0" w:space="0" w:color="auto"/>
                <w:left w:val="none" w:sz="0" w:space="0" w:color="auto"/>
                <w:bottom w:val="none" w:sz="0" w:space="0" w:color="auto"/>
                <w:right w:val="none" w:sz="0" w:space="0" w:color="auto"/>
              </w:divBdr>
            </w:div>
            <w:div w:id="733478930">
              <w:marLeft w:val="0"/>
              <w:marRight w:val="0"/>
              <w:marTop w:val="105"/>
              <w:marBottom w:val="105"/>
              <w:divBdr>
                <w:top w:val="none" w:sz="0" w:space="0" w:color="auto"/>
                <w:left w:val="none" w:sz="0" w:space="0" w:color="auto"/>
                <w:bottom w:val="none" w:sz="0" w:space="0" w:color="auto"/>
                <w:right w:val="none" w:sz="0" w:space="0" w:color="auto"/>
              </w:divBdr>
            </w:div>
            <w:div w:id="1026561424">
              <w:marLeft w:val="0"/>
              <w:marRight w:val="0"/>
              <w:marTop w:val="105"/>
              <w:marBottom w:val="105"/>
              <w:divBdr>
                <w:top w:val="none" w:sz="0" w:space="0" w:color="auto"/>
                <w:left w:val="none" w:sz="0" w:space="0" w:color="auto"/>
                <w:bottom w:val="none" w:sz="0" w:space="0" w:color="auto"/>
                <w:right w:val="none" w:sz="0" w:space="0" w:color="auto"/>
              </w:divBdr>
            </w:div>
            <w:div w:id="1347709106">
              <w:marLeft w:val="0"/>
              <w:marRight w:val="0"/>
              <w:marTop w:val="105"/>
              <w:marBottom w:val="105"/>
              <w:divBdr>
                <w:top w:val="none" w:sz="0" w:space="0" w:color="auto"/>
                <w:left w:val="none" w:sz="0" w:space="0" w:color="auto"/>
                <w:bottom w:val="none" w:sz="0" w:space="0" w:color="auto"/>
                <w:right w:val="none" w:sz="0" w:space="0" w:color="auto"/>
              </w:divBdr>
            </w:div>
            <w:div w:id="753623488">
              <w:marLeft w:val="0"/>
              <w:marRight w:val="0"/>
              <w:marTop w:val="105"/>
              <w:marBottom w:val="105"/>
              <w:divBdr>
                <w:top w:val="none" w:sz="0" w:space="0" w:color="auto"/>
                <w:left w:val="none" w:sz="0" w:space="0" w:color="auto"/>
                <w:bottom w:val="none" w:sz="0" w:space="0" w:color="auto"/>
                <w:right w:val="none" w:sz="0" w:space="0" w:color="auto"/>
              </w:divBdr>
            </w:div>
            <w:div w:id="710542059">
              <w:marLeft w:val="0"/>
              <w:marRight w:val="0"/>
              <w:marTop w:val="105"/>
              <w:marBottom w:val="105"/>
              <w:divBdr>
                <w:top w:val="none" w:sz="0" w:space="0" w:color="auto"/>
                <w:left w:val="none" w:sz="0" w:space="0" w:color="auto"/>
                <w:bottom w:val="none" w:sz="0" w:space="0" w:color="auto"/>
                <w:right w:val="none" w:sz="0" w:space="0" w:color="auto"/>
              </w:divBdr>
            </w:div>
            <w:div w:id="216476674">
              <w:marLeft w:val="0"/>
              <w:marRight w:val="0"/>
              <w:marTop w:val="105"/>
              <w:marBottom w:val="105"/>
              <w:divBdr>
                <w:top w:val="none" w:sz="0" w:space="0" w:color="auto"/>
                <w:left w:val="none" w:sz="0" w:space="0" w:color="auto"/>
                <w:bottom w:val="none" w:sz="0" w:space="0" w:color="auto"/>
                <w:right w:val="none" w:sz="0" w:space="0" w:color="auto"/>
              </w:divBdr>
            </w:div>
            <w:div w:id="161205662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815073553">
      <w:bodyDiv w:val="1"/>
      <w:marLeft w:val="0"/>
      <w:marRight w:val="0"/>
      <w:marTop w:val="0"/>
      <w:marBottom w:val="0"/>
      <w:divBdr>
        <w:top w:val="none" w:sz="0" w:space="0" w:color="auto"/>
        <w:left w:val="none" w:sz="0" w:space="0" w:color="auto"/>
        <w:bottom w:val="none" w:sz="0" w:space="0" w:color="auto"/>
        <w:right w:val="none" w:sz="0" w:space="0" w:color="auto"/>
      </w:divBdr>
      <w:divsChild>
        <w:div w:id="1058743803">
          <w:marLeft w:val="0"/>
          <w:marRight w:val="0"/>
          <w:marTop w:val="0"/>
          <w:marBottom w:val="0"/>
          <w:divBdr>
            <w:top w:val="none" w:sz="0" w:space="0" w:color="auto"/>
            <w:left w:val="none" w:sz="0" w:space="0" w:color="auto"/>
            <w:bottom w:val="none" w:sz="0" w:space="0" w:color="auto"/>
            <w:right w:val="none" w:sz="0" w:space="0" w:color="auto"/>
          </w:divBdr>
          <w:divsChild>
            <w:div w:id="154103807">
              <w:marLeft w:val="0"/>
              <w:marRight w:val="0"/>
              <w:marTop w:val="0"/>
              <w:marBottom w:val="0"/>
              <w:divBdr>
                <w:top w:val="none" w:sz="0" w:space="0" w:color="auto"/>
                <w:left w:val="none" w:sz="0" w:space="0" w:color="auto"/>
                <w:bottom w:val="none" w:sz="0" w:space="0" w:color="auto"/>
                <w:right w:val="none" w:sz="0" w:space="0" w:color="auto"/>
              </w:divBdr>
              <w:divsChild>
                <w:div w:id="1751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0479">
      <w:bodyDiv w:val="1"/>
      <w:marLeft w:val="0"/>
      <w:marRight w:val="0"/>
      <w:marTop w:val="0"/>
      <w:marBottom w:val="0"/>
      <w:divBdr>
        <w:top w:val="none" w:sz="0" w:space="0" w:color="auto"/>
        <w:left w:val="none" w:sz="0" w:space="0" w:color="auto"/>
        <w:bottom w:val="none" w:sz="0" w:space="0" w:color="auto"/>
        <w:right w:val="none" w:sz="0" w:space="0" w:color="auto"/>
      </w:divBdr>
    </w:div>
    <w:div w:id="1125394445">
      <w:bodyDiv w:val="1"/>
      <w:marLeft w:val="0"/>
      <w:marRight w:val="0"/>
      <w:marTop w:val="0"/>
      <w:marBottom w:val="0"/>
      <w:divBdr>
        <w:top w:val="none" w:sz="0" w:space="0" w:color="auto"/>
        <w:left w:val="none" w:sz="0" w:space="0" w:color="auto"/>
        <w:bottom w:val="none" w:sz="0" w:space="0" w:color="auto"/>
        <w:right w:val="none" w:sz="0" w:space="0" w:color="auto"/>
      </w:divBdr>
      <w:divsChild>
        <w:div w:id="1991133363">
          <w:marLeft w:val="0"/>
          <w:marRight w:val="0"/>
          <w:marTop w:val="0"/>
          <w:marBottom w:val="0"/>
          <w:divBdr>
            <w:top w:val="none" w:sz="0" w:space="0" w:color="auto"/>
            <w:left w:val="none" w:sz="0" w:space="0" w:color="auto"/>
            <w:bottom w:val="none" w:sz="0" w:space="0" w:color="auto"/>
            <w:right w:val="none" w:sz="0" w:space="0" w:color="auto"/>
          </w:divBdr>
          <w:divsChild>
            <w:div w:id="1325743134">
              <w:marLeft w:val="0"/>
              <w:marRight w:val="60"/>
              <w:marTop w:val="0"/>
              <w:marBottom w:val="0"/>
              <w:divBdr>
                <w:top w:val="none" w:sz="0" w:space="0" w:color="auto"/>
                <w:left w:val="none" w:sz="0" w:space="0" w:color="auto"/>
                <w:bottom w:val="none" w:sz="0" w:space="0" w:color="auto"/>
                <w:right w:val="none" w:sz="0" w:space="0" w:color="auto"/>
              </w:divBdr>
              <w:divsChild>
                <w:div w:id="94598891">
                  <w:marLeft w:val="0"/>
                  <w:marRight w:val="0"/>
                  <w:marTop w:val="0"/>
                  <w:marBottom w:val="120"/>
                  <w:divBdr>
                    <w:top w:val="single" w:sz="6" w:space="0" w:color="C0C0C0"/>
                    <w:left w:val="single" w:sz="6" w:space="0" w:color="D9D9D9"/>
                    <w:bottom w:val="single" w:sz="6" w:space="0" w:color="D9D9D9"/>
                    <w:right w:val="single" w:sz="6" w:space="0" w:color="D9D9D9"/>
                  </w:divBdr>
                  <w:divsChild>
                    <w:div w:id="365760677">
                      <w:marLeft w:val="0"/>
                      <w:marRight w:val="0"/>
                      <w:marTop w:val="0"/>
                      <w:marBottom w:val="0"/>
                      <w:divBdr>
                        <w:top w:val="none" w:sz="0" w:space="0" w:color="auto"/>
                        <w:left w:val="none" w:sz="0" w:space="0" w:color="auto"/>
                        <w:bottom w:val="none" w:sz="0" w:space="0" w:color="auto"/>
                        <w:right w:val="none" w:sz="0" w:space="0" w:color="auto"/>
                      </w:divBdr>
                    </w:div>
                    <w:div w:id="6591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517">
          <w:marLeft w:val="0"/>
          <w:marRight w:val="0"/>
          <w:marTop w:val="0"/>
          <w:marBottom w:val="0"/>
          <w:divBdr>
            <w:top w:val="none" w:sz="0" w:space="0" w:color="auto"/>
            <w:left w:val="none" w:sz="0" w:space="0" w:color="auto"/>
            <w:bottom w:val="none" w:sz="0" w:space="0" w:color="auto"/>
            <w:right w:val="none" w:sz="0" w:space="0" w:color="auto"/>
          </w:divBdr>
          <w:divsChild>
            <w:div w:id="1846554560">
              <w:marLeft w:val="60"/>
              <w:marRight w:val="0"/>
              <w:marTop w:val="0"/>
              <w:marBottom w:val="0"/>
              <w:divBdr>
                <w:top w:val="none" w:sz="0" w:space="0" w:color="auto"/>
                <w:left w:val="none" w:sz="0" w:space="0" w:color="auto"/>
                <w:bottom w:val="none" w:sz="0" w:space="0" w:color="auto"/>
                <w:right w:val="none" w:sz="0" w:space="0" w:color="auto"/>
              </w:divBdr>
              <w:divsChild>
                <w:div w:id="1520385501">
                  <w:marLeft w:val="0"/>
                  <w:marRight w:val="0"/>
                  <w:marTop w:val="0"/>
                  <w:marBottom w:val="0"/>
                  <w:divBdr>
                    <w:top w:val="none" w:sz="0" w:space="0" w:color="auto"/>
                    <w:left w:val="none" w:sz="0" w:space="0" w:color="auto"/>
                    <w:bottom w:val="none" w:sz="0" w:space="0" w:color="auto"/>
                    <w:right w:val="none" w:sz="0" w:space="0" w:color="auto"/>
                  </w:divBdr>
                  <w:divsChild>
                    <w:div w:id="2003390472">
                      <w:marLeft w:val="0"/>
                      <w:marRight w:val="0"/>
                      <w:marTop w:val="0"/>
                      <w:marBottom w:val="120"/>
                      <w:divBdr>
                        <w:top w:val="single" w:sz="6" w:space="0" w:color="F5F5F5"/>
                        <w:left w:val="single" w:sz="6" w:space="0" w:color="F5F5F5"/>
                        <w:bottom w:val="single" w:sz="6" w:space="0" w:color="F5F5F5"/>
                        <w:right w:val="single" w:sz="6" w:space="0" w:color="F5F5F5"/>
                      </w:divBdr>
                      <w:divsChild>
                        <w:div w:id="2056813970">
                          <w:marLeft w:val="0"/>
                          <w:marRight w:val="0"/>
                          <w:marTop w:val="0"/>
                          <w:marBottom w:val="0"/>
                          <w:divBdr>
                            <w:top w:val="none" w:sz="0" w:space="0" w:color="auto"/>
                            <w:left w:val="none" w:sz="0" w:space="0" w:color="auto"/>
                            <w:bottom w:val="none" w:sz="0" w:space="0" w:color="auto"/>
                            <w:right w:val="none" w:sz="0" w:space="0" w:color="auto"/>
                          </w:divBdr>
                          <w:divsChild>
                            <w:div w:id="1006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74715">
      <w:bodyDiv w:val="1"/>
      <w:marLeft w:val="0"/>
      <w:marRight w:val="0"/>
      <w:marTop w:val="0"/>
      <w:marBottom w:val="0"/>
      <w:divBdr>
        <w:top w:val="none" w:sz="0" w:space="0" w:color="auto"/>
        <w:left w:val="none" w:sz="0" w:space="0" w:color="auto"/>
        <w:bottom w:val="none" w:sz="0" w:space="0" w:color="auto"/>
        <w:right w:val="none" w:sz="0" w:space="0" w:color="auto"/>
      </w:divBdr>
      <w:divsChild>
        <w:div w:id="1598058789">
          <w:marLeft w:val="0"/>
          <w:marRight w:val="0"/>
          <w:marTop w:val="0"/>
          <w:marBottom w:val="0"/>
          <w:divBdr>
            <w:top w:val="none" w:sz="0" w:space="0" w:color="auto"/>
            <w:left w:val="none" w:sz="0" w:space="0" w:color="auto"/>
            <w:bottom w:val="none" w:sz="0" w:space="0" w:color="auto"/>
            <w:right w:val="none" w:sz="0" w:space="0" w:color="auto"/>
          </w:divBdr>
          <w:divsChild>
            <w:div w:id="1670476780">
              <w:marLeft w:val="0"/>
              <w:marRight w:val="0"/>
              <w:marTop w:val="0"/>
              <w:marBottom w:val="0"/>
              <w:divBdr>
                <w:top w:val="none" w:sz="0" w:space="0" w:color="auto"/>
                <w:left w:val="none" w:sz="0" w:space="0" w:color="auto"/>
                <w:bottom w:val="none" w:sz="0" w:space="0" w:color="auto"/>
                <w:right w:val="none" w:sz="0" w:space="0" w:color="auto"/>
              </w:divBdr>
              <w:divsChild>
                <w:div w:id="975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6127">
      <w:bodyDiv w:val="1"/>
      <w:marLeft w:val="0"/>
      <w:marRight w:val="0"/>
      <w:marTop w:val="0"/>
      <w:marBottom w:val="0"/>
      <w:divBdr>
        <w:top w:val="none" w:sz="0" w:space="0" w:color="auto"/>
        <w:left w:val="none" w:sz="0" w:space="0" w:color="auto"/>
        <w:bottom w:val="none" w:sz="0" w:space="0" w:color="auto"/>
        <w:right w:val="none" w:sz="0" w:space="0" w:color="auto"/>
      </w:divBdr>
      <w:divsChild>
        <w:div w:id="1396855916">
          <w:marLeft w:val="0"/>
          <w:marRight w:val="0"/>
          <w:marTop w:val="0"/>
          <w:marBottom w:val="0"/>
          <w:divBdr>
            <w:top w:val="none" w:sz="0" w:space="0" w:color="auto"/>
            <w:left w:val="none" w:sz="0" w:space="0" w:color="auto"/>
            <w:bottom w:val="none" w:sz="0" w:space="0" w:color="auto"/>
            <w:right w:val="none" w:sz="0" w:space="0" w:color="auto"/>
          </w:divBdr>
          <w:divsChild>
            <w:div w:id="513806739">
              <w:marLeft w:val="0"/>
              <w:marRight w:val="0"/>
              <w:marTop w:val="0"/>
              <w:marBottom w:val="0"/>
              <w:divBdr>
                <w:top w:val="none" w:sz="0" w:space="0" w:color="auto"/>
                <w:left w:val="none" w:sz="0" w:space="0" w:color="auto"/>
                <w:bottom w:val="none" w:sz="0" w:space="0" w:color="auto"/>
                <w:right w:val="none" w:sz="0" w:space="0" w:color="auto"/>
              </w:divBdr>
              <w:divsChild>
                <w:div w:id="12360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5658">
      <w:bodyDiv w:val="1"/>
      <w:marLeft w:val="0"/>
      <w:marRight w:val="0"/>
      <w:marTop w:val="0"/>
      <w:marBottom w:val="0"/>
      <w:divBdr>
        <w:top w:val="none" w:sz="0" w:space="0" w:color="auto"/>
        <w:left w:val="none" w:sz="0" w:space="0" w:color="auto"/>
        <w:bottom w:val="none" w:sz="0" w:space="0" w:color="auto"/>
        <w:right w:val="none" w:sz="0" w:space="0" w:color="auto"/>
      </w:divBdr>
      <w:divsChild>
        <w:div w:id="1756439657">
          <w:marLeft w:val="0"/>
          <w:marRight w:val="0"/>
          <w:marTop w:val="0"/>
          <w:marBottom w:val="0"/>
          <w:divBdr>
            <w:top w:val="none" w:sz="0" w:space="0" w:color="auto"/>
            <w:left w:val="none" w:sz="0" w:space="0" w:color="auto"/>
            <w:bottom w:val="none" w:sz="0" w:space="0" w:color="auto"/>
            <w:right w:val="none" w:sz="0" w:space="0" w:color="auto"/>
          </w:divBdr>
          <w:divsChild>
            <w:div w:id="1265381575">
              <w:marLeft w:val="0"/>
              <w:marRight w:val="0"/>
              <w:marTop w:val="0"/>
              <w:marBottom w:val="0"/>
              <w:divBdr>
                <w:top w:val="none" w:sz="0" w:space="0" w:color="auto"/>
                <w:left w:val="none" w:sz="0" w:space="0" w:color="auto"/>
                <w:bottom w:val="none" w:sz="0" w:space="0" w:color="auto"/>
                <w:right w:val="none" w:sz="0" w:space="0" w:color="auto"/>
              </w:divBdr>
              <w:divsChild>
                <w:div w:id="605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58083">
      <w:bodyDiv w:val="1"/>
      <w:marLeft w:val="0"/>
      <w:marRight w:val="0"/>
      <w:marTop w:val="0"/>
      <w:marBottom w:val="0"/>
      <w:divBdr>
        <w:top w:val="none" w:sz="0" w:space="0" w:color="auto"/>
        <w:left w:val="none" w:sz="0" w:space="0" w:color="auto"/>
        <w:bottom w:val="none" w:sz="0" w:space="0" w:color="auto"/>
        <w:right w:val="none" w:sz="0" w:space="0" w:color="auto"/>
      </w:divBdr>
    </w:div>
    <w:div w:id="1954364698">
      <w:bodyDiv w:val="1"/>
      <w:marLeft w:val="0"/>
      <w:marRight w:val="0"/>
      <w:marTop w:val="0"/>
      <w:marBottom w:val="0"/>
      <w:divBdr>
        <w:top w:val="none" w:sz="0" w:space="0" w:color="auto"/>
        <w:left w:val="none" w:sz="0" w:space="0" w:color="auto"/>
        <w:bottom w:val="none" w:sz="0" w:space="0" w:color="auto"/>
        <w:right w:val="none" w:sz="0" w:space="0" w:color="auto"/>
      </w:divBdr>
      <w:divsChild>
        <w:div w:id="237981634">
          <w:marLeft w:val="0"/>
          <w:marRight w:val="0"/>
          <w:marTop w:val="105"/>
          <w:marBottom w:val="105"/>
          <w:divBdr>
            <w:top w:val="none" w:sz="0" w:space="0" w:color="auto"/>
            <w:left w:val="none" w:sz="0" w:space="0" w:color="auto"/>
            <w:bottom w:val="none" w:sz="0" w:space="0" w:color="auto"/>
            <w:right w:val="none" w:sz="0" w:space="0" w:color="auto"/>
          </w:divBdr>
          <w:divsChild>
            <w:div w:id="246964827">
              <w:marLeft w:val="0"/>
              <w:marRight w:val="0"/>
              <w:marTop w:val="105"/>
              <w:marBottom w:val="105"/>
              <w:divBdr>
                <w:top w:val="none" w:sz="0" w:space="0" w:color="auto"/>
                <w:left w:val="none" w:sz="0" w:space="0" w:color="auto"/>
                <w:bottom w:val="none" w:sz="0" w:space="0" w:color="auto"/>
                <w:right w:val="none" w:sz="0" w:space="0" w:color="auto"/>
              </w:divBdr>
            </w:div>
            <w:div w:id="1867209616">
              <w:marLeft w:val="0"/>
              <w:marRight w:val="0"/>
              <w:marTop w:val="105"/>
              <w:marBottom w:val="105"/>
              <w:divBdr>
                <w:top w:val="none" w:sz="0" w:space="0" w:color="auto"/>
                <w:left w:val="none" w:sz="0" w:space="0" w:color="auto"/>
                <w:bottom w:val="none" w:sz="0" w:space="0" w:color="auto"/>
                <w:right w:val="none" w:sz="0" w:space="0" w:color="auto"/>
              </w:divBdr>
            </w:div>
            <w:div w:id="1229077658">
              <w:marLeft w:val="0"/>
              <w:marRight w:val="0"/>
              <w:marTop w:val="105"/>
              <w:marBottom w:val="105"/>
              <w:divBdr>
                <w:top w:val="none" w:sz="0" w:space="0" w:color="auto"/>
                <w:left w:val="none" w:sz="0" w:space="0" w:color="auto"/>
                <w:bottom w:val="none" w:sz="0" w:space="0" w:color="auto"/>
                <w:right w:val="none" w:sz="0" w:space="0" w:color="auto"/>
              </w:divBdr>
            </w:div>
            <w:div w:id="1752392004">
              <w:marLeft w:val="0"/>
              <w:marRight w:val="0"/>
              <w:marTop w:val="105"/>
              <w:marBottom w:val="105"/>
              <w:divBdr>
                <w:top w:val="none" w:sz="0" w:space="0" w:color="auto"/>
                <w:left w:val="none" w:sz="0" w:space="0" w:color="auto"/>
                <w:bottom w:val="none" w:sz="0" w:space="0" w:color="auto"/>
                <w:right w:val="none" w:sz="0" w:space="0" w:color="auto"/>
              </w:divBdr>
            </w:div>
            <w:div w:id="564872980">
              <w:marLeft w:val="0"/>
              <w:marRight w:val="0"/>
              <w:marTop w:val="105"/>
              <w:marBottom w:val="105"/>
              <w:divBdr>
                <w:top w:val="none" w:sz="0" w:space="0" w:color="auto"/>
                <w:left w:val="none" w:sz="0" w:space="0" w:color="auto"/>
                <w:bottom w:val="none" w:sz="0" w:space="0" w:color="auto"/>
                <w:right w:val="none" w:sz="0" w:space="0" w:color="auto"/>
              </w:divBdr>
            </w:div>
            <w:div w:id="1889024969">
              <w:marLeft w:val="0"/>
              <w:marRight w:val="0"/>
              <w:marTop w:val="105"/>
              <w:marBottom w:val="105"/>
              <w:divBdr>
                <w:top w:val="none" w:sz="0" w:space="0" w:color="auto"/>
                <w:left w:val="none" w:sz="0" w:space="0" w:color="auto"/>
                <w:bottom w:val="none" w:sz="0" w:space="0" w:color="auto"/>
                <w:right w:val="none" w:sz="0" w:space="0" w:color="auto"/>
              </w:divBdr>
            </w:div>
            <w:div w:id="879829461">
              <w:marLeft w:val="0"/>
              <w:marRight w:val="0"/>
              <w:marTop w:val="105"/>
              <w:marBottom w:val="105"/>
              <w:divBdr>
                <w:top w:val="none" w:sz="0" w:space="0" w:color="auto"/>
                <w:left w:val="none" w:sz="0" w:space="0" w:color="auto"/>
                <w:bottom w:val="none" w:sz="0" w:space="0" w:color="auto"/>
                <w:right w:val="none" w:sz="0" w:space="0" w:color="auto"/>
              </w:divBdr>
            </w:div>
            <w:div w:id="1661786">
              <w:marLeft w:val="0"/>
              <w:marRight w:val="0"/>
              <w:marTop w:val="105"/>
              <w:marBottom w:val="105"/>
              <w:divBdr>
                <w:top w:val="none" w:sz="0" w:space="0" w:color="auto"/>
                <w:left w:val="none" w:sz="0" w:space="0" w:color="auto"/>
                <w:bottom w:val="none" w:sz="0" w:space="0" w:color="auto"/>
                <w:right w:val="none" w:sz="0" w:space="0" w:color="auto"/>
              </w:divBdr>
            </w:div>
            <w:div w:id="1024526524">
              <w:marLeft w:val="0"/>
              <w:marRight w:val="0"/>
              <w:marTop w:val="105"/>
              <w:marBottom w:val="105"/>
              <w:divBdr>
                <w:top w:val="none" w:sz="0" w:space="0" w:color="auto"/>
                <w:left w:val="none" w:sz="0" w:space="0" w:color="auto"/>
                <w:bottom w:val="none" w:sz="0" w:space="0" w:color="auto"/>
                <w:right w:val="none" w:sz="0" w:space="0" w:color="auto"/>
              </w:divBdr>
            </w:div>
            <w:div w:id="33523417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207292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pbes.net/system/tdf/decision_ipbes_5_3_fr.pdf?file=1&amp;type=node&amp;id=16028" TargetMode="External"/><Relationship Id="rId18" Type="http://schemas.openxmlformats.org/officeDocument/2006/relationships/hyperlink" Target="https://www.cbd.int/doc/decisions/cop-11/cop-11-dec-02-fr.pdf" TargetMode="External"/><Relationship Id="rId26" Type="http://schemas.openxmlformats.org/officeDocument/2006/relationships/hyperlink" Target="https://www.cbd.int/doc/decisions/cop-11/cop-11-dec-03-fr.pdf" TargetMode="External"/><Relationship Id="rId3" Type="http://schemas.openxmlformats.org/officeDocument/2006/relationships/styles" Target="styles.xml"/><Relationship Id="rId21" Type="http://schemas.openxmlformats.org/officeDocument/2006/relationships/hyperlink" Target="https://www.cbd.int/doc/decisions/cop-13/cop-13-dec-31-fr.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d.int/doc/decisions/cop-13/cop-13-dec-29-fr.pdf" TargetMode="External"/><Relationship Id="rId17" Type="http://schemas.openxmlformats.org/officeDocument/2006/relationships/hyperlink" Target="https://www.cbd.int/doc/recommendations/sbstta-21/sbstta-21-rec-01-fr.pdf" TargetMode="External"/><Relationship Id="rId25" Type="http://schemas.openxmlformats.org/officeDocument/2006/relationships/hyperlink" Target="https://www.cbd.int/doc/recommendations/sbstta-21/sbstta-21-rec-01-en.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bd.int/doc/decisions/cop-13/cop-13-dec-15-fr.pdf" TargetMode="External"/><Relationship Id="rId20" Type="http://schemas.openxmlformats.org/officeDocument/2006/relationships/hyperlink" Target="https://www.ipbes.net/document-library-categories/decisions?f%5B0%5D=field_document_symbol%253Afield_document_event%3A11937" TargetMode="External"/><Relationship Id="rId29" Type="http://schemas.openxmlformats.org/officeDocument/2006/relationships/hyperlink" Target="https://www.cbd.int/doc/recommendations/sbstta-21/sbstta-21-rec-06-f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5-fr.pdf" TargetMode="External"/><Relationship Id="rId24" Type="http://schemas.openxmlformats.org/officeDocument/2006/relationships/hyperlink" Target="https://www.cbd.int/doc/decisions/cop-11/cop-11-dec-13-fr.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bd.int/doc/recommendations/sbstta-20/sbstta-20-rec-09-fr.pdf" TargetMode="External"/><Relationship Id="rId23" Type="http://schemas.openxmlformats.org/officeDocument/2006/relationships/hyperlink" Target="https://www.cbd.int/doc/decisions/cop-12/cop-12-dec-01-fr.pdf" TargetMode="External"/><Relationship Id="rId28" Type="http://schemas.openxmlformats.org/officeDocument/2006/relationships/hyperlink" Target="https://www.cbd.int/doc/decisions/cop-13/cop-13-dec-03-fr.pdf"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ipbes.net/document-library-categories/decisions" TargetMode="External"/><Relationship Id="rId31" Type="http://schemas.openxmlformats.org/officeDocument/2006/relationships/hyperlink" Target="https://www.cbd.int/doc/recommendations/sbstta-21/sbstta-21-rec-03-f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recommendations/sbstta-17/sbstta-17-rec-03-fr.pdf" TargetMode="External"/><Relationship Id="rId22" Type="http://schemas.openxmlformats.org/officeDocument/2006/relationships/hyperlink" Target="http://www.cbd.int/doc/recommendations/sbstta-17/sbstta-17-rec-01-fr.pdf" TargetMode="External"/><Relationship Id="rId27" Type="http://schemas.openxmlformats.org/officeDocument/2006/relationships/hyperlink" Target="https://www.cbd.int/doc/decisions/cop-13/cop-13-dec-01-fr.pdf" TargetMode="External"/><Relationship Id="rId30" Type="http://schemas.openxmlformats.org/officeDocument/2006/relationships/hyperlink" Target="https://www.cbd.int/doc/recommendations/sbstta-21/sbstta-21-rec-01-fr.pdf" TargetMode="Externa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Textedelespacerserv"/>
            </w:rPr>
            <w:t>[Subject]</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Textedelespacerserv"/>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AF"/>
    <w:rsid w:val="00015BC6"/>
    <w:rsid w:val="00030FBB"/>
    <w:rsid w:val="00092F6E"/>
    <w:rsid w:val="000A4C95"/>
    <w:rsid w:val="000E2E69"/>
    <w:rsid w:val="0013652E"/>
    <w:rsid w:val="001A3A4D"/>
    <w:rsid w:val="001B29AF"/>
    <w:rsid w:val="001E14E2"/>
    <w:rsid w:val="00204239"/>
    <w:rsid w:val="002640B8"/>
    <w:rsid w:val="002B4593"/>
    <w:rsid w:val="00313C79"/>
    <w:rsid w:val="003349D7"/>
    <w:rsid w:val="00376334"/>
    <w:rsid w:val="0037757D"/>
    <w:rsid w:val="00384E9E"/>
    <w:rsid w:val="003A4786"/>
    <w:rsid w:val="00410703"/>
    <w:rsid w:val="004339A1"/>
    <w:rsid w:val="004A69EC"/>
    <w:rsid w:val="004C53BE"/>
    <w:rsid w:val="004D0728"/>
    <w:rsid w:val="004E22D5"/>
    <w:rsid w:val="004F3149"/>
    <w:rsid w:val="004F5A0B"/>
    <w:rsid w:val="0054691F"/>
    <w:rsid w:val="00582128"/>
    <w:rsid w:val="00604177"/>
    <w:rsid w:val="006A6745"/>
    <w:rsid w:val="00711BD3"/>
    <w:rsid w:val="00755AA2"/>
    <w:rsid w:val="007E501A"/>
    <w:rsid w:val="0080682C"/>
    <w:rsid w:val="0083264A"/>
    <w:rsid w:val="009107F6"/>
    <w:rsid w:val="00934195"/>
    <w:rsid w:val="00982BE4"/>
    <w:rsid w:val="009D74C6"/>
    <w:rsid w:val="00A27574"/>
    <w:rsid w:val="00B04CB5"/>
    <w:rsid w:val="00B36C7B"/>
    <w:rsid w:val="00B54253"/>
    <w:rsid w:val="00B86F5F"/>
    <w:rsid w:val="00BB2CFE"/>
    <w:rsid w:val="00C07DCD"/>
    <w:rsid w:val="00CC2596"/>
    <w:rsid w:val="00CD2E41"/>
    <w:rsid w:val="00CF288C"/>
    <w:rsid w:val="00D06136"/>
    <w:rsid w:val="00D5481D"/>
    <w:rsid w:val="00D9150E"/>
    <w:rsid w:val="00D92634"/>
    <w:rsid w:val="00E55589"/>
    <w:rsid w:val="00EC17B5"/>
    <w:rsid w:val="00F05247"/>
    <w:rsid w:val="00F4384F"/>
    <w:rsid w:val="00F52269"/>
    <w:rsid w:val="00FF00BC"/>
    <w:rsid w:val="00FF7E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D9150E"/>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070D0498495D400D87DB6F0140BAA664">
    <w:name w:val="070D0498495D400D87DB6F0140BAA664"/>
    <w:rsid w:val="00D9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DE00-EA62-46B1-942D-5BD05B7A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168</TotalTime>
  <Pages>15</Pages>
  <Words>8182</Words>
  <Characters>45006</Characters>
  <Application>Microsoft Office Word</Application>
  <DocSecurity>0</DocSecurity>
  <Lines>375</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vt:lpstr>
      <vt:lpstr>S</vt:lpstr>
    </vt:vector>
  </TitlesOfParts>
  <Company>Biodiversity</Company>
  <LinksUpToDate>false</LinksUpToDate>
  <CharactersWithSpaces>53082</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CBD/SBSTTA/22/11</dc:subject>
  <dc:creator>SCBD</dc:creator>
  <cp:lastModifiedBy>Louise</cp:lastModifiedBy>
  <cp:revision>6</cp:revision>
  <cp:lastPrinted>2018-05-03T17:13:00Z</cp:lastPrinted>
  <dcterms:created xsi:type="dcterms:W3CDTF">2018-05-09T14:04:00Z</dcterms:created>
  <dcterms:modified xsi:type="dcterms:W3CDTF">2018-07-04T00:46:00Z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ORGANE SUBSIDIAIRE CHARGÉ de FOURNIR      DES AVIS SCIENTIFIQUES, TECHNIQUES ET      TECHNOLOGIQUES </vt:lpwstr>
  </property>
</Properties>
</file>