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5042"/>
        <w:gridCol w:w="4004"/>
      </w:tblGrid>
      <w:tr w:rsidR="00E852BC" w:rsidRPr="00883A1C" w:rsidTr="0064424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E852BC" w:rsidRPr="007F410C" w:rsidRDefault="009B4AE9" w:rsidP="00E852BC">
            <w:pPr>
              <w:pStyle w:val="Para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pict w14:anchorId="06EB36BD">
                <v:shape id="Picture 2" o:spid="_x0000_i1025" type="#_x0000_t75" alt="nr UNEP bw (R) " style="width:47.25pt;height:51.75pt;visibility:visible">
                  <v:imagedata r:id="rId8" o:title="nr UNEP bw (R) "/>
                </v:shape>
              </w:pict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E852BC" w:rsidRPr="007F410C" w:rsidRDefault="009F09A9" w:rsidP="00E852BC">
            <w:pPr>
              <w:spacing w:before="120" w:after="120"/>
              <w:rPr>
                <w:sz w:val="20"/>
                <w:szCs w:val="20"/>
              </w:rPr>
            </w:pPr>
            <w:r>
              <w:pict w14:anchorId="07E5689E">
                <v:shape id="Picture 3" o:spid="_x0000_s1027" type="#_x0000_t75" style="position:absolute;left:0;text-align:left;margin-left:25.3pt;margin-top:.05pt;width:64.8pt;height:45.9pt;z-index:251659264;visibility:visible;mso-position-horizontal-relative:text;mso-position-vertical-relative:page" o:allowoverlap="f">
                  <v:imagedata r:id="rId9" o:title="" cropleft="2944f" cropright="2944f"/>
                  <w10:wrap type="square" anchory="page"/>
                  <w10:anchorlock/>
                </v:shape>
              </w:pic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E852BC" w:rsidRPr="00883A1C" w:rsidRDefault="00E852BC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/>
                <w:b/>
                <w:kern w:val="22"/>
                <w:sz w:val="32"/>
              </w:rPr>
            </w:pPr>
            <w:r>
              <w:rPr>
                <w:rFonts w:ascii="Arial" w:hAnsi="Arial"/>
                <w:b/>
                <w:kern w:val="22"/>
                <w:sz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E852BC" w:rsidRPr="00883A1C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E852BC" w:rsidRPr="007F410C" w:rsidRDefault="009F09A9" w:rsidP="00E852BC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Univers" w:hAnsi="Univers"/>
                <w:color w:val="000000"/>
                <w:sz w:val="32"/>
                <w:lang w:eastAsia="zh-CN"/>
              </w:rPr>
              <w:pict w14:anchorId="55289024">
                <v:shape id="Picture 1" o:spid="_x0000_i1026" type="#_x0000_t75" style="width:206.25pt;height:84.75pt;visibility:visible">
                  <v:imagedata r:id="rId10" o:title=""/>
                </v:shape>
              </w:pic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E852BC" w:rsidRPr="00883A1C" w:rsidRDefault="00E852BC" w:rsidP="00E852BC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E852BC" w:rsidRPr="00037B95" w:rsidRDefault="00E852BC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037B95">
              <w:rPr>
                <w:lang w:val="en-US"/>
              </w:rPr>
              <w:t>Distr.</w:t>
            </w:r>
          </w:p>
          <w:p w:rsidR="00E852BC" w:rsidRPr="00037B95" w:rsidRDefault="00E852BC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037B95">
              <w:rPr>
                <w:lang w:val="en-US"/>
              </w:rPr>
              <w:t>GENERAL</w:t>
            </w:r>
          </w:p>
          <w:p w:rsidR="00E852BC" w:rsidRPr="00037B95" w:rsidRDefault="00E852BC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</w:p>
          <w:sdt>
            <w:sdtPr>
              <w:rPr>
                <w:kern w:val="22"/>
                <w:lang w:val="en-US"/>
              </w:rPr>
              <w:alias w:val="Subject"/>
              <w:tag w:val=""/>
              <w:id w:val="-344942035"/>
              <w:placeholder>
                <w:docPart w:val="98F1241928AC4CE084F363EC9DA0428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E852BC" w:rsidRPr="00037B95" w:rsidRDefault="00E852BC" w:rsidP="00E852BC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kern w:val="22"/>
                    <w:lang w:val="en-US"/>
                  </w:rPr>
                </w:pPr>
                <w:r w:rsidRPr="00037B95">
                  <w:rPr>
                    <w:kern w:val="22"/>
                    <w:lang w:val="en-US"/>
                  </w:rPr>
                  <w:t>CBD/SBI/2/10/Add.1</w:t>
                </w:r>
              </w:p>
            </w:sdtContent>
          </w:sdt>
          <w:p w:rsidR="00E852BC" w:rsidRPr="00883A1C" w:rsidRDefault="00E852BC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>
              <w:t xml:space="preserve">1 </w:t>
            </w:r>
            <w:r w:rsidR="00675B54">
              <w:rPr>
                <w:lang w:val="en-US"/>
              </w:rPr>
              <w:t>J</w:t>
            </w:r>
            <w:r w:rsidR="008666DA">
              <w:rPr>
                <w:lang w:val="en-US"/>
              </w:rPr>
              <w:t>une</w:t>
            </w:r>
            <w:r>
              <w:t xml:space="preserve"> 2018</w:t>
            </w:r>
          </w:p>
          <w:p w:rsidR="00E852BC" w:rsidRPr="00027D0A" w:rsidRDefault="00027D0A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>
              <w:rPr>
                <w:snapToGrid w:val="0"/>
                <w:kern w:val="22"/>
                <w:szCs w:val="22"/>
                <w:lang w:val="en-US"/>
              </w:rPr>
              <w:t>RUSSIAN</w:t>
            </w:r>
          </w:p>
          <w:p w:rsidR="00E852BC" w:rsidRPr="00883A1C" w:rsidRDefault="00E852BC" w:rsidP="00E852B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u w:val="single"/>
              </w:rPr>
            </w:pPr>
            <w:proofErr w:type="gramStart"/>
            <w:r>
              <w:t>ORIGINAL:  ENGLISH</w:t>
            </w:r>
            <w:proofErr w:type="gramEnd"/>
          </w:p>
        </w:tc>
      </w:tr>
    </w:tbl>
    <w:bookmarkStart w:id="0" w:name="Meeting"/>
    <w:p w:rsidR="00CA6B87" w:rsidRPr="00883A1C" w:rsidRDefault="009F09A9" w:rsidP="00883A1C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</w:rPr>
      </w:pPr>
      <w:sdt>
        <w:sdtPr>
          <w:rPr>
            <w:kern w:val="22"/>
            <w:szCs w:val="22"/>
          </w:rPr>
          <w:alias w:val="Совещание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DA4716">
            <w:t>ВСПОМОГАТЕЛЬНЫЙ ОРГАН ПО ОСУЩЕСТВЛЕНИЮ</w:t>
          </w:r>
        </w:sdtContent>
      </w:sdt>
      <w:bookmarkEnd w:id="0"/>
    </w:p>
    <w:p w:rsidR="00D51069" w:rsidRPr="00883A1C" w:rsidRDefault="002E0627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>
        <w:t>Второе совещание</w:t>
      </w:r>
    </w:p>
    <w:p w:rsidR="00CA6B87" w:rsidRPr="00883A1C" w:rsidRDefault="00D51069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>
        <w:t>Монреаль, Канада, 9-13 июля 2018 года</w:t>
      </w:r>
    </w:p>
    <w:p w:rsidR="00CA6B87" w:rsidRPr="00883A1C" w:rsidRDefault="00D51069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>
        <w:t>Пункт 11 предварительной повестки дня</w:t>
      </w:r>
      <w:r>
        <w:rPr>
          <w:rStyle w:val="FootnoteReference"/>
          <w:kern w:val="22"/>
          <w:sz w:val="22"/>
          <w:u w:val="none"/>
        </w:rPr>
        <w:footnoteReference w:customMarkFollows="1" w:id="2"/>
        <w:t>*</w:t>
      </w:r>
    </w:p>
    <w:p w:rsidR="00406BC6" w:rsidRPr="00037B95" w:rsidRDefault="009F09A9" w:rsidP="00883A1C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sdt>
        <w:sdtPr>
          <w:rPr>
            <w:kern w:val="22"/>
            <w:szCs w:val="22"/>
          </w:rPr>
          <w:alias w:val="заглавие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7B95">
            <w:rPr>
              <w:kern w:val="22"/>
              <w:szCs w:val="22"/>
            </w:rPr>
            <w:t>ОСУЩЕСТВЛЕНИЕ ВАРИАНТОВ РАСШИРЕНИЯ ВЗАИМОДЕЙСТВИЯ МЕЖДУ КОНВЕНЦИЯМИ, СВЯЗАННЫМИ С БИОРАЗНООБРАЗИЕМ</w:t>
          </w:r>
        </w:sdtContent>
      </w:sdt>
    </w:p>
    <w:p w:rsidR="00C85EA4" w:rsidRPr="00883A1C" w:rsidRDefault="00C85EA4" w:rsidP="00883A1C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kern w:val="22"/>
          <w:szCs w:val="22"/>
        </w:rPr>
      </w:pPr>
      <w:r>
        <w:rPr>
          <w:b w:val="0"/>
          <w:i/>
          <w:kern w:val="22"/>
        </w:rPr>
        <w:t>Записка Исполнительного секретаря</w:t>
      </w:r>
    </w:p>
    <w:p w:rsidR="000C2430" w:rsidRPr="00883A1C" w:rsidRDefault="000C2430" w:rsidP="00883A1C">
      <w:pPr>
        <w:numPr>
          <w:ilvl w:val="0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0"/>
        <w:rPr>
          <w:b/>
          <w:caps/>
          <w:kern w:val="22"/>
          <w:szCs w:val="22"/>
        </w:rPr>
      </w:pPr>
      <w:r>
        <w:rPr>
          <w:b/>
          <w:caps/>
          <w:kern w:val="22"/>
        </w:rPr>
        <w:t>Введение</w:t>
      </w:r>
    </w:p>
    <w:p w:rsidR="00736BC2" w:rsidRPr="00883A1C" w:rsidRDefault="00E8598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На своем тринадцатом совещании Конференция Сторон Конвенции о биологическом разнообразии (КБР) приняла решение </w:t>
      </w:r>
      <w:hyperlink r:id="rId11">
        <w:r>
          <w:rPr>
            <w:rStyle w:val="Hyperlink"/>
            <w:kern w:val="22"/>
          </w:rPr>
          <w:t>XIII/24</w:t>
        </w:r>
      </w:hyperlink>
      <w:r>
        <w:t xml:space="preserve"> о сотрудничестве с другими конвенциями и международными организациями, включая варианты </w:t>
      </w:r>
      <w:r w:rsidR="009B4AE9">
        <w:t>расшир</w:t>
      </w:r>
      <w:r>
        <w:t>ения взаимодействия между конвенциями, связанными с биоразнообразием. Она приветствовала варианты расширения взаимодействия среди конвенций, связанных с биоразнообразием, на национальном уровне, приведенные в приложении I к этому решению, и программу действий по расширению взаимодействия среди конвенций, связанных с биоразнообразием, на международном уровне на 2017-2020 годы, приведенную в приложении II к этому решению.</w:t>
      </w:r>
    </w:p>
    <w:p w:rsidR="009902B9" w:rsidRPr="00883A1C" w:rsidRDefault="009902B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В пункте 14 решения XIII/24 Конференция Сторон поручила Исполнительному секретарю представить Вспомогательному органу по осуществлению на его втором совещании доклад об осуществлении программы действий. В том же решении она поручил</w:t>
      </w:r>
      <w:r w:rsidR="009B4AE9">
        <w:t>а</w:t>
      </w:r>
      <w:r>
        <w:t xml:space="preserve"> Исполнительному секретарю представить Вспомогательному органу информацию о достигнутых результатах в целях повышения согласованности и сотрудничества между конвенциями, связанными с биоразнообразием (пункт 18).</w:t>
      </w:r>
    </w:p>
    <w:p w:rsidR="00300596" w:rsidRPr="00883A1C" w:rsidRDefault="0004114D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Настоящий документ </w:t>
      </w:r>
      <w:r w:rsidR="00534663">
        <w:t>представлен в соответствии с этими поручениями</w:t>
      </w:r>
      <w:r>
        <w:t xml:space="preserve">. В разделе II обобщаются результаты, достигнутые в области укрепления согласованности и сотрудничества между конвенциями, связанными с биоразнообразием. В разделе III сообщается о прогрессе в осуществлении </w:t>
      </w:r>
      <w:r>
        <w:rPr>
          <w:i/>
          <w:kern w:val="22"/>
        </w:rPr>
        <w:t xml:space="preserve"> </w:t>
      </w:r>
      <w:r>
        <w:t xml:space="preserve"> программы действий для </w:t>
      </w:r>
      <w:r w:rsidR="009B4AE9">
        <w:t>расшир</w:t>
      </w:r>
      <w:r>
        <w:t>ения взаимодействия между конвенциями, связанными с биоразнообразием, на международном уровне на 2017-2020 годы, включая работу, проделанную в этой связи неофициальной консультативной группой по вопросам взаимодействия, созданной в соответствии с решением XIII/24. Раздел IV содержит предложения о дальнейшей работе.</w:t>
      </w:r>
    </w:p>
    <w:p w:rsidR="0000751C" w:rsidRPr="00883A1C" w:rsidRDefault="00E8598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Возможные рекомендации Вспомогательного органа, включая рекомендации для принятия решения Конференцией Сторон на ее четырнадцатом совещании, содержатся в записке Исполнительного секретаря о сотрудничестве с другими конвенциями, международными организациями и партнерствами (</w:t>
      </w:r>
      <w:hyperlink r:id="rId12">
        <w:r>
          <w:rPr>
            <w:rStyle w:val="Hyperlink"/>
            <w:kern w:val="22"/>
          </w:rPr>
          <w:t>CBD/SBI/2/10</w:t>
        </w:r>
      </w:hyperlink>
      <w:r>
        <w:t xml:space="preserve">). Доклад неофициальной консультативной группы </w:t>
      </w:r>
      <w:r>
        <w:lastRenderedPageBreak/>
        <w:t>по вопросам взаимодействия, представленный Вспомогательному органу по осуществлению, содержится в информационном документе CBD/SBI/2/INF/14.</w:t>
      </w:r>
    </w:p>
    <w:p w:rsidR="00FA0BF9" w:rsidRPr="00883A1C" w:rsidRDefault="00FA0BF9" w:rsidP="00883A1C">
      <w:pPr>
        <w:keepNext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152" w:hanging="432"/>
        <w:jc w:val="left"/>
        <w:outlineLvl w:val="0"/>
        <w:rPr>
          <w:b/>
          <w:caps/>
          <w:kern w:val="22"/>
          <w:szCs w:val="22"/>
        </w:rPr>
      </w:pPr>
      <w:r>
        <w:rPr>
          <w:b/>
          <w:caps/>
          <w:kern w:val="22"/>
        </w:rPr>
        <w:t>Прогресс в области повышения согласованности и укрепления сотрудничества между конвенциями, связанными с биоразнообразием</w:t>
      </w:r>
    </w:p>
    <w:p w:rsidR="00FA0BF9" w:rsidRPr="00883A1C" w:rsidRDefault="00FA0BF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этом разделе сообщается о </w:t>
      </w:r>
      <w:r w:rsidR="00E776EF">
        <w:t>проведенных мероприятиях</w:t>
      </w:r>
      <w:r>
        <w:t xml:space="preserve"> и результатах, достигнутых в течение двухгодичного периода 2017-2018 годов, в целях повышения согласованности и укрепления сотрудничества между конвенциями, связанными с биоразнообразием, через руководящие органы конвенций, двустороннее сот</w:t>
      </w:r>
      <w:r w:rsidR="00E776EF">
        <w:t>рудничество между конвенциями, К</w:t>
      </w:r>
      <w:r>
        <w:t xml:space="preserve">онтактную группу конвенций, связанных с биоразнообразием, </w:t>
      </w:r>
      <w:r w:rsidR="00E776EF">
        <w:t xml:space="preserve">и другие </w:t>
      </w:r>
      <w:r>
        <w:t>механизмы координации действий между учреждениями.</w:t>
      </w:r>
    </w:p>
    <w:p w:rsidR="000C2430" w:rsidRPr="00883A1C" w:rsidRDefault="00706F41" w:rsidP="00883A1C">
      <w:pPr>
        <w:keepNext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</w:rPr>
      </w:pPr>
      <w:r>
        <w:rPr>
          <w:b/>
          <w:kern w:val="22"/>
        </w:rPr>
        <w:t>Руководящие органы</w:t>
      </w:r>
    </w:p>
    <w:p w:rsidR="009B7CA5" w:rsidRPr="00883A1C" w:rsidRDefault="007978A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Ключевым шагом на пути расширения сотрудничества и взаимодействия между конвенциями, связанными с биоразнообразием, является обеспечение руководящими органами конвенций взаимного внимания и согласованности руководящих указаний. После тринадцатого совещания Конференции Сторон вопросы, касающиеся сотрудничества, были в значительной степени рассмотрены Конференцией Сторон Конвенции </w:t>
      </w:r>
      <w:r w:rsidR="00E776EF">
        <w:t>по сохранению</w:t>
      </w:r>
      <w:r>
        <w:t xml:space="preserve"> мигрирующих видов диких животных</w:t>
      </w:r>
      <w:r w:rsidR="00E776EF">
        <w:t>,</w:t>
      </w:r>
      <w:r>
        <w:t xml:space="preserve"> Управляющим органом Международного договора о генетических ресурсах растений для производства продовольствия и  ведения сельского хозяйства, а также Постоянным комитетом Конвенции о водно-болотных угодьях, имеющих международное значение, главным образом в качестве местообитаний водоплавающих птиц (Рамсарская конвенция).</w:t>
      </w:r>
    </w:p>
    <w:p w:rsidR="009B7CA5" w:rsidRPr="00883A1C" w:rsidRDefault="00A61C21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 w:rsidRPr="00E078D2">
        <w:t xml:space="preserve"> </w:t>
      </w:r>
      <w:r w:rsidR="00E078D2">
        <w:t>На</w:t>
      </w:r>
      <w:r w:rsidR="00E078D2" w:rsidRPr="00E078D2">
        <w:t xml:space="preserve"> </w:t>
      </w:r>
      <w:r w:rsidR="00E078D2">
        <w:t>своем</w:t>
      </w:r>
      <w:r w:rsidR="00E078D2" w:rsidRPr="00E078D2">
        <w:t xml:space="preserve"> </w:t>
      </w:r>
      <w:r w:rsidR="00E078D2">
        <w:t>двенадцатом</w:t>
      </w:r>
      <w:r w:rsidR="00E078D2" w:rsidRPr="00E078D2">
        <w:t xml:space="preserve"> </w:t>
      </w:r>
      <w:r w:rsidR="00E078D2">
        <w:t>совещании</w:t>
      </w:r>
      <w:r w:rsidR="00E078D2" w:rsidRPr="00E078D2">
        <w:t xml:space="preserve"> (</w:t>
      </w:r>
      <w:r w:rsidR="00E078D2">
        <w:t>Манила</w:t>
      </w:r>
      <w:r w:rsidR="00E078D2" w:rsidRPr="00E078D2">
        <w:t>, 23-28</w:t>
      </w:r>
      <w:r w:rsidR="00E078D2" w:rsidRPr="00037B95">
        <w:rPr>
          <w:lang w:val="en-US"/>
        </w:rPr>
        <w:t> </w:t>
      </w:r>
      <w:r w:rsidR="00E078D2">
        <w:t>октября</w:t>
      </w:r>
      <w:r w:rsidR="00E078D2" w:rsidRPr="00037B95">
        <w:rPr>
          <w:lang w:val="en-US"/>
        </w:rPr>
        <w:t> </w:t>
      </w:r>
      <w:r w:rsidR="00E078D2" w:rsidRPr="00E078D2">
        <w:t xml:space="preserve">2017 </w:t>
      </w:r>
      <w:r w:rsidR="00E078D2">
        <w:t>года</w:t>
      </w:r>
      <w:r w:rsidR="00E078D2" w:rsidRPr="00E078D2">
        <w:t xml:space="preserve">), </w:t>
      </w:r>
      <w:r w:rsidR="00E078D2">
        <w:t>Конференция</w:t>
      </w:r>
      <w:r w:rsidR="00E078D2" w:rsidRPr="00E078D2">
        <w:t xml:space="preserve"> </w:t>
      </w:r>
      <w:r w:rsidR="00E078D2">
        <w:t>Сторон</w:t>
      </w:r>
      <w:r w:rsidR="00E078D2" w:rsidRPr="00E078D2">
        <w:t xml:space="preserve"> </w:t>
      </w:r>
      <w:r w:rsidR="00E078D2" w:rsidRPr="00E078D2">
        <w:rPr>
          <w:szCs w:val="22"/>
        </w:rPr>
        <w:t xml:space="preserve">Конвенции </w:t>
      </w:r>
      <w:r w:rsidR="00E078D2" w:rsidRPr="00E078D2">
        <w:rPr>
          <w:bCs/>
          <w:color w:val="333333"/>
          <w:szCs w:val="22"/>
          <w:lang w:eastAsia="fr-CH" w:bidi="ar-SA"/>
        </w:rPr>
        <w:t>по сохранению мигрирующих видов диких животных</w:t>
      </w:r>
      <w:r w:rsidR="00E078D2">
        <w:rPr>
          <w:bCs/>
          <w:color w:val="333333"/>
          <w:szCs w:val="22"/>
          <w:lang w:eastAsia="fr-CH" w:bidi="ar-SA"/>
        </w:rPr>
        <w:t xml:space="preserve"> приняла</w:t>
      </w:r>
      <w:r w:rsidRPr="00E078D2">
        <w:t xml:space="preserve"> </w:t>
      </w:r>
      <w:hyperlink r:id="rId13">
        <w:r w:rsidR="00E078D2" w:rsidRPr="0038433D">
          <w:rPr>
            <w:rStyle w:val="Hyperlink"/>
            <w:kern w:val="22"/>
          </w:rPr>
          <w:t>Резол</w:t>
        </w:r>
        <w:r w:rsidR="00E078D2" w:rsidRPr="0038433D">
          <w:rPr>
            <w:rStyle w:val="Hyperlink"/>
            <w:kern w:val="22"/>
          </w:rPr>
          <w:t>ю</w:t>
        </w:r>
        <w:r w:rsidR="00E078D2" w:rsidRPr="0038433D">
          <w:rPr>
            <w:rStyle w:val="Hyperlink"/>
            <w:kern w:val="22"/>
          </w:rPr>
          <w:t>цию</w:t>
        </w:r>
        <w:r w:rsidRPr="00E078D2">
          <w:rPr>
            <w:rStyle w:val="Hyperlink"/>
            <w:kern w:val="22"/>
          </w:rPr>
          <w:t xml:space="preserve"> 11.10 (</w:t>
        </w:r>
        <w:r w:rsidRPr="00037B95">
          <w:rPr>
            <w:rStyle w:val="Hyperlink"/>
            <w:kern w:val="22"/>
            <w:lang w:val="en-US"/>
          </w:rPr>
          <w:t>Rev</w:t>
        </w:r>
        <w:r w:rsidRPr="00E078D2">
          <w:rPr>
            <w:rStyle w:val="Hyperlink"/>
            <w:kern w:val="22"/>
          </w:rPr>
          <w:t>.</w:t>
        </w:r>
        <w:r w:rsidRPr="00037B95">
          <w:rPr>
            <w:rStyle w:val="Hyperlink"/>
            <w:kern w:val="22"/>
            <w:lang w:val="en-US"/>
          </w:rPr>
          <w:t>COP</w:t>
        </w:r>
        <w:r w:rsidRPr="00E078D2">
          <w:rPr>
            <w:rStyle w:val="Hyperlink"/>
            <w:kern w:val="22"/>
          </w:rPr>
          <w:t>12)</w:t>
        </w:r>
      </w:hyperlink>
      <w:r w:rsidRPr="00E078D2">
        <w:t xml:space="preserve"> </w:t>
      </w:r>
      <w:r w:rsidR="00E078D2">
        <w:t>о взаимодействии и партнерстве</w:t>
      </w:r>
      <w:r w:rsidRPr="00E078D2">
        <w:t xml:space="preserve">. </w:t>
      </w:r>
      <w:r>
        <w:t>В резолюции содержатся всеобъемлющие и широкомасштабные руководящие указания Конференции Стор</w:t>
      </w:r>
      <w:r w:rsidR="009A754F">
        <w:t>он для Сторон и С</w:t>
      </w:r>
      <w:r>
        <w:t xml:space="preserve">екретариата КМВ, направленные в частности на укрепление сотрудничества и взаимодействия с другими конвенциями и организациями, связанными с биоразнообразием, в том числе в рамках </w:t>
      </w:r>
      <w:r w:rsidR="003A6B21">
        <w:t>Контактной г</w:t>
      </w:r>
      <w:r>
        <w:t>руппы по  конвенциям, связанным с биоразнообразием, Стратегического плана в области сохранения и устойчивого использования биоразнообразия на 2011-2020 годы и последующей деятельности, Стратегического плана по мигрирующим видам на 2015-2023 годов и Повестки дня в области устойчивого развития на период до 2030 года. Среди прочего, Конференция Сторон КМВ приветствовала решение о сотрудничестве, координации и взаимодействии между конвенциями, связанными с биоразнообразием, принятое Конференцией Сторон Конвенции о биологическом разнообразии на ее тринадцатом совещании.</w:t>
      </w:r>
    </w:p>
    <w:p w:rsidR="00A61C21" w:rsidRPr="009A754F" w:rsidRDefault="00A61C21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пункте 10 этой резолюции Конференция Сторон КМВ просила Секретариат КМВ подготовить предложения по укреплению сотрудничества, координации и взаимодействия с другими конвенциями, связанными с биоразнообразием, для рассмотрения на ее будущих совещаниях. Она направила ряд предложений для рассмотрения в рамках Контактной группы конвенций, связанных с биоразнообразием (напр. пп. 17-20). В пункте 23 Конференция Сторон настоятельно призвала Стороны наладить тесное сотрудничество на национальном уровне между координационным центром КМВ и координационными центрами других соответствующих конвенций, с тем чтобы правительства могли разработать согласованные и скоординированные подходы во всех конвенциях и повысить эффективность национальных усилий, например, путем формирования национальных рабочих групп по биоразнообразию для координации работы центров соответствующих многосторонних природоохранных соглашений и других заинтересованных </w:t>
      </w:r>
      <w:r w:rsidR="0038433D">
        <w:t>с</w:t>
      </w:r>
      <w:r>
        <w:t>торон, в том числе посредством соответствующих мер в национальных стратегиях и планах действий по сохранению биоразнообразия, согласованной национальной отчетности и принятия согласованных национальных позиций в отношении каждого многостороннего природоохранного соглашения.</w:t>
      </w:r>
    </w:p>
    <w:p w:rsidR="009A754F" w:rsidRPr="00883A1C" w:rsidRDefault="009A754F" w:rsidP="009A754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</w:p>
    <w:p w:rsidR="009B7CA5" w:rsidRPr="00883A1C" w:rsidRDefault="0045665D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lastRenderedPageBreak/>
        <w:t xml:space="preserve">На своей седьмой сессии (Кигали, 30 октября - 3 ноября 2017 года) Управляющий орган Международного договора о генетических ресурсах </w:t>
      </w:r>
      <w:r w:rsidR="00CB4DEF">
        <w:t xml:space="preserve">растений </w:t>
      </w:r>
      <w:r>
        <w:t xml:space="preserve">для производства продовольствия и ведения сельского хозяйства (МДГРРПСХ) принял резолюции, касающиеся его отношений с Конвенцией о биологическом разнообразии (резолюция </w:t>
      </w:r>
      <w:hyperlink r:id="rId14">
        <w:r>
          <w:rPr>
            <w:rStyle w:val="Hyperlink"/>
            <w:kern w:val="22"/>
          </w:rPr>
          <w:t>9/2</w:t>
        </w:r>
        <w:r>
          <w:rPr>
            <w:rStyle w:val="Hyperlink"/>
            <w:kern w:val="22"/>
          </w:rPr>
          <w:t>0</w:t>
        </w:r>
        <w:r>
          <w:rPr>
            <w:rStyle w:val="Hyperlink"/>
            <w:kern w:val="22"/>
          </w:rPr>
          <w:t>17</w:t>
        </w:r>
      </w:hyperlink>
      <w:r>
        <w:t xml:space="preserve"> ) и его сотрудничеств</w:t>
      </w:r>
      <w:r w:rsidR="00CB4DEF">
        <w:t>а</w:t>
      </w:r>
      <w:r>
        <w:t xml:space="preserve"> с другими международными органами и организациями (резолюция </w:t>
      </w:r>
      <w:hyperlink r:id="rId15">
        <w:r>
          <w:rPr>
            <w:rStyle w:val="Hyperlink"/>
            <w:kern w:val="22"/>
          </w:rPr>
          <w:t>12/2</w:t>
        </w:r>
        <w:r>
          <w:rPr>
            <w:rStyle w:val="Hyperlink"/>
            <w:kern w:val="22"/>
          </w:rPr>
          <w:t>0</w:t>
        </w:r>
        <w:r>
          <w:rPr>
            <w:rStyle w:val="Hyperlink"/>
            <w:kern w:val="22"/>
          </w:rPr>
          <w:t>17</w:t>
        </w:r>
      </w:hyperlink>
      <w:r>
        <w:t xml:space="preserve">). В резолюции 9/2017 Управляющий орган, приветствуя приложения I и II к решению XIII/24, предложил Договаривающимся сторонам </w:t>
      </w:r>
      <w:r w:rsidR="00CB43FE">
        <w:t>рассмотреть вопрос о поддержке осуществления указанных вариантов в целях дальнейшего укрепления сотрудничества и координации действий с другими соответствующими международными договорами и расширения взаимодействия с ними</w:t>
      </w:r>
      <w:r>
        <w:t xml:space="preserve">, и </w:t>
      </w:r>
      <w:r w:rsidR="00E62C5D">
        <w:t>поручил</w:t>
      </w:r>
      <w:r>
        <w:t xml:space="preserve"> Секретар</w:t>
      </w:r>
      <w:r w:rsidR="00E62C5D">
        <w:t>ю</w:t>
      </w:r>
      <w:r w:rsidR="00E62C5D" w:rsidRPr="00E62C5D">
        <w:t xml:space="preserve"> </w:t>
      </w:r>
      <w:r w:rsidR="00E62C5D">
        <w:t>реализовать предусмотренные указанными вариантами меры, в частности, в контексте Контактной группы конвенций, связанных с биоразнообразием, совместных программ работы с другими соответствующими международными договорами, деятельности в области управления информацией и знаниями, отчетности и мониторинга, коммуникаций и наращивания потенциала</w:t>
      </w:r>
      <w:r>
        <w:t>.</w:t>
      </w:r>
    </w:p>
    <w:p w:rsidR="0004114D" w:rsidRPr="00883A1C" w:rsidRDefault="009B7CA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той же резолюции Управляющий орган приветствовал решение Конференции Сторон Конвенции о биологическом разнообразии, принятое на ее тринадцатом совещании, отразить элементы рекомендаций, содержащихся в Договоре, в четырехлетних рамках программных приоритетов для Глобального экологического фонда. Он принял к сведению решение Конференции Сторон Конвенции о биологическом разнообразии разработать стратегические рекомендации </w:t>
      </w:r>
      <w:r w:rsidR="00FF49F2">
        <w:t>для</w:t>
      </w:r>
      <w:r>
        <w:t xml:space="preserve"> восьмо</w:t>
      </w:r>
      <w:r w:rsidR="00FF49F2">
        <w:t>го</w:t>
      </w:r>
      <w:r>
        <w:t xml:space="preserve"> пополнени</w:t>
      </w:r>
      <w:r w:rsidR="00FF49F2">
        <w:t>я</w:t>
      </w:r>
      <w:r>
        <w:t xml:space="preserve"> Целевого фонда Глобального экологического фонда. Он также </w:t>
      </w:r>
      <w:r w:rsidR="004144CF">
        <w:t xml:space="preserve">отметил, </w:t>
      </w:r>
      <w:r w:rsidR="004144CF">
        <w:t>что Стратегический план в области биоразнообразия на 2011–2020 годы открывает возможности для дальнейшего сотрудничества и обеспечения должной согласованности действий Международного договора и Конвенц</w:t>
      </w:r>
      <w:r w:rsidR="004144CF">
        <w:t>ии о биологическом разнообразии</w:t>
      </w:r>
      <w:r>
        <w:t xml:space="preserve">. Кроме того, он </w:t>
      </w:r>
      <w:r w:rsidR="00655A11">
        <w:t>поручил</w:t>
      </w:r>
      <w:r>
        <w:t xml:space="preserve"> Секретар</w:t>
      </w:r>
      <w:r w:rsidR="00655A11">
        <w:t>ю</w:t>
      </w:r>
      <w:r>
        <w:t xml:space="preserve"> продолжать сотрудничать с секретариатом Конвенции о биологическом разнообразии и другими соответствующими партнерами </w:t>
      </w:r>
      <w:r w:rsidR="00655A11">
        <w:t>по</w:t>
      </w:r>
      <w:r>
        <w:t xml:space="preserve"> други</w:t>
      </w:r>
      <w:r w:rsidR="00655A11">
        <w:t>м вопросам</w:t>
      </w:r>
      <w:r>
        <w:t xml:space="preserve">, </w:t>
      </w:r>
      <w:r w:rsidR="00655A11">
        <w:t>таким как</w:t>
      </w:r>
      <w:r>
        <w:t xml:space="preserve"> </w:t>
      </w:r>
      <w:r w:rsidR="00655A11">
        <w:t xml:space="preserve">цифровая </w:t>
      </w:r>
      <w:r>
        <w:t>информаци</w:t>
      </w:r>
      <w:r w:rsidR="00655A11">
        <w:t>я</w:t>
      </w:r>
      <w:r>
        <w:t xml:space="preserve"> о последовательности</w:t>
      </w:r>
      <w:r w:rsidR="00655A11">
        <w:t xml:space="preserve"> генетических оснований</w:t>
      </w:r>
      <w:r>
        <w:t xml:space="preserve">, доступ к генетическим ресурсам и совместное использование выгод, </w:t>
      </w:r>
      <w:r w:rsidR="00655A11">
        <w:t xml:space="preserve">обсуждение пункта </w:t>
      </w:r>
      <w:r w:rsidR="00655A11">
        <w:t>j)</w:t>
      </w:r>
      <w:r w:rsidR="00655A11">
        <w:t xml:space="preserve"> </w:t>
      </w:r>
      <w:r>
        <w:t>стать</w:t>
      </w:r>
      <w:r w:rsidR="00655A11">
        <w:t>и</w:t>
      </w:r>
      <w:r>
        <w:t xml:space="preserve"> 8 Конвенции</w:t>
      </w:r>
      <w:r w:rsidR="00655A11">
        <w:t xml:space="preserve"> о биологическом разнообразии</w:t>
      </w:r>
      <w:r>
        <w:t xml:space="preserve"> и Стать</w:t>
      </w:r>
      <w:r w:rsidR="00655A11">
        <w:t>и</w:t>
      </w:r>
      <w:r>
        <w:t xml:space="preserve"> 10 </w:t>
      </w:r>
      <w:proofErr w:type="spellStart"/>
      <w:r>
        <w:t>Нагойского</w:t>
      </w:r>
      <w:proofErr w:type="spellEnd"/>
      <w:r>
        <w:t xml:space="preserve"> протокола.</w:t>
      </w:r>
    </w:p>
    <w:p w:rsidR="000C2430" w:rsidRPr="003118FD" w:rsidRDefault="001E2741" w:rsidP="003118FD">
      <w:pPr>
        <w:pStyle w:val="Para1"/>
        <w:rPr>
          <w:szCs w:val="22"/>
        </w:rPr>
      </w:pPr>
      <w:r w:rsidRPr="003118FD">
        <w:rPr>
          <w:szCs w:val="22"/>
        </w:rPr>
        <w:t>В резолюции 12/2017 У</w:t>
      </w:r>
      <w:r w:rsidR="00072427" w:rsidRPr="003118FD">
        <w:rPr>
          <w:szCs w:val="22"/>
        </w:rPr>
        <w:t xml:space="preserve">правляющий орган </w:t>
      </w:r>
      <w:r w:rsidR="00242120" w:rsidRPr="003118FD">
        <w:rPr>
          <w:szCs w:val="22"/>
        </w:rPr>
        <w:t>поручил</w:t>
      </w:r>
      <w:r w:rsidR="00072427" w:rsidRPr="003118FD">
        <w:rPr>
          <w:szCs w:val="22"/>
        </w:rPr>
        <w:t xml:space="preserve"> свое</w:t>
      </w:r>
      <w:r w:rsidR="00242120" w:rsidRPr="003118FD">
        <w:rPr>
          <w:szCs w:val="22"/>
        </w:rPr>
        <w:t>му</w:t>
      </w:r>
      <w:r w:rsidR="00072427" w:rsidRPr="003118FD">
        <w:rPr>
          <w:szCs w:val="22"/>
        </w:rPr>
        <w:t xml:space="preserve"> С</w:t>
      </w:r>
      <w:r w:rsidRPr="003118FD">
        <w:rPr>
          <w:szCs w:val="22"/>
        </w:rPr>
        <w:t>екретар</w:t>
      </w:r>
      <w:r w:rsidR="00242120" w:rsidRPr="003118FD">
        <w:rPr>
          <w:szCs w:val="22"/>
        </w:rPr>
        <w:t>ю</w:t>
      </w:r>
      <w:r w:rsidRPr="003118FD">
        <w:rPr>
          <w:szCs w:val="22"/>
        </w:rPr>
        <w:t xml:space="preserve"> продолжать и далее укреплят</w:t>
      </w:r>
      <w:r w:rsidR="00FA107F">
        <w:rPr>
          <w:szCs w:val="22"/>
        </w:rPr>
        <w:t>ь и расширять сотрудничество с С</w:t>
      </w:r>
      <w:r w:rsidRPr="003118FD">
        <w:rPr>
          <w:szCs w:val="22"/>
        </w:rPr>
        <w:t xml:space="preserve">екретариатом Конвенции о биологическом разнообразии, </w:t>
      </w:r>
      <w:r w:rsidR="003118FD" w:rsidRPr="003118FD">
        <w:rPr>
          <w:szCs w:val="22"/>
        </w:rPr>
        <w:t xml:space="preserve">Инициативой по развитию потенциала в части </w:t>
      </w:r>
      <w:r w:rsidR="00025EB5">
        <w:rPr>
          <w:szCs w:val="22"/>
        </w:rPr>
        <w:t>доступа и реализации выгод</w:t>
      </w:r>
      <w:r w:rsidR="003118FD" w:rsidRPr="003118FD">
        <w:rPr>
          <w:szCs w:val="22"/>
        </w:rPr>
        <w:t xml:space="preserve"> и другими организациями, оказывающими услуги по развитию потенциала в оказании поддержки Договаривающимся Сторонам в целях гармонизированного осуществления Международного договора, Конвенции о биологическом разнообразии и </w:t>
      </w:r>
      <w:proofErr w:type="spellStart"/>
      <w:r w:rsidR="003118FD" w:rsidRPr="003118FD">
        <w:rPr>
          <w:szCs w:val="22"/>
        </w:rPr>
        <w:t>Нагойского</w:t>
      </w:r>
      <w:proofErr w:type="spellEnd"/>
      <w:r w:rsidR="003118FD" w:rsidRPr="003118FD">
        <w:rPr>
          <w:szCs w:val="22"/>
        </w:rPr>
        <w:t xml:space="preserve"> протокола на принципах взаимной поддержки</w:t>
      </w:r>
      <w:r w:rsidRPr="003118FD">
        <w:rPr>
          <w:szCs w:val="22"/>
        </w:rPr>
        <w:t xml:space="preserve">. В </w:t>
      </w:r>
      <w:proofErr w:type="spellStart"/>
      <w:r w:rsidRPr="003118FD">
        <w:rPr>
          <w:szCs w:val="22"/>
        </w:rPr>
        <w:t>той</w:t>
      </w:r>
      <w:proofErr w:type="spellEnd"/>
      <w:r w:rsidRPr="003118FD">
        <w:rPr>
          <w:szCs w:val="22"/>
        </w:rPr>
        <w:t xml:space="preserve"> </w:t>
      </w:r>
      <w:proofErr w:type="spellStart"/>
      <w:r w:rsidRPr="003118FD">
        <w:rPr>
          <w:szCs w:val="22"/>
        </w:rPr>
        <w:t>же</w:t>
      </w:r>
      <w:proofErr w:type="spellEnd"/>
      <w:r w:rsidRPr="003118FD">
        <w:rPr>
          <w:szCs w:val="22"/>
        </w:rPr>
        <w:t xml:space="preserve"> </w:t>
      </w:r>
      <w:proofErr w:type="spellStart"/>
      <w:r w:rsidRPr="003118FD">
        <w:rPr>
          <w:szCs w:val="22"/>
        </w:rPr>
        <w:t>резолюции</w:t>
      </w:r>
      <w:proofErr w:type="spellEnd"/>
      <w:r w:rsidRPr="003118FD">
        <w:rPr>
          <w:szCs w:val="22"/>
        </w:rPr>
        <w:t xml:space="preserve"> Управляющий орган </w:t>
      </w:r>
      <w:r w:rsidR="0004197A">
        <w:rPr>
          <w:szCs w:val="22"/>
        </w:rPr>
        <w:t>поруч</w:t>
      </w:r>
      <w:r w:rsidRPr="003118FD">
        <w:rPr>
          <w:szCs w:val="22"/>
        </w:rPr>
        <w:t>ил Секретар</w:t>
      </w:r>
      <w:r w:rsidR="0004197A">
        <w:rPr>
          <w:szCs w:val="22"/>
        </w:rPr>
        <w:t>ю</w:t>
      </w:r>
      <w:r w:rsidRPr="003118FD">
        <w:rPr>
          <w:szCs w:val="22"/>
        </w:rPr>
        <w:t xml:space="preserve"> продолжать активно участвовать в соответствующих мероприятиях Контактной группы конвенций, связанных с биоразнообразием, и настоят</w:t>
      </w:r>
      <w:r w:rsidR="006E439D">
        <w:rPr>
          <w:szCs w:val="22"/>
        </w:rPr>
        <w:t xml:space="preserve">ельно призвал Договаривающиеся </w:t>
      </w:r>
      <w:proofErr w:type="spellStart"/>
      <w:r w:rsidR="006E439D">
        <w:rPr>
          <w:szCs w:val="22"/>
        </w:rPr>
        <w:t>C</w:t>
      </w:r>
      <w:r w:rsidRPr="003118FD">
        <w:rPr>
          <w:szCs w:val="22"/>
        </w:rPr>
        <w:t>тороны</w:t>
      </w:r>
      <w:proofErr w:type="spellEnd"/>
      <w:r w:rsidRPr="003118FD">
        <w:rPr>
          <w:szCs w:val="22"/>
        </w:rPr>
        <w:t xml:space="preserve"> принять меры по расширению взаимодействия при их осуществлении или участия в конвенциях, связанных с биоразнообразием, для обеспечения согласованности политики, повышения эффективности и улучшения координации и сотрудничества на всех уровнях. Он также предложил международным организациям и донорам предоставить финансовые ресурсы для поддержки усилий, которые способствуют взаимодействию при разработке политики и выполнении обязательств по конвенциям, связанным с биоразнообразием</w:t>
      </w:r>
      <w:r>
        <w:t>.</w:t>
      </w:r>
    </w:p>
    <w:p w:rsidR="004F34CE" w:rsidRPr="00FA107F" w:rsidRDefault="00691E77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/>
          <w:snapToGrid/>
          <w:kern w:val="22"/>
          <w:szCs w:val="22"/>
        </w:rPr>
      </w:pPr>
      <w:r>
        <w:t>На своем 53-</w:t>
      </w:r>
      <w:r w:rsidR="00E852BC">
        <w:t>м</w:t>
      </w:r>
      <w:r>
        <w:t xml:space="preserve"> </w:t>
      </w:r>
      <w:r w:rsidR="00CB4DEF">
        <w:t>совеща</w:t>
      </w:r>
      <w:r>
        <w:t>нии (Гланд, Швейцария, 29 мая - 2 июня 2017 года) Постоянный комит</w:t>
      </w:r>
      <w:r w:rsidR="00FA107F">
        <w:t xml:space="preserve">ет </w:t>
      </w:r>
      <w:proofErr w:type="spellStart"/>
      <w:r w:rsidR="00FA107F">
        <w:t>Рамсарской</w:t>
      </w:r>
      <w:proofErr w:type="spellEnd"/>
      <w:r w:rsidR="00FA107F">
        <w:t xml:space="preserve"> конвенции просил С</w:t>
      </w:r>
      <w:r>
        <w:t xml:space="preserve">екретариат </w:t>
      </w:r>
      <w:proofErr w:type="spellStart"/>
      <w:r>
        <w:t>Рамсарской</w:t>
      </w:r>
      <w:proofErr w:type="spellEnd"/>
      <w:r>
        <w:t xml:space="preserve"> конвенции рассмотреть действия, указанные в приложениях I и II к решению XIII/24 Конференции Сторон Конвенции о биологическом разнообразии, которые имеют отношение к Рамсарской конвенции, и при необходимости вносить вклад в процесс взаимодействия (см. решение SC53-19)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3"/>
      </w:r>
      <w:r w:rsidR="00E852BC">
        <w:t>.</w:t>
      </w:r>
    </w:p>
    <w:p w:rsidR="00FA107F" w:rsidRPr="00883A1C" w:rsidRDefault="00FA107F" w:rsidP="00FA107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/>
          <w:snapToGrid/>
          <w:kern w:val="22"/>
          <w:szCs w:val="22"/>
        </w:rPr>
      </w:pPr>
    </w:p>
    <w:p w:rsidR="00706F41" w:rsidRPr="00883A1C" w:rsidRDefault="00706F41" w:rsidP="00883A1C">
      <w:pPr>
        <w:numPr>
          <w:ilvl w:val="0"/>
          <w:numId w:val="36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</w:rPr>
      </w:pPr>
      <w:r>
        <w:rPr>
          <w:b/>
          <w:kern w:val="22"/>
        </w:rPr>
        <w:lastRenderedPageBreak/>
        <w:t>Контактная группа конвенций, связанных с биоразнообразием</w:t>
      </w:r>
    </w:p>
    <w:p w:rsidR="009B7CA5" w:rsidRPr="00883A1C" w:rsidRDefault="009B7CA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Совещание Контактной группы конвенций, связанных с биоразнообразием, было проведено в</w:t>
      </w:r>
      <w:r w:rsidR="00C774E4">
        <w:t xml:space="preserve"> </w:t>
      </w:r>
      <w:r>
        <w:t>режиме видеоконференци</w:t>
      </w:r>
      <w:r w:rsidR="00025EB5">
        <w:t>и</w:t>
      </w:r>
      <w:r>
        <w:t xml:space="preserve"> 25 января 2017 года для представления доклада об итогах </w:t>
      </w:r>
      <w:r w:rsidR="00986387">
        <w:t xml:space="preserve">работы </w:t>
      </w:r>
      <w:r>
        <w:t>тринадцатого совещания Конференции Сторон и последних событиях в рамках других конвенций. Значительное внимание было уделено обсуждени</w:t>
      </w:r>
      <w:r w:rsidR="00986387">
        <w:t>ю</w:t>
      </w:r>
      <w:r>
        <w:t xml:space="preserve"> решения XIII/24. Двенадцатое очередное совещание Контактной группы конвенций, связанных с биоразнообразием, состоялось 28 июня 2017 года в </w:t>
      </w:r>
      <w:r w:rsidR="003B75CF">
        <w:t>штаб-квартире</w:t>
      </w:r>
      <w:r>
        <w:t xml:space="preserve"> Продовольственной и сельскохозяйственной организации Объединенных Наций в Риме. </w:t>
      </w:r>
      <w:r w:rsidR="003B75CF">
        <w:t>Совещ</w:t>
      </w:r>
      <w:r>
        <w:t>ание проходило под председательством Секретаря МДГРРПСХ. На совещании наряду с другими вопросами были рассмотрены решение XIII/24 и вклад конвенций в процесс разработки рамок для сохранения биоразнообразия после 2020 года. Контактная группа подчеркнула повышение качества и количества практических мер, предпринятых секретариатами в целях укрепления сотрудничества и взаимодействия за последние несколько лет, и приветствовала дальнейшие возможности для сотрудничества, в том числе в рамках двустороннего сотрудничества и совместных планов работы и деятельности.</w:t>
      </w:r>
    </w:p>
    <w:p w:rsidR="00E85989" w:rsidRPr="00883A1C" w:rsidRDefault="009B7CA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29 сентября 2017 года Секретариат созвал совещание с участием членов Контактной группы конвенций, связанных с биоразнообразием, и организаций, которые предоставляют свои секретариаты. Совещание проходило под председательством Исполнительного секретаря. На совещании были обсуждены возможности укрепления межучрежденческой координации и сотрудничества в поддержку программ биоразнообразия и устойчивого развития, в частности осуществления конвенций, связанных с биоразнообразием, на национальном уровне посредством взаимодополняющих мероприятий, включая создание потенциала. Это было рассмотрено в контексте осуществления Стратегического плана в области сохранения и устойчивого использования биоразнообразия на 2011-2020 годы и его последующей деятельности. Было решено, что аналогичное совещание, включающее более широкую группу организаций, будет проведено совместно с совещанием Контактной группы в 2018 году. В качестве последующей меры в связи с одной из рекомендаций совещания Секретариат провел текущие консультации с координаторами по вопросам развития потенциала секретариатов конвенций, связанных с биоразнообразием, и соответствующи</w:t>
      </w:r>
      <w:r w:rsidR="003B75CF">
        <w:t>х</w:t>
      </w:r>
      <w:r>
        <w:t xml:space="preserve"> международны</w:t>
      </w:r>
      <w:r w:rsidR="003B75CF">
        <w:t>х</w:t>
      </w:r>
      <w:r>
        <w:t xml:space="preserve"> организаци</w:t>
      </w:r>
      <w:r w:rsidR="003B75CF">
        <w:t>й</w:t>
      </w:r>
      <w:r>
        <w:t xml:space="preserve"> в целях содействия осуществлению решения XIII/23. Дополнительная информация об этом совещании и совещании Контактной группы содержится в информационном документе CBD/SBI/2/INF/12.</w:t>
      </w:r>
    </w:p>
    <w:p w:rsidR="00C76CD2" w:rsidRPr="00883A1C" w:rsidRDefault="00706F41" w:rsidP="00883A1C">
      <w:pPr>
        <w:keepNext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</w:rPr>
      </w:pPr>
      <w:r>
        <w:rPr>
          <w:b/>
          <w:kern w:val="22"/>
        </w:rPr>
        <w:t>Двустороннее сотрудничество</w:t>
      </w:r>
    </w:p>
    <w:p w:rsidR="004F34CE" w:rsidRPr="00883A1C" w:rsidRDefault="00867462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Конвенции сотрудничают между собой в рамках многочисленных двусторонних отношений, направленных на усиление преимуществ, полученных в результате взаимодействия в пересекающихся областях интересов соответствующих конвенций. Эт</w:t>
      </w:r>
      <w:r w:rsidR="00997C5F">
        <w:t>а</w:t>
      </w:r>
      <w:r>
        <w:t xml:space="preserve"> область признается Конференцией Сторон Конвенции как имеющая важное значение для усиления взаимодействия в осуществлении конвенций и отражена в качестве жела</w:t>
      </w:r>
      <w:r w:rsidR="00581234">
        <w:t>ем</w:t>
      </w:r>
      <w:r>
        <w:t>ой ключевой меры в рамках «дорожной карты» для усиления взаимодействия между конвенциями, связанными с биоразнообразием, на международном уровне в 2017-2020 годах. Ниже приводятся последние примеры таких совместных усилий.</w:t>
      </w:r>
    </w:p>
    <w:p w:rsidR="00C76CD2" w:rsidRPr="00883A1C" w:rsidRDefault="00E91F7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Постоянный комитет Конвенции о международной торговле видами дикой фауны и флоры, находящимися под угрозой исчезновения (СИТЕС) и Конференция Сторон КМВ утвердили совместную рабочую программу СИТЕС-КМВ на 2015-2020 годы</w:t>
      </w:r>
      <w:r>
        <w:rPr>
          <w:kern w:val="22"/>
          <w:vertAlign w:val="superscript"/>
        </w:rPr>
        <w:footnoteReference w:id="4"/>
      </w:r>
      <w:r w:rsidR="00E852BC">
        <w:t>.</w:t>
      </w:r>
      <w:r>
        <w:t xml:space="preserve"> При поддержке сотрудника совместной программы СИТЕС-КМВ, щедро финансируемой правительством Германии и действующей с июля 2015 года, Секретариат СИТЕС сотрудничает с секретариатами КМВ и его </w:t>
      </w:r>
      <w:r w:rsidR="00E62F4C">
        <w:t>брат</w:t>
      </w:r>
      <w:r>
        <w:t>скими соглашениями по ряду вопросов:</w:t>
      </w:r>
    </w:p>
    <w:p w:rsidR="008F650F" w:rsidRPr="00883A1C" w:rsidRDefault="00E62F4C" w:rsidP="00883A1C">
      <w:pPr>
        <w:pStyle w:val="Para1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lastRenderedPageBreak/>
        <w:t>сотрудничество с С</w:t>
      </w:r>
      <w:r w:rsidR="008F650F">
        <w:t>екретариатом Соглашения о сохранении китообразных Черного моря, Средиземного моря и прилегающей атлантической зоны (ACCOBAMS) по афалине Черного моря (</w:t>
      </w:r>
      <w:r w:rsidR="008F650F">
        <w:rPr>
          <w:i/>
          <w:kern w:val="22"/>
        </w:rPr>
        <w:t>Tursiops truncatus ponticus</w:t>
      </w:r>
      <w:r w:rsidR="008F650F">
        <w:t>);</w:t>
      </w:r>
    </w:p>
    <w:p w:rsidR="008F650F" w:rsidRPr="00883A1C" w:rsidRDefault="00E62F4C" w:rsidP="00883A1C">
      <w:pPr>
        <w:pStyle w:val="Para1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с</w:t>
      </w:r>
      <w:r w:rsidR="008F650F">
        <w:t xml:space="preserve">отрудничество с Секретариатом </w:t>
      </w:r>
      <w:r w:rsidRPr="00E62F4C">
        <w:rPr>
          <w:rStyle w:val="preferred"/>
          <w:color w:val="333333"/>
          <w:szCs w:val="22"/>
        </w:rPr>
        <w:t>Меморандум</w:t>
      </w:r>
      <w:r>
        <w:rPr>
          <w:rStyle w:val="preferred"/>
          <w:color w:val="333333"/>
          <w:szCs w:val="22"/>
        </w:rPr>
        <w:t>а</w:t>
      </w:r>
      <w:r w:rsidRPr="00E62F4C">
        <w:rPr>
          <w:rStyle w:val="preferred"/>
          <w:color w:val="333333"/>
          <w:szCs w:val="22"/>
        </w:rPr>
        <w:t xml:space="preserve"> о взаимопонимании относительно сохранения морских черепах и их местообитаний в Индийском океане и Юго-Восточной Азии и управления ими</w:t>
      </w:r>
      <w:r>
        <w:t xml:space="preserve"> </w:t>
      </w:r>
      <w:r w:rsidR="008F650F">
        <w:t>в подготовке исследования о незаконной торговле морскими черепахами;</w:t>
      </w:r>
    </w:p>
    <w:p w:rsidR="008F650F" w:rsidRPr="00883A1C" w:rsidRDefault="002B7D5B" w:rsidP="00883A1C">
      <w:pPr>
        <w:pStyle w:val="Para1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с</w:t>
      </w:r>
      <w:r w:rsidR="00C774E4">
        <w:t>отр</w:t>
      </w:r>
      <w:bookmarkStart w:id="1" w:name="_GoBack"/>
      <w:bookmarkEnd w:id="1"/>
      <w:r w:rsidR="00C774E4">
        <w:t>удничество с С</w:t>
      </w:r>
      <w:r w:rsidR="008F650F">
        <w:t>екретариатом КМВ в отношении африканского льва (</w:t>
      </w:r>
      <w:r w:rsidR="008F650F">
        <w:rPr>
          <w:i/>
          <w:kern w:val="22"/>
        </w:rPr>
        <w:t>Panthera leo</w:t>
      </w:r>
      <w:r w:rsidR="008F650F">
        <w:t>), включая разработку веб-портала</w:t>
      </w:r>
      <w:r w:rsidR="007D213C">
        <w:t>, посвященного</w:t>
      </w:r>
      <w:r w:rsidR="008F650F">
        <w:t xml:space="preserve"> льв</w:t>
      </w:r>
      <w:r w:rsidR="007D213C">
        <w:t>ам</w:t>
      </w:r>
      <w:r w:rsidR="008F650F">
        <w:t>, позволяющего, среди прочего, осуществлять обмен информацией и добровольное руководство по устойчивому использованию африканских львов;</w:t>
      </w:r>
    </w:p>
    <w:p w:rsidR="008F650F" w:rsidRPr="00883A1C" w:rsidRDefault="00F613B5" w:rsidP="00883A1C">
      <w:pPr>
        <w:pStyle w:val="Para1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с</w:t>
      </w:r>
      <w:r w:rsidR="008F650F">
        <w:t>отрудничество с Секретариатом Меморандума о взаимопонимании в отношении сохранения, восстановления и устойчивого использования сайгака (</w:t>
      </w:r>
      <w:r w:rsidR="008F650F">
        <w:rPr>
          <w:i/>
          <w:kern w:val="22"/>
        </w:rPr>
        <w:t>Saiga</w:t>
      </w:r>
      <w:r w:rsidR="008F650F">
        <w:t xml:space="preserve"> spp.).</w:t>
      </w:r>
    </w:p>
    <w:p w:rsidR="00FD4EBA" w:rsidRPr="00883A1C" w:rsidRDefault="00FD4EBA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этом контексте, например, секретариаты КМВ и СИТЕС созвали совместное совещание для широкого обсуждения вопроса о сохранении африканского льва на всем континенте и в то же время </w:t>
      </w:r>
      <w:r w:rsidR="00F458EA">
        <w:t>для содействия</w:t>
      </w:r>
      <w:r>
        <w:t xml:space="preserve"> осуществлени</w:t>
      </w:r>
      <w:r w:rsidR="00F458EA">
        <w:t>ю</w:t>
      </w:r>
      <w:r>
        <w:t xml:space="preserve"> Резолюции 11.32 КМВ и обсуждения соответствующих списков видов в рамках СИТЕС и КМВ. </w:t>
      </w:r>
      <w:r w:rsidR="00F458EA">
        <w:t>Совещание</w:t>
      </w:r>
      <w:r>
        <w:t xml:space="preserve"> состоял</w:t>
      </w:r>
      <w:r w:rsidR="00F458EA">
        <w:t>о</w:t>
      </w:r>
      <w:r>
        <w:t xml:space="preserve">сь в Энтеббе, Уганда, 30 и 31 мая 2016 года, </w:t>
      </w:r>
      <w:r w:rsidR="00F458EA">
        <w:t>по результатам которого было</w:t>
      </w:r>
      <w:r>
        <w:t xml:space="preserve"> опубликова</w:t>
      </w:r>
      <w:r w:rsidR="00F458EA">
        <w:t>но</w:t>
      </w:r>
      <w:r>
        <w:t xml:space="preserve"> коммюнике, в котором содержится призыв к совместным усилиям по сохранению этого вида. На основе этой совместной работы секретариаты разработали предложение о совместной инициативе СИТЕС-КМВ в области африканских хищников, которая была принята Конференцией Сторон КМВ на ее двенадцатом совещании в ноябре 2017 года. Кроме того, были одобрены другие резолюции, направленные на развитие сотрудничества между двумя секретариатами по конкретным видам, включая слонов.</w:t>
      </w:r>
    </w:p>
    <w:p w:rsidR="008F650F" w:rsidRPr="00883A1C" w:rsidRDefault="008F650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Секретариаты КМВ и СИТЕС также тесно сотрудничают в области акул и ромбовых скатов, </w:t>
      </w:r>
      <w:r w:rsidR="00F458EA">
        <w:t>центрально-</w:t>
      </w:r>
      <w:r>
        <w:t>азиатских видов, угрей, высших приматов и слонов.</w:t>
      </w:r>
    </w:p>
    <w:p w:rsidR="00FD4EBA" w:rsidRPr="00883A1C" w:rsidRDefault="00FD4EBA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Секретариат КМВ также взаимодействует с Международной китобойной комиссией в отношении совместной разработки Справочника по наблюдению за китами в Интернете, в соответствии с просьбой Сторон обоих договоров.</w:t>
      </w:r>
    </w:p>
    <w:p w:rsidR="00FD4EBA" w:rsidRPr="00883A1C" w:rsidRDefault="009D01B3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Сотрудничество между КМВ и КБР в настоящее время </w:t>
      </w:r>
      <w:r w:rsidR="00F458EA">
        <w:t>осуществляется в соответствии с С</w:t>
      </w:r>
      <w:r>
        <w:t>овместным планом работы секретариатов КБР и КМВ на период 2016-2018 годов. Это включает их дальнейшее сотрудничество в контексте Контактной группы конвенций, связанных с биоразнообразием, а также в соответствии с решением XII/6</w:t>
      </w:r>
      <w:bookmarkStart w:id="2" w:name="START"/>
      <w:bookmarkEnd w:id="2"/>
      <w:r>
        <w:t xml:space="preserve"> Конференци</w:t>
      </w:r>
      <w:r w:rsidR="00581234">
        <w:t>и</w:t>
      </w:r>
      <w:r>
        <w:t xml:space="preserve"> Сторон КБР и Резолюцией 11.10 Конференции Сторон КМВ они совместно вносят вклад в процесс, возглавляемый Сторонами, направленный на расширение сотрудничества и повышение эффективности взаимодействия между конвенциями. Мероприятия в рамках Совместного плана работы устанавливаются в рамках их вклада в достижение целей Стратегического плана по мигрирующим видам на 2015-2023 год</w:t>
      </w:r>
      <w:r w:rsidR="00AC6C14">
        <w:t>ы и ц</w:t>
      </w:r>
      <w:r>
        <w:t>елевых задач по сохранению и устойчивому использованию биоразнообразия, принятых в Айти. Они охватывают такие области, как: связь; меры по сохранению на местах; развитие энергетического сектора с сохранением мигрирующих видов; взаимное внимание к вопросам подводного шума и морского мусора, рассматриваемого в рамках двух конвенций; рыболовство и устойчивое природопользование; сотрудничество в отношении других соответствующих аспектов морского биоразнообразия, включая процесс описания экологически или биологически значимых морских районов (ЭБЗР). Что касается последнего, то, например, Бюро КМВ в Абу-Даби поддержало организацию регионального семинара КБР для содействия описанию ЭБЗР в северо-западной части Индийского океана и прилегающих районах Персидского залива в апреле 2015 года.</w:t>
      </w:r>
    </w:p>
    <w:p w:rsidR="004F34CE" w:rsidRPr="00883A1C" w:rsidRDefault="004F34CE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Секретариат Конвенции о биологическом разнообразии, организовал при участии секретариатов КМВ, СИТЕС и Рамсарской конвенции параллельное мероприятие в рамках двенадцатого совещания Конференции Сторон КМВ, основное внимание на котором было уделено возможностям для всех конвенций, связанных с биоразнообразием, вносить вклад в разработку </w:t>
      </w:r>
      <w:r>
        <w:lastRenderedPageBreak/>
        <w:t>глобальной системы биоразнообразия после 2020 года. Секретариат Рамсарской конвенции организовал совместно с Секретариатом КМВ параллельное мероприятие в рамках двенадцатого совещания Конференции Сторон КМВ, посвященное конкретным механизмам взаимодействия, таким как Региональная инициатива Рамсарской конвенции по высокоандским водно-болотным угодьям и Меморандум о взаимопонимании КМВ по высокоандским фламинго.</w:t>
      </w:r>
    </w:p>
    <w:p w:rsidR="008F650F" w:rsidRPr="00883A1C" w:rsidRDefault="0031482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рамках пятого рамочного плана работы КБР-Рамсарской конвенции на 2011-2020 годы Секретариат Рамсарской конвенции продолжал работать и укреплять сотрудничество с Конвенцией о биологическом разнообразии, внося вклад в различные процессы, включая последующие меры в связи со </w:t>
      </w:r>
      <w:r w:rsidR="00D66157" w:rsidRPr="007F410C">
        <w:rPr>
          <w:color w:val="000000"/>
        </w:rPr>
        <w:t>Стратегически</w:t>
      </w:r>
      <w:r w:rsidR="00D66157">
        <w:rPr>
          <w:color w:val="000000"/>
        </w:rPr>
        <w:t>м</w:t>
      </w:r>
      <w:r w:rsidR="00D66157" w:rsidRPr="007F410C">
        <w:rPr>
          <w:color w:val="000000"/>
        </w:rPr>
        <w:t xml:space="preserve"> план</w:t>
      </w:r>
      <w:r w:rsidR="00D66157">
        <w:rPr>
          <w:color w:val="000000"/>
        </w:rPr>
        <w:t>ом</w:t>
      </w:r>
      <w:r w:rsidR="00D66157" w:rsidRPr="007F410C">
        <w:rPr>
          <w:color w:val="000000"/>
        </w:rPr>
        <w:t xml:space="preserve"> в области сохранения и устойчивого использования биоразнообразия на 2011-2020 годы</w:t>
      </w:r>
      <w:r>
        <w:t>, ЭБЗР, вопросы взаимодействия и создание потенциала.</w:t>
      </w:r>
    </w:p>
    <w:p w:rsidR="008F650F" w:rsidRPr="00883A1C" w:rsidRDefault="008F650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соответствии с решением </w:t>
      </w:r>
      <w:hyperlink r:id="rId16">
        <w:r>
          <w:rPr>
            <w:rStyle w:val="Hyperlink"/>
            <w:kern w:val="22"/>
          </w:rPr>
          <w:t>III/21</w:t>
        </w:r>
      </w:hyperlink>
      <w:r>
        <w:t xml:space="preserve"> Конференции Сторон Конвенции о биологическом разнообразии, Рамсарская конвенция играет ведущую роль в области водно-болотных угодий по сравнению с Конвенцией о биологическом разнообразии. Секретариат Рамсарской конвенции находится в процессе анализа национальных докладов, представленных его Договаривающимися сторонами, и подготовит для своего тринадцатого совещания Сторон глобальный и региональные доклады об осуществлении, включая вклад Рамсарской конвенции в конкретные области совместного плана работы и </w:t>
      </w:r>
      <w:r w:rsidR="00A119EB">
        <w:t>в достижение ц</w:t>
      </w:r>
      <w:r>
        <w:t>елевых задач по сохранению и устойчивому использованию би</w:t>
      </w:r>
      <w:r w:rsidR="00CE0D69">
        <w:t>оразнообразия, принятых в Айти.</w:t>
      </w:r>
    </w:p>
    <w:p w:rsidR="008E0FD0" w:rsidRPr="00883A1C" w:rsidRDefault="00282833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В соответствии с надлежащими решениями своих руководящих органов, секретариаты Рамсарской конвенции, КБР и КМВ сотрудничают в области восстановления прибрежных водно-болотных экосистем, а также в контексте инициативы «Забота о берегах». В соответствии с Конвенцией о всемирном наследии несколько прибрежных водно-болотных угодий были признаны объектами всемирного наследия. Последующие меры будут приниматься с целью выполнения положений Резолюции 12.25 Конференции Сторон КМВ, в которой Секретариату КМВ было предложено изучить с секретариатами других многосторонних природоохранных соглашений вопрос о глобальном «прибрежном форуме», а Научному совету - запросить информацию от научных вспомогательных органов других многосторонних природоохранных соглашений, чтобы создать рабочую группу с участием многих заинтересованных сторон в рамках предлагаемого прибрежного форума.</w:t>
      </w:r>
    </w:p>
    <w:p w:rsidR="008F650F" w:rsidRPr="00883A1C" w:rsidRDefault="008F650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Центр всемирного наследия и Секретариат Рамсарской конвенции продолжали вносить свой вклад в совместный проект, который был завершен путем публикации доклада </w:t>
      </w:r>
      <w:r>
        <w:rPr>
          <w:i/>
          <w:kern w:val="22"/>
        </w:rPr>
        <w:t>Рамсарской конвенции и Конвенции о всемирном наследии, "Сближение в интересах достижения успеха</w:t>
      </w:r>
      <w:r w:rsidR="00E852BC">
        <w:rPr>
          <w:i/>
          <w:kern w:val="22"/>
        </w:rPr>
        <w:t>»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5"/>
      </w:r>
      <w:r w:rsidR="00E852BC">
        <w:rPr>
          <w:i/>
          <w:kern w:val="22"/>
        </w:rPr>
        <w:t>.</w:t>
      </w:r>
      <w:r>
        <w:t xml:space="preserve"> По случаю выхода доклада в 2017 году Центр всемирного наследия запустил новый </w:t>
      </w:r>
      <w:r w:rsidR="00D46E78">
        <w:t>вебсайт</w:t>
      </w:r>
      <w:r>
        <w:t xml:space="preserve"> </w:t>
      </w:r>
      <w:r w:rsidR="006A01D0">
        <w:t>с</w:t>
      </w:r>
      <w:r>
        <w:t xml:space="preserve"> информ</w:t>
      </w:r>
      <w:r w:rsidR="006A01D0">
        <w:t>ацией</w:t>
      </w:r>
      <w:r>
        <w:t xml:space="preserve"> о сотрудничестве между Центром всемирного наследия и Секретариатом Рамсарской конвенции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6"/>
      </w:r>
      <w:r w:rsidR="00E852BC">
        <w:t>.</w:t>
      </w:r>
      <w:r>
        <w:t xml:space="preserve"> В докладе показаны примеры из практики, демонстрирующие каким образом сохранение культурных и природных ценностей может выиграть от двойных обозначений в рамках Рамсарской конвенции и Конвенции о всемирном наследии, а также то, как участие общин может способствовать положительным результатам сохранения. Совместный проект был основан на результатах проведенного недавно исследования МСОП «</w:t>
      </w:r>
      <w:r>
        <w:rPr>
          <w:i/>
          <w:kern w:val="22"/>
        </w:rPr>
        <w:t xml:space="preserve">Управление МИДАС - гармонизация управления несколькими международно обозначенными районами: Рамсарские угодья, объекты всемирного наследия, биосферные заповедники и глобальные </w:t>
      </w:r>
      <w:proofErr w:type="spellStart"/>
      <w:r>
        <w:rPr>
          <w:i/>
          <w:kern w:val="22"/>
        </w:rPr>
        <w:t>геопарки</w:t>
      </w:r>
      <w:proofErr w:type="spellEnd"/>
      <w:r>
        <w:rPr>
          <w:i/>
          <w:kern w:val="22"/>
        </w:rPr>
        <w:t xml:space="preserve"> ЮНЕСКО</w:t>
      </w:r>
      <w:r>
        <w:t>"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7"/>
      </w:r>
      <w:r w:rsidR="00E852BC">
        <w:t>,</w:t>
      </w:r>
      <w:r>
        <w:t xml:space="preserve"> котор</w:t>
      </w:r>
      <w:r w:rsidR="00581234">
        <w:t>о</w:t>
      </w:r>
      <w:r>
        <w:t>е был</w:t>
      </w:r>
      <w:r w:rsidR="00581234">
        <w:t>о</w:t>
      </w:r>
      <w:r>
        <w:t xml:space="preserve"> опубликован</w:t>
      </w:r>
      <w:r w:rsidR="00581234">
        <w:t>о</w:t>
      </w:r>
      <w:r>
        <w:t xml:space="preserve"> в 2016 году, причем основное внимание было уделено выявлению возможностей для расширения взаимодействия на местном и региональном уровнях, в том числе в отношении нескольких международно обозначенных районов (МИДАС), что также соответствует решению XIII/24B КБР.</w:t>
      </w:r>
    </w:p>
    <w:p w:rsidR="00691E77" w:rsidRPr="00883A1C" w:rsidRDefault="00691E77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lastRenderedPageBreak/>
        <w:t xml:space="preserve">Центр всемирного наследия далее продолжает тесное сотрудничество в отношении «состояния сохранения» нескольких объектов, которые в значительной степени зависят от воздействия незаконной торговли дикими животными. </w:t>
      </w:r>
      <w:r w:rsidR="00A76A57">
        <w:t>Положительными</w:t>
      </w:r>
      <w:r>
        <w:t xml:space="preserve"> пример</w:t>
      </w:r>
      <w:r w:rsidR="00A76A57">
        <w:t>ами</w:t>
      </w:r>
      <w:r>
        <w:t xml:space="preserve"> сотрудничества служат ряд консул</w:t>
      </w:r>
      <w:r w:rsidR="00A76A57">
        <w:t>ьтаций, которые Центр провел с С</w:t>
      </w:r>
      <w:r>
        <w:t>екретариатом СИТЕС по вопросу о сохранении островов и охраняемых районов Калифорнийского залива (Мексика), где незаконный промысел эндемичной тотоабы (</w:t>
      </w:r>
      <w:r>
        <w:rPr>
          <w:i/>
          <w:kern w:val="22"/>
        </w:rPr>
        <w:t>Totoaba macdonaldi</w:t>
      </w:r>
      <w:r>
        <w:t xml:space="preserve">) ставит под угрозу существование </w:t>
      </w:r>
      <w:r w:rsidR="00D46E78">
        <w:t>калифорнийской морской свиньи (</w:t>
      </w:r>
      <w:r>
        <w:rPr>
          <w:i/>
          <w:kern w:val="22"/>
        </w:rPr>
        <w:t>Phocoena sinus</w:t>
      </w:r>
      <w:r>
        <w:t>), наиболее подверженных опасности вымирания видов китообразных в мире. Оба вида перечислены в Приложении I к СИТЕС. Центр участвова</w:t>
      </w:r>
      <w:r w:rsidR="00A76A57">
        <w:t>л в августе 2017 года вместе с С</w:t>
      </w:r>
      <w:r>
        <w:t>екретариатом СИТЕС в работе трехстороннего совещания, организованного Мексикой с Китаем и Соединенными Штатами Америки в Энсенаде, Мексика, по вопросу о том, как лучше решать проблему незаконной торговли тотоабой. Центр также провел несколько консультаций с СИТЕС по вопросам организации миссии по реагированию на вопросы в отношении собственности и провел консультации по вопросу об осуществлении исследования о незаконной торговле тотоабой и о ее воздействии на существование калифорнийской морской свиньи, запрос о проведении которого содержится в решении 17.149 Конференции Сторон СИТЕС. Другие примеры включают программу СИТЕС «Сведение к минимуму незаконного убийства слонов и других исчезающих видов» (MIKE), которая оказывает поддержку правоохранительным органам на ряде объектов в Африке, затронутых незаконной торговлей слоновой костью и рогами носорога, а в других способствует ограничению незаконной торговли акулами, затрагивающей ряд морских объектов всемирного наследия, и незаконной торговли древесиной красных тропических пород. С учетом имеющихся ресурсов Центр всемирного наследия стремится продолжать и далее укреплять эти конкретные совместные усилия.</w:t>
      </w:r>
    </w:p>
    <w:p w:rsidR="00A229F5" w:rsidRPr="00883A1C" w:rsidRDefault="00FD4EBA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Международная конвенция по карантину и защите растений (МККЗР) и Конвенция о биологическом разнообразии </w:t>
      </w:r>
      <w:r w:rsidR="00BC6FCC">
        <w:t xml:space="preserve">уже </w:t>
      </w:r>
      <w:r>
        <w:t>давн</w:t>
      </w:r>
      <w:r w:rsidR="00BC6FCC">
        <w:t>о</w:t>
      </w:r>
      <w:r>
        <w:t xml:space="preserve"> </w:t>
      </w:r>
      <w:r w:rsidR="00BC6FCC">
        <w:t xml:space="preserve">наладили </w:t>
      </w:r>
      <w:r>
        <w:t>сотруднич</w:t>
      </w:r>
      <w:r w:rsidR="00BC6FCC">
        <w:t>ество</w:t>
      </w:r>
      <w:r>
        <w:t xml:space="preserve"> через свои секретариаты, которое в основном сосредоточено на проблемах инвазивных чужеродных видов и </w:t>
      </w:r>
      <w:r w:rsidR="00351AD4">
        <w:t xml:space="preserve">положениях </w:t>
      </w:r>
      <w:r>
        <w:t>Картахенско</w:t>
      </w:r>
      <w:r w:rsidR="00351AD4">
        <w:t>го</w:t>
      </w:r>
      <w:r>
        <w:t xml:space="preserve"> протокола по биобезопасности. В сентябре 2017 года два секретариата подписали Совместный план работы по сотрудничеству на двухгодичный период 2017-2018 годов, который будет, по мере необходимости, пересматриваться и обновляться на следующий двухгодичный период 2019-2020 годов. В Совместном плане работы предусматривается проведение, при условии наличия ресурсов, следующих видов деятельности: (a) обеспечение взаимного участия и отчетности обоих секретариатов в совещаниях своих соответствующих руководящих органов; (b) сотрудничество в проведении учебных мероприятий Глобальной таксономической инициативы и на совещаниях экспертов по электронной торговле; c) работу по сравнению терминов, используемых в Картахенском протоколе по биобезопасности, Глоссарии фитосанитарных терминов и других соответствующих документах; (d) оказание поддержки двумя секретариатами своим Сторонам в разработке проектов для соответствующих механизмов финансирования; и (e) сотрудничество в области передачи общественной информации, в том числе в контексте Международного года здоровья растений 2020 и Десятилетия биоразнообразия Организации Объединенных Наций. Соответствующая информация представлена ​​в отчетах Секретариата КБР Комиссии по фитосанитарным мерам на ее двенадцатой и тринадцатой сессиях, проведенных соответственно в 2017 и 2018 годах, что отражено в докладах Секретариата МККЗР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8"/>
      </w:r>
      <w:r w:rsidR="00351AD4">
        <w:t>.</w:t>
      </w:r>
    </w:p>
    <w:p w:rsidR="00FD4EBA" w:rsidRPr="00883A1C" w:rsidRDefault="00FD4EBA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Отношения между Международным договором о генетических ресурсах</w:t>
      </w:r>
      <w:r w:rsidR="00EF5D35">
        <w:t xml:space="preserve"> растений</w:t>
      </w:r>
      <w:r>
        <w:t xml:space="preserve"> для производства продовольствия и ведения сельского хозяйства с КБР установлены на основе статей 1.2, 19.3 (l) и 20.5 Международного договора. Сотрудничество между двумя секретариатами осуществляется в рамках подписанного в 2010 году меморандума о сотрудничестве. Эти два секретариата также договорились о совместной инициативе по гармоничному осуществлению </w:t>
      </w:r>
      <w:r>
        <w:lastRenderedPageBreak/>
        <w:t>Международного договора и Конвенции и ее Нагойского протокола. Совместная инициатива определяет ряд конкретных действий, направленных на обеспечение доступа к генетическим ресурсам и совместное использование выгод; сохранение на фермах и устойчивое использование генетических ресурсов растений для производства продовольствия и ведения сельского хозяйства. В центре внимания недавних совместных мероприятий были проекты взаимодополняющего осуществления МДГРРПСХ и Нагойского протокола. Секретариат КБР и Секретариат МДГРРПСХ сотрудничали с рядом партнеров для проведения различных мероприятий.</w:t>
      </w:r>
    </w:p>
    <w:p w:rsidR="00691E77" w:rsidRPr="00883A1C" w:rsidRDefault="00691E77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Подробная информация о сотрудничестве между МДГРРПСХ и КБР за прошедший двухгодичный период приводится в докладе о сотрудничестве с Конвенцией о биологическом разнообразии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9"/>
      </w:r>
      <w:r w:rsidR="00EF5D35">
        <w:t xml:space="preserve"> и докладе С</w:t>
      </w:r>
      <w:r>
        <w:t>екретариата Конвенции о биологическом разнообразии о сотрудничестве с Международным договором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10"/>
      </w:r>
      <w:r w:rsidR="0059225F">
        <w:t>,</w:t>
      </w:r>
      <w:r>
        <w:t xml:space="preserve"> каждый из которых был представлен Управляющему органу Международного договора на его седьмой сессии. Особый прогресс был достигнут в деятельности по развитию потенциала, управлению информацией и знаниями и в поддержке осуществления Повестки дня в области устойчивого развития на период до 2030 года и ее целей в области устойчивого развития. Оба секретариата сотрудничали в разработке показателей в рамках глобальной системы показателей для целей и задач устойчивого развития. Эта работа была сосредоточена на индикаторе 15.6.1, с помощью которого будет оцениваться прогресс в достижении цели 15.6 (содействие совместному использованию на справедливой и равной основе выгод от использования генетических ресурсов и содействие надлежащему доступу к таким ресурсам, как это согласовано на международном уровне).</w:t>
      </w:r>
    </w:p>
    <w:p w:rsidR="00706F41" w:rsidRPr="00883A1C" w:rsidRDefault="00706F41" w:rsidP="00883A1C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</w:rPr>
      </w:pPr>
      <w:r>
        <w:rPr>
          <w:b/>
          <w:kern w:val="22"/>
        </w:rPr>
        <w:t>Другие межучрежденческие группы</w:t>
      </w:r>
    </w:p>
    <w:p w:rsidR="00FD4EBA" w:rsidRPr="00883A1C" w:rsidRDefault="00867462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Секретариаты конвенций, связанных с биоразнообразием, также являются активными членами других межучрежденческих координационных механизмов, которые способствуют сотрудничеству и взаимодействию в конкретных тематических или межсекторальных областях.</w:t>
      </w:r>
    </w:p>
    <w:p w:rsidR="004F34CE" w:rsidRPr="00B84728" w:rsidRDefault="00FD4EBA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К ним относятся: (a) Группа по рациональному природопользованию (ГРП) Организации Объединенных Наций, членами которой являются КБР, СИТЕС, КМВ и Рамсарская конвенция, и в которых МККЗР, МДГРРПСХ и Центр всемирного наследия представлены через ФАО и ЮНЕСКО; (b) Инициатива по управлению информацией и знаниями в области многостороннего природоохранного соглашения (МПС ИКМ), членами которой являются КБР, СИТЕС, КМВ, МККЗР, МДГРРПСХ, Рамсарская конвенция и Конвенция о всемирном наследии; c) Межучрежденческая контактная группа по инвазивным чужеродным видам, членами которой являются КБР, СИТЕС и МККЗР; (d) Партнерство индикаторов биоразнообразия, членами которого являются КБР, СИТЕС, МДГРРПСХ и Рамсарская конвенция, и в которых МККЗР и Центр всемирного наследия представлены, соответственно, через ФАО и ЮНЕСКО; и e) Совместное партнерство по устойчивому природопользованию, членами которого являются КБР, СИТЕС и КМВ. Дополнительная информация о некоторых из этих инициатив содержится в информационном документе CBD/SBI/2/INF/12.</w:t>
      </w:r>
    </w:p>
    <w:p w:rsidR="00B84728" w:rsidRPr="00883A1C" w:rsidRDefault="00B84728" w:rsidP="00B8472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</w:p>
    <w:p w:rsidR="00A56A01" w:rsidRPr="00883A1C" w:rsidRDefault="00A56A01" w:rsidP="00883A1C">
      <w:pPr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296"/>
        <w:jc w:val="left"/>
        <w:outlineLvl w:val="0"/>
        <w:rPr>
          <w:b/>
          <w:caps/>
          <w:kern w:val="22"/>
          <w:szCs w:val="22"/>
        </w:rPr>
      </w:pPr>
      <w:r>
        <w:rPr>
          <w:b/>
          <w:caps/>
          <w:kern w:val="22"/>
        </w:rPr>
        <w:t xml:space="preserve">осуществление «дорожной карты» для расширения взаимодействия на международном уровне </w:t>
      </w:r>
      <w:r w:rsidR="0059225F">
        <w:rPr>
          <w:b/>
          <w:caps/>
          <w:kern w:val="22"/>
        </w:rPr>
        <w:t xml:space="preserve">в период </w:t>
      </w:r>
      <w:r>
        <w:rPr>
          <w:b/>
          <w:caps/>
          <w:kern w:val="22"/>
        </w:rPr>
        <w:t>2017-2020 г</w:t>
      </w:r>
      <w:r w:rsidR="0059225F">
        <w:rPr>
          <w:b/>
          <w:caps/>
          <w:kern w:val="22"/>
        </w:rPr>
        <w:t>одов</w:t>
      </w:r>
      <w:r>
        <w:rPr>
          <w:b/>
          <w:caps/>
          <w:kern w:val="22"/>
        </w:rPr>
        <w:t>.</w:t>
      </w:r>
    </w:p>
    <w:p w:rsidR="00A56A01" w:rsidRPr="00883A1C" w:rsidRDefault="00A56A01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 этом разделе документа кратко излагаются </w:t>
      </w:r>
      <w:r w:rsidR="00860229">
        <w:t>принятые меры</w:t>
      </w:r>
      <w:r>
        <w:t xml:space="preserve"> и результаты, достигнутые в течение двухгодичного периода 2017-2018 годов в рамках осуществления «дорожной карты» для расширения взаимодействия на международном уровне в течение 2017-2020 годов, включая работу неофициальной консультативной группы, созданной в соответствии с решением XIII/24.</w:t>
      </w:r>
    </w:p>
    <w:p w:rsidR="007770D1" w:rsidRPr="00883A1C" w:rsidRDefault="007770D1" w:rsidP="00883A1C">
      <w:pPr>
        <w:keepNext/>
        <w:numPr>
          <w:ilvl w:val="0"/>
          <w:numId w:val="6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296" w:hanging="576"/>
        <w:jc w:val="left"/>
        <w:outlineLvl w:val="1"/>
        <w:rPr>
          <w:b/>
          <w:kern w:val="22"/>
          <w:szCs w:val="22"/>
        </w:rPr>
      </w:pPr>
      <w:r>
        <w:rPr>
          <w:b/>
          <w:kern w:val="22"/>
        </w:rPr>
        <w:lastRenderedPageBreak/>
        <w:t>Меры, принятые Исполнительным секретарем, организациями-партнерами и Сторонами Конвенции</w:t>
      </w:r>
    </w:p>
    <w:p w:rsidR="00DB0A37" w:rsidRPr="0028779A" w:rsidRDefault="00A56A01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Исполнительный секретарь провел значительную работу в течение этого двухгодичного периода в поддержку осуществления «дорожной карты». Наряду с проведением многих мероприятий, Исполнительный секретарь обеспечивал оказание секретариатских услуг неофициальной консультативной группе, как описано в разделе B ниже, и вносил вклад в работу, описанную ниже, с участием партнерских организаций и Сторон Конвенции.</w:t>
      </w:r>
    </w:p>
    <w:p w:rsidR="0059225F" w:rsidRPr="0028779A" w:rsidRDefault="0066397F" w:rsidP="0028779A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Что касается участия других конвенций, связанных с биоразнообразием, то Секретариат: (а) представил информацию о решении XIII/24 и о своей последующей деятельности, а также о других соответствующих решениях тринадцатого совещания Конференции Сторон секретариатам других конвенций, связанных с биоразнообразием; (b) созвал совещание Контактной группы конвенций, связанных с биоразнообразием, в режиме видеоконференции в январе 2017 года и на двенадцатом очередном совещании Контактной группы 28 сентября 2017 года; (c) созвал совещание </w:t>
      </w:r>
      <w:r w:rsidR="00FB7A16">
        <w:t>с участием</w:t>
      </w:r>
      <w:r>
        <w:t xml:space="preserve"> член</w:t>
      </w:r>
      <w:r w:rsidR="00FB7A16">
        <w:t>ов</w:t>
      </w:r>
      <w:r>
        <w:t xml:space="preserve"> Контактной группы и организаци</w:t>
      </w:r>
      <w:r w:rsidR="00FB7A16">
        <w:t>й</w:t>
      </w:r>
      <w:r>
        <w:t>, которые обеспечивают работу своих секретариатов, 29 сентября 2019 года; и d) запросил и получил материалы от других секретариатов для обзора и обновления таблицы, содержащейся в приложении II к решению XIII/24, и их вклада в результаты работы, описанной в пункте 35 ниже.</w:t>
      </w:r>
    </w:p>
    <w:p w:rsidR="00261546" w:rsidRPr="00883A1C" w:rsidRDefault="00DB0A37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Выполнение нескольких ключевых действий в рамках «дорожной карты» обеспечивалось за счет работы, осуществляемой в партнерстве между Секретариатом, Программой Организации Объединенных Наций по окружающей среде (ЮНЕП) и Всемирным центром мониторинга охраны природы ЮНЕП (ЮНЕП-ВЦМОП). </w:t>
      </w:r>
      <w:r w:rsidR="00D509E3">
        <w:t>Э</w:t>
      </w:r>
      <w:r>
        <w:t>т</w:t>
      </w:r>
      <w:r w:rsidR="00D509E3">
        <w:t>а</w:t>
      </w:r>
      <w:r>
        <w:t xml:space="preserve"> работ</w:t>
      </w:r>
      <w:r w:rsidR="00D509E3">
        <w:t>а позволила получить</w:t>
      </w:r>
      <w:r>
        <w:t xml:space="preserve"> следующ</w:t>
      </w:r>
      <w:r w:rsidR="00D509E3">
        <w:t>и</w:t>
      </w:r>
      <w:r>
        <w:t>е</w:t>
      </w:r>
      <w:r w:rsidR="00D509E3">
        <w:t xml:space="preserve"> результаты</w:t>
      </w:r>
      <w:r>
        <w:t>: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proofErr w:type="gramStart"/>
      <w:r>
        <w:t>т</w:t>
      </w:r>
      <w:r w:rsidR="00A56A01">
        <w:t>ри</w:t>
      </w:r>
      <w:proofErr w:type="gramEnd"/>
      <w:r w:rsidR="00A56A01">
        <w:t xml:space="preserve"> сборника инструкций, обобщающих </w:t>
      </w:r>
      <w:r w:rsidR="00691093">
        <w:t xml:space="preserve">имеющуюся </w:t>
      </w:r>
      <w:r w:rsidR="00A56A01">
        <w:t>информацию по следующим темам, в качестве средства повыш</w:t>
      </w:r>
      <w:r w:rsidR="00E873B9">
        <w:t>ения</w:t>
      </w:r>
      <w:r w:rsidR="00A56A01">
        <w:t xml:space="preserve"> их доступност</w:t>
      </w:r>
      <w:r w:rsidR="00E873B9">
        <w:t>и</w:t>
      </w:r>
      <w:r w:rsidR="00A56A01">
        <w:t xml:space="preserve"> для пользователей:</w:t>
      </w:r>
    </w:p>
    <w:p w:rsidR="00A56A01" w:rsidRPr="00883A1C" w:rsidRDefault="00D21A01" w:rsidP="00883A1C">
      <w:pPr>
        <w:pStyle w:val="Para3"/>
        <w:numPr>
          <w:ilvl w:val="2"/>
          <w:numId w:val="64"/>
        </w:numPr>
        <w:suppressLineNumbers/>
        <w:tabs>
          <w:tab w:val="clear" w:pos="1440"/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38" w:lineRule="auto"/>
        <w:ind w:hanging="446"/>
        <w:jc w:val="left"/>
        <w:rPr>
          <w:kern w:val="22"/>
          <w:szCs w:val="22"/>
        </w:rPr>
      </w:pPr>
      <w:r>
        <w:t>Взаимодействие между конвенциями, связанными с биоразнообразием, на национальном уровне;</w:t>
      </w:r>
    </w:p>
    <w:p w:rsidR="00A56A01" w:rsidRPr="00883A1C" w:rsidRDefault="00D21A01" w:rsidP="00883A1C">
      <w:pPr>
        <w:pStyle w:val="Para3"/>
        <w:numPr>
          <w:ilvl w:val="2"/>
          <w:numId w:val="64"/>
        </w:numPr>
        <w:suppressLineNumbers/>
        <w:tabs>
          <w:tab w:val="clear" w:pos="1440"/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38" w:lineRule="auto"/>
        <w:ind w:hanging="446"/>
        <w:jc w:val="left"/>
        <w:rPr>
          <w:kern w:val="22"/>
          <w:szCs w:val="22"/>
        </w:rPr>
      </w:pPr>
      <w:r>
        <w:t>Получение, управление и использование данных и информации;</w:t>
      </w:r>
    </w:p>
    <w:p w:rsidR="00A56A01" w:rsidRPr="00883A1C" w:rsidRDefault="00D21A01" w:rsidP="00883A1C">
      <w:pPr>
        <w:pStyle w:val="Para3"/>
        <w:numPr>
          <w:ilvl w:val="2"/>
          <w:numId w:val="64"/>
        </w:numPr>
        <w:suppressLineNumbers/>
        <w:tabs>
          <w:tab w:val="clear" w:pos="1440"/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 w:line="238" w:lineRule="auto"/>
        <w:ind w:hanging="446"/>
        <w:jc w:val="left"/>
        <w:rPr>
          <w:kern w:val="22"/>
          <w:szCs w:val="22"/>
        </w:rPr>
      </w:pPr>
      <w:r>
        <w:t>Основные глобальные базы данных</w:t>
      </w:r>
      <w:r w:rsidR="00691093">
        <w:t xml:space="preserve"> о</w:t>
      </w:r>
      <w:r>
        <w:t xml:space="preserve"> конвенция</w:t>
      </w:r>
      <w:r w:rsidR="00691093">
        <w:t>х</w:t>
      </w:r>
      <w:r>
        <w:t>, связанны</w:t>
      </w:r>
      <w:r w:rsidR="00691093">
        <w:t>х</w:t>
      </w:r>
      <w:r>
        <w:t xml:space="preserve"> с биоразнообразием;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д</w:t>
      </w:r>
      <w:r w:rsidR="00A56A01">
        <w:t>оклад, содержащий обзор инициатив по укреплению координации и сотрудничества на различных уровнях в рамках конвенций, связанных с биоразнообразием;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proofErr w:type="gramStart"/>
      <w:r>
        <w:t>т</w:t>
      </w:r>
      <w:r w:rsidR="00A56A01">
        <w:t>ематические</w:t>
      </w:r>
      <w:proofErr w:type="gramEnd"/>
      <w:r w:rsidR="00A56A01">
        <w:t xml:space="preserve"> исследования, проведенные в </w:t>
      </w:r>
      <w:r w:rsidR="00691093">
        <w:t xml:space="preserve">соответствии с </w:t>
      </w:r>
      <w:r w:rsidR="00A56A01">
        <w:t>уведомление</w:t>
      </w:r>
      <w:r w:rsidR="00691093">
        <w:t>м</w:t>
      </w:r>
      <w:r w:rsidR="00A56A01">
        <w:t xml:space="preserve"> КБР, а также проведение информационно-пропагандистской работы и параллельных мероприятий в рамках двадцать первого совещания Вспомогательного органа по научным, техническим и технологическим консультациям, состоявшегося в декабре 2017 года в Монреале;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р</w:t>
      </w:r>
      <w:r w:rsidR="00A56A01">
        <w:t>азработка первоначальных идей для создания онлайн-библиотеки тематических исследований/историй успеха по вопросам взаимодействия между конвенциями, связанными с биоразнообразием, в качестве средства обмена опытом;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р</w:t>
      </w:r>
      <w:r w:rsidR="00A56A01">
        <w:t>азработка обновленной презентации с примечаниями и концепцией вебинара в Справочнике ЮНЕП о возможностях расширения сотрудничества между конвенциями, связанными с биоразнообразием, на национальном и региональном уровнях в целях содействия дальнейшему обмену опытом;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р</w:t>
      </w:r>
      <w:r w:rsidR="00A56A01">
        <w:t xml:space="preserve">екомендации о </w:t>
      </w:r>
      <w:r>
        <w:t>методах</w:t>
      </w:r>
      <w:r w:rsidR="00A56A01">
        <w:t xml:space="preserve"> расшир</w:t>
      </w:r>
      <w:r>
        <w:t>ения</w:t>
      </w:r>
      <w:r w:rsidR="00A56A01">
        <w:t xml:space="preserve"> доступ</w:t>
      </w:r>
      <w:r>
        <w:t>а</w:t>
      </w:r>
      <w:r w:rsidR="00A56A01">
        <w:t xml:space="preserve"> к данным и информации, касающимся сотрудничества и взаимодействия между конвенциями, связанными с биоразнообразием;</w:t>
      </w:r>
    </w:p>
    <w:p w:rsidR="00A56A01" w:rsidRPr="00883A1C" w:rsidRDefault="00FB7A16" w:rsidP="00883A1C">
      <w:pPr>
        <w:pStyle w:val="Para1"/>
        <w:numPr>
          <w:ilvl w:val="1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rPr>
          <w:kern w:val="22"/>
          <w:szCs w:val="22"/>
        </w:rPr>
      </w:pPr>
      <w:r>
        <w:t>р</w:t>
      </w:r>
      <w:r w:rsidR="00A56A01">
        <w:t>екомендации о</w:t>
      </w:r>
      <w:r>
        <w:t xml:space="preserve"> </w:t>
      </w:r>
      <w:r w:rsidR="00A56A01">
        <w:t>возможных последующих шаг</w:t>
      </w:r>
      <w:r>
        <w:t>ах</w:t>
      </w:r>
      <w:r w:rsidR="00A56A01">
        <w:t xml:space="preserve"> по оказанию помощи в выполнении решения XIII/24 КБР.</w:t>
      </w:r>
    </w:p>
    <w:p w:rsidR="00A56A01" w:rsidRPr="00883A1C" w:rsidRDefault="009D3740" w:rsidP="00883A1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Информация о целях и результатах этой работы, включая доклад, озаглавленный «Рекомендации о возможных последующих шагах и мероприятиях по расширению сотрудничества между конвенциями, связанными с биоразнообразием, и выполнени</w:t>
      </w:r>
      <w:r w:rsidR="00F82A2E">
        <w:t>ю</w:t>
      </w:r>
      <w:r>
        <w:t xml:space="preserve"> решени</w:t>
      </w:r>
      <w:r w:rsidR="007515A2">
        <w:t>я</w:t>
      </w:r>
      <w:r>
        <w:t xml:space="preserve"> КС XIII/24», содержится в информационном документе CBD/SBI/2/INF/13. Компоненты этой работы </w:t>
      </w:r>
      <w:r>
        <w:lastRenderedPageBreak/>
        <w:t>дополняются и основываются ЮНЕП через проект, целью которого является расширение взаимодействия и поддержка осуществления решений КБР XIII/24</w:t>
      </w:r>
      <w:r w:rsidR="00583816">
        <w:t xml:space="preserve"> </w:t>
      </w:r>
      <w:r>
        <w:t xml:space="preserve">(сотрудничество), XIII/22 (коммуникации), XIII/23 (создание потенциала) и XIII/27 (национальная отчетность), </w:t>
      </w:r>
      <w:r w:rsidR="00F82A2E">
        <w:t xml:space="preserve">через </w:t>
      </w:r>
      <w:r>
        <w:t xml:space="preserve">соответствующие резолюции Ассамблеи Организации Объединенных Наций по окружающей среде, </w:t>
      </w:r>
      <w:r w:rsidR="00F82A2E">
        <w:t>включая резолюцию</w:t>
      </w:r>
      <w:r>
        <w:t xml:space="preserve"> 2/17, </w:t>
      </w:r>
      <w:r w:rsidR="00F82A2E">
        <w:t>а также</w:t>
      </w:r>
      <w:r>
        <w:t xml:space="preserve"> </w:t>
      </w:r>
      <w:r w:rsidR="00583816">
        <w:t xml:space="preserve">через </w:t>
      </w:r>
      <w:r>
        <w:t>решения других конвенций, связанных с биоразнообразием. Дополнительная информация содержится в информационном документе CBD/SBI/2/INF/13.</w:t>
      </w:r>
    </w:p>
    <w:p w:rsidR="00B85CDA" w:rsidRPr="00883A1C" w:rsidRDefault="00B85CDA" w:rsidP="00883A1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Несколько Сторон Конвенции внесли свой вклад в тематические исследования, отмеченные выше. </w:t>
      </w:r>
      <w:r w:rsidR="00151004">
        <w:t>Ряд</w:t>
      </w:r>
      <w:r>
        <w:t xml:space="preserve"> других национальных учреждений внесли вклад в содержательную часть и обзор сборников руководящих указаний. Три Стороны внесли добровольное финансирование либо через Секретариат Конвенции, либо посредством ЮНЕП для содействия осуществлению соответствующих мероприятий. Наконец, некоторые Стороны внесли свой вклад в установление </w:t>
      </w:r>
      <w:r w:rsidR="00583816">
        <w:t>взаимодействия</w:t>
      </w:r>
      <w:r>
        <w:t xml:space="preserve"> в решениях руководящих органов других конвенций, связанных с биоразнообразием, например в резолюции о взаимодействии и партнерствах, принятой Конференцией Сторон КМВ на ее дв</w:t>
      </w:r>
      <w:r w:rsidR="00151004">
        <w:t xml:space="preserve">енадцатом совещании (раздел II </w:t>
      </w:r>
      <w:r>
        <w:t>A, выше).</w:t>
      </w:r>
    </w:p>
    <w:p w:rsidR="007770D1" w:rsidRPr="00883A1C" w:rsidRDefault="007770D1" w:rsidP="00883A1C">
      <w:pPr>
        <w:keepNext/>
        <w:numPr>
          <w:ilvl w:val="0"/>
          <w:numId w:val="6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440" w:hanging="576"/>
        <w:jc w:val="left"/>
        <w:outlineLvl w:val="1"/>
        <w:rPr>
          <w:b/>
          <w:kern w:val="22"/>
          <w:szCs w:val="22"/>
        </w:rPr>
      </w:pPr>
      <w:r>
        <w:rPr>
          <w:b/>
          <w:kern w:val="22"/>
        </w:rPr>
        <w:t xml:space="preserve">Меры, предпринятые неофициальной консультативной группой по вопросам </w:t>
      </w:r>
      <w:r w:rsidR="0059225F">
        <w:rPr>
          <w:b/>
          <w:kern w:val="22"/>
        </w:rPr>
        <w:t>взаимодействия</w:t>
      </w:r>
      <w:r>
        <w:rPr>
          <w:b/>
          <w:kern w:val="22"/>
        </w:rPr>
        <w:t xml:space="preserve"> между конвенциями</w:t>
      </w:r>
      <w:r w:rsidR="0059225F">
        <w:rPr>
          <w:b/>
          <w:kern w:val="22"/>
        </w:rPr>
        <w:t xml:space="preserve">, </w:t>
      </w:r>
      <w:r>
        <w:rPr>
          <w:b/>
          <w:kern w:val="22"/>
        </w:rPr>
        <w:t>связанными с биоразнообразием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В пункте 15 решения XIII/24 Конференция Сторон поручила Исполнительному секретарю в консультации с бюро и при условии наличия ресурсов сформировать неофициальную консультативную группу по вопросам взаимодействия в составе представителей Сторон при сбалансированном представительстве, включая региональное, для вынесения рекомендаций Исполнительному секретарю, бюро и Контактной группе конвенций, связанных с биоразнообразием (в зависимости от случая</w:t>
      </w:r>
      <w:r w:rsidR="0059225F">
        <w:t xml:space="preserve">), касающихся: a) </w:t>
      </w:r>
      <w:r w:rsidR="004F0E50" w:rsidRPr="00425FFA">
        <w:t>дальнейшей приоритизации мер в таблице, приведенной в приложении II к настоящему решению</w:t>
      </w:r>
      <w:r w:rsidR="0059225F">
        <w:t>;</w:t>
      </w:r>
      <w:r>
        <w:t xml:space="preserve"> и (b) осуществлени</w:t>
      </w:r>
      <w:r w:rsidR="004F0E50">
        <w:t>я</w:t>
      </w:r>
      <w:r>
        <w:t xml:space="preserve"> приоритетных действий и представ</w:t>
      </w:r>
      <w:r w:rsidR="0059225F">
        <w:t>лени</w:t>
      </w:r>
      <w:r w:rsidR="004F0E50">
        <w:t>я</w:t>
      </w:r>
      <w:r>
        <w:t xml:space="preserve"> доклад</w:t>
      </w:r>
      <w:r w:rsidR="0059225F">
        <w:t>а</w:t>
      </w:r>
      <w:r>
        <w:t xml:space="preserve"> Вспомогательному органу по осуществлению на его втором совещании.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В этом разделе документа сообщается о работе неофициальной консультативной группы по вопросам взаимодействия и о результатах ее работы. Более подробная информация о неофициальной консультативной группе и ее работе содержится в докладе Группы Вспомогательному органу по осуществлению (CBD/SBI/2/INF/14).</w:t>
      </w:r>
    </w:p>
    <w:p w:rsidR="007770D1" w:rsidRPr="00883A1C" w:rsidRDefault="007770D1" w:rsidP="00883A1C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2"/>
        <w:rPr>
          <w:i/>
          <w:kern w:val="22"/>
          <w:szCs w:val="22"/>
        </w:rPr>
      </w:pPr>
      <w:r>
        <w:rPr>
          <w:i/>
          <w:kern w:val="22"/>
        </w:rPr>
        <w:t>1.</w:t>
      </w:r>
      <w:r>
        <w:tab/>
      </w:r>
      <w:r>
        <w:rPr>
          <w:i/>
          <w:kern w:val="22"/>
        </w:rPr>
        <w:t>Учреждение, состав и деятельность неофициальной консультативной группы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Во исполнение решения XIII/24 и в поддержку мандата неофициальной консультативной группы Секретариат:</w:t>
      </w:r>
    </w:p>
    <w:p w:rsidR="007D6BAB" w:rsidRPr="00883A1C" w:rsidRDefault="006C2772" w:rsidP="00883A1C">
      <w:pPr>
        <w:numPr>
          <w:ilvl w:val="0"/>
          <w:numId w:val="6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snapToGrid w:val="0"/>
          <w:kern w:val="22"/>
          <w:szCs w:val="22"/>
        </w:rPr>
      </w:pPr>
      <w:proofErr w:type="gramStart"/>
      <w:r>
        <w:t>р</w:t>
      </w:r>
      <w:r w:rsidR="0031333B">
        <w:t>аспространил</w:t>
      </w:r>
      <w:proofErr w:type="gramEnd"/>
      <w:r>
        <w:t xml:space="preserve"> </w:t>
      </w:r>
      <w:r w:rsidR="0031333B">
        <w:t>уведомление, в котором Сторонам предлагалось представить кандидатуры квалифицированных представителей</w:t>
      </w:r>
      <w:r w:rsidR="0031333B">
        <w:rPr>
          <w:snapToGrid w:val="0"/>
          <w:kern w:val="22"/>
          <w:vertAlign w:val="superscript"/>
        </w:rPr>
        <w:footnoteReference w:id="11"/>
      </w:r>
      <w:r w:rsidR="0059225F">
        <w:t>,</w:t>
      </w:r>
      <w:r w:rsidR="0031333B">
        <w:t xml:space="preserve"> собрал и проанализировал полученные кандидатуры, и провел консультации с Бюро при отборе членов, а также; распространил уведомление </w:t>
      </w:r>
      <w:r w:rsidR="0031333B">
        <w:rPr>
          <w:snapToGrid w:val="0"/>
          <w:kern w:val="22"/>
          <w:vertAlign w:val="superscript"/>
        </w:rPr>
        <w:t xml:space="preserve"> </w:t>
      </w:r>
      <w:r w:rsidR="0031333B">
        <w:t xml:space="preserve"> </w:t>
      </w:r>
      <w:r w:rsidR="00656725">
        <w:t xml:space="preserve">от </w:t>
      </w:r>
      <w:r w:rsidR="0031333B">
        <w:t>3 ноября 2017 года, чтобы информировать Стороны о составе неофициальной консультативной группы</w:t>
      </w:r>
      <w:r w:rsidR="0031333B">
        <w:rPr>
          <w:snapToGrid w:val="0"/>
          <w:kern w:val="22"/>
          <w:vertAlign w:val="superscript"/>
        </w:rPr>
        <w:footnoteReference w:id="12"/>
      </w:r>
      <w:r w:rsidR="0059225F">
        <w:t>;</w:t>
      </w:r>
    </w:p>
    <w:p w:rsidR="007D6BAB" w:rsidRPr="00883A1C" w:rsidRDefault="00314D93" w:rsidP="00883A1C">
      <w:pPr>
        <w:numPr>
          <w:ilvl w:val="0"/>
          <w:numId w:val="6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snapToGrid w:val="0"/>
          <w:kern w:val="22"/>
          <w:szCs w:val="22"/>
        </w:rPr>
      </w:pPr>
      <w:r>
        <w:t>п</w:t>
      </w:r>
      <w:r w:rsidR="0031333B">
        <w:t>остоянно поддерживал связь с неофициальной консультативной группой и созывал совещания, содействовал их работе и предоставлял материалы для совещаний Группы и оказывал поддержку ее Председателю;</w:t>
      </w:r>
    </w:p>
    <w:p w:rsidR="007D6BAB" w:rsidRPr="00883A1C" w:rsidRDefault="00314D93" w:rsidP="00883A1C">
      <w:pPr>
        <w:numPr>
          <w:ilvl w:val="0"/>
          <w:numId w:val="6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п</w:t>
      </w:r>
      <w:r w:rsidR="0031333B">
        <w:t>одготовил и предоставил интерактивную дискуссионную платформу и соответствующие материалы для поддержки и содействия деятельности неофициальной консультативной группы, котор</w:t>
      </w:r>
      <w:r w:rsidR="00656725">
        <w:t>ые</w:t>
      </w:r>
      <w:r w:rsidR="0031333B">
        <w:t xml:space="preserve"> включал</w:t>
      </w:r>
      <w:r w:rsidR="00656725">
        <w:t>и</w:t>
      </w:r>
      <w:r w:rsidR="0031333B">
        <w:t xml:space="preserve">: вступительную записку о неофициальной консультативной группе; повестки дня и доклады пяти совещаний; календарь соответствующих международных мероприятий; список членов неофициальной консультативной группы и их опыт в </w:t>
      </w:r>
      <w:r w:rsidR="0031333B">
        <w:lastRenderedPageBreak/>
        <w:t>отношении конвенций, связанных с биоразнообразием; описание узких мест и трудностей для реализации желаемых ключевых действий; записка о сроках подготовки документов по вопросам взаимодействи</w:t>
      </w:r>
      <w:r w:rsidR="00656725">
        <w:t>я; обзор проекта и мероприятий С</w:t>
      </w:r>
      <w:r w:rsidR="0031333B">
        <w:t>екретариата КБР/ЮНЕП-ВЦМОП для поддержки осуществления желаемых ключевых мер; проект возможных рекомендаций неофициальной консультативной группы Исп</w:t>
      </w:r>
      <w:r>
        <w:t>олнительному секретарю, Бюро и К</w:t>
      </w:r>
      <w:r w:rsidR="0031333B">
        <w:t>онтактной группе конвенций, связанных с биоразнообразием; записка о докладе неофициальной консультативной группы; и проект доклада Группы для Вспомогательного органа по осуществлению.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В соответствии с пр</w:t>
      </w:r>
      <w:r w:rsidR="006C2772">
        <w:t>едложением</w:t>
      </w:r>
      <w:r>
        <w:t>, содержащ</w:t>
      </w:r>
      <w:r w:rsidR="006C2772">
        <w:t>имся</w:t>
      </w:r>
      <w:r>
        <w:t xml:space="preserve"> в пункте 15 решения XIII/24, неофициальная консультативная группа состоит из представителей Сторон с сбалансированным представительством, в том числе на региональном уровне. В е</w:t>
      </w:r>
      <w:r w:rsidR="00493B7E">
        <w:t>е</w:t>
      </w:r>
      <w:r>
        <w:t xml:space="preserve"> состав входят 19 членов, представляющих Африку (четыре члена), Ази</w:t>
      </w:r>
      <w:r w:rsidR="0059225F">
        <w:t xml:space="preserve">ю и </w:t>
      </w:r>
      <w:r>
        <w:t xml:space="preserve">Тихоокеанский </w:t>
      </w:r>
      <w:r w:rsidR="0059225F">
        <w:t>бассейн</w:t>
      </w:r>
      <w:r>
        <w:t xml:space="preserve"> (четыре члена), Латинскую Америку и Карибский бассейн (четыре члена), Центральную и Восточную Европу (два члена (один </w:t>
      </w:r>
      <w:r w:rsidR="00314D93">
        <w:t>от</w:t>
      </w:r>
      <w:r>
        <w:t xml:space="preserve"> Европейского союза)), Группу Западной Европы и других стран (четыре члена (два </w:t>
      </w:r>
      <w:r w:rsidR="00314D93">
        <w:t>от</w:t>
      </w:r>
      <w:r>
        <w:t xml:space="preserve"> Европейского союза и два </w:t>
      </w:r>
      <w:r w:rsidR="00314D93">
        <w:t>от</w:t>
      </w:r>
      <w:r>
        <w:t xml:space="preserve"> ЮСКАНЗЯ)) и Европейскую комиссию (один член). Полный членский состав представлен в приложении III к докладу Группы (CBD/SBI/2/INF/14). Группа избрала г-на Хесикио Бенитеса из Мексики в качестве своего Председателя.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 xml:space="preserve">Эксперты ЮНЕП и ЮНЕП-ВЦМОП участвовали в работе и деятельности неофициальной консультативной группы. Группа рассмотрела необходимость выявления, привлечения и консультирования других соответствующих экспертов, но, учитывая опыт, накопленный в Группе, как показано в приложении III к ее докладу </w:t>
      </w:r>
      <w:r>
        <w:rPr>
          <w:color w:val="000000" w:themeColor="text1"/>
          <w:kern w:val="22"/>
        </w:rPr>
        <w:t>(CBD/SBI/2/INF/14)</w:t>
      </w:r>
      <w:r>
        <w:t xml:space="preserve">, сделан вывод о том, что никакие другие эксперты </w:t>
      </w:r>
      <w:r w:rsidR="006C2772">
        <w:t xml:space="preserve">Группе </w:t>
      </w:r>
      <w:r>
        <w:t xml:space="preserve">для выполнения </w:t>
      </w:r>
      <w:r w:rsidR="00314D93">
        <w:t>ее</w:t>
      </w:r>
      <w:r>
        <w:t xml:space="preserve"> мандата</w:t>
      </w:r>
      <w:r w:rsidR="006C2772">
        <w:t xml:space="preserve"> </w:t>
      </w:r>
      <w:r w:rsidR="006C2772">
        <w:t>не нужны</w:t>
      </w:r>
      <w:r>
        <w:t>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При поддержке Секретариата Группа провела основную часть своей работы за счет рентабельных средств онлайн-видеоконференций с двухдневным очным совещанием, созванным в Монреале 17 и 18 декабря 2017 года. Совещания в онлайновом режиме были проведены 7 декабря 2017 года, 7 февраля 2018 года, 15 марта 2018 года и 30 апреля 2018 года. Целевая группа из четырех членов, назначенных для выполнения некоторых оставшихся задач, провела совещание в онлайновом режиме 7 мая 2018 года.</w:t>
      </w:r>
    </w:p>
    <w:p w:rsidR="007770D1" w:rsidRPr="00883A1C" w:rsidRDefault="007770D1" w:rsidP="00883A1C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714" w:right="432" w:hanging="432"/>
        <w:jc w:val="left"/>
        <w:outlineLvl w:val="2"/>
        <w:rPr>
          <w:i/>
          <w:kern w:val="22"/>
          <w:szCs w:val="22"/>
        </w:rPr>
      </w:pPr>
      <w:r>
        <w:rPr>
          <w:i/>
          <w:kern w:val="22"/>
        </w:rPr>
        <w:t>2.</w:t>
      </w:r>
      <w:r>
        <w:tab/>
      </w:r>
      <w:r>
        <w:rPr>
          <w:i/>
          <w:kern w:val="22"/>
        </w:rPr>
        <w:t>Формулирование рекомендаций по определению приоритетности действий в таблице, содержащейся в приложении II к решению XIII/24, и об осуществлении приоритетных действий</w:t>
      </w:r>
    </w:p>
    <w:p w:rsidR="007D6BAB" w:rsidRPr="00883A1C" w:rsidRDefault="00D42D76" w:rsidP="00883A1C">
      <w:pPr>
        <w:numPr>
          <w:ilvl w:val="0"/>
          <w:numId w:val="6"/>
        </w:numPr>
        <w:suppressLineNumbers/>
        <w:tabs>
          <w:tab w:val="num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Для выполнения своего мандата при поддержке Секретариата неофициальная консультативная группа выполнила следующие задачи:</w:t>
      </w:r>
    </w:p>
    <w:p w:rsidR="007D6BAB" w:rsidRPr="00883A1C" w:rsidRDefault="00CE35CF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б</w:t>
      </w:r>
      <w:r w:rsidR="00BB0EE6">
        <w:t>ыла разработана процедура проведения своей работы;</w:t>
      </w:r>
    </w:p>
    <w:p w:rsidR="007D6BAB" w:rsidRPr="00883A1C" w:rsidRDefault="00CE35CF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 xml:space="preserve">осуществлен </w:t>
      </w:r>
      <w:r w:rsidR="00BB0EE6">
        <w:t>анализ</w:t>
      </w:r>
      <w:r>
        <w:t xml:space="preserve"> желаемых </w:t>
      </w:r>
      <w:r w:rsidR="00BB0EE6">
        <w:t>ключевы</w:t>
      </w:r>
      <w:r>
        <w:t>х</w:t>
      </w:r>
      <w:r w:rsidR="00BB0EE6">
        <w:t xml:space="preserve"> действи</w:t>
      </w:r>
      <w:r>
        <w:t>й, содержащих</w:t>
      </w:r>
      <w:r w:rsidR="00BB0EE6">
        <w:t>ся в таблице в приложении II к решению XIII/24;</w:t>
      </w:r>
    </w:p>
    <w:p w:rsidR="007D6BAB" w:rsidRPr="00883A1C" w:rsidRDefault="00CE35CF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р</w:t>
      </w:r>
      <w:r w:rsidR="00BB0EE6">
        <w:t>азработаны записки, содержащие замечания и предложения относительно осуществления желаемых ключевых действий;</w:t>
      </w:r>
    </w:p>
    <w:p w:rsidR="007D6BAB" w:rsidRPr="00883A1C" w:rsidRDefault="00CE35CF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р</w:t>
      </w:r>
      <w:r w:rsidR="00BB0EE6">
        <w:t>ассмотрены любые потенциальные трудности и узкие места при осуществлении желаемых ключевых действий;</w:t>
      </w:r>
    </w:p>
    <w:p w:rsidR="007D6BAB" w:rsidRPr="00883A1C" w:rsidRDefault="00CE35CF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о</w:t>
      </w:r>
      <w:r w:rsidR="00BB0EE6">
        <w:t xml:space="preserve">пределены приоритетные действия путем </w:t>
      </w:r>
      <w:r w:rsidR="00711F62">
        <w:t>оценки в баллах</w:t>
      </w:r>
      <w:r w:rsidR="00BB0EE6">
        <w:t xml:space="preserve"> желаемых ключевых действий;</w:t>
      </w:r>
    </w:p>
    <w:p w:rsidR="007D6BAB" w:rsidRPr="00883A1C" w:rsidRDefault="00021D38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в</w:t>
      </w:r>
      <w:r w:rsidR="00BB0EE6">
        <w:t>ыявлены соответствующие мероприятия, дополняющие жела</w:t>
      </w:r>
      <w:r w:rsidR="00BD09A4">
        <w:t>ем</w:t>
      </w:r>
      <w:r w:rsidR="00BB0EE6">
        <w:t>ые ключевые действия, которые могут быть взаимодополняющими и полезными для их целей;</w:t>
      </w:r>
    </w:p>
    <w:p w:rsidR="007D6BAB" w:rsidRPr="00883A1C" w:rsidRDefault="00021D38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р</w:t>
      </w:r>
      <w:r w:rsidR="00BB0EE6">
        <w:t>ассмотрены результаты работы, проведенной в сотрудничестве между Секретариатом, ЮНЕП и ЮНЕП-ВЦМОП</w:t>
      </w:r>
      <w:r>
        <w:t>,</w:t>
      </w:r>
      <w:r w:rsidR="00BB0EE6">
        <w:t xml:space="preserve"> для поддержки ключевых действий «дорожной карты» на 2017-2020 годы (раздел III выше и CBD/SBI/2/INF/13);</w:t>
      </w:r>
    </w:p>
    <w:p w:rsidR="007D6BAB" w:rsidRPr="00883A1C" w:rsidRDefault="00021D38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lastRenderedPageBreak/>
        <w:t>р</w:t>
      </w:r>
      <w:r w:rsidR="00BB0EE6">
        <w:t>азработаны элементы рекомендаций о</w:t>
      </w:r>
      <w:r>
        <w:t>б</w:t>
      </w:r>
      <w:r w:rsidR="00BB0EE6">
        <w:t xml:space="preserve"> осуществлени</w:t>
      </w:r>
      <w:r>
        <w:t>и</w:t>
      </w:r>
      <w:r w:rsidR="00BB0EE6">
        <w:t xml:space="preserve"> жела</w:t>
      </w:r>
      <w:r w:rsidR="00BD09A4">
        <w:t>ем</w:t>
      </w:r>
      <w:r w:rsidR="00BB0EE6">
        <w:t>ых ключевых действий</w:t>
      </w:r>
      <w:r>
        <w:t xml:space="preserve"> для И</w:t>
      </w:r>
      <w:r w:rsidR="00BB0EE6">
        <w:t>сполнительно</w:t>
      </w:r>
      <w:r>
        <w:t>го</w:t>
      </w:r>
      <w:r w:rsidR="00BB0EE6">
        <w:t xml:space="preserve"> секретар</w:t>
      </w:r>
      <w:r>
        <w:t>я</w:t>
      </w:r>
      <w:r w:rsidR="00BB0EE6">
        <w:t>, Бюро и Контактной групп</w:t>
      </w:r>
      <w:r>
        <w:t>ы</w:t>
      </w:r>
      <w:r w:rsidR="00BB0EE6">
        <w:t xml:space="preserve"> конвенций, связанных с биоразнообразием;</w:t>
      </w:r>
    </w:p>
    <w:p w:rsidR="007D6BAB" w:rsidRPr="00883A1C" w:rsidRDefault="00021D38" w:rsidP="00883A1C">
      <w:pPr>
        <w:numPr>
          <w:ilvl w:val="0"/>
          <w:numId w:val="42"/>
        </w:numPr>
        <w:suppressLineNumbers/>
        <w:tabs>
          <w:tab w:val="clear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</w:rPr>
      </w:pPr>
      <w:r>
        <w:t>п</w:t>
      </w:r>
      <w:r w:rsidR="00BB0EE6">
        <w:t>одготовлен и доработан доклад о своей работе и выводах для представления Вспомогательному органу по осуществлению.</w:t>
      </w:r>
    </w:p>
    <w:p w:rsidR="007D6BAB" w:rsidRPr="0059225F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На своем совещании, состоявшемся 17 и 18 декабря 2017 года, Группа рассмотрела и обсудила жела</w:t>
      </w:r>
      <w:r w:rsidR="00BD09A4">
        <w:t>ем</w:t>
      </w:r>
      <w:r>
        <w:t xml:space="preserve">ые ключевые действия, содержащиеся в таблице в приложении II к решению XIII/24, и сделала замечания, касающиеся их осуществления. </w:t>
      </w:r>
      <w:r w:rsidR="00BD09A4">
        <w:t>З</w:t>
      </w:r>
      <w:r>
        <w:t>аписки, вытекающие из этого обсуждения, содержащие замечания и предложения относительно осуществления желаемых ключевых действий, составляют первоначальную основ</w:t>
      </w:r>
      <w:r w:rsidR="00BD09A4">
        <w:t>у рекомендаций. В связи с этим Г</w:t>
      </w:r>
      <w:r>
        <w:t>руппа также признала, что в ее рекомендациях должны быть учтены любые трудности и узкие места, препятствующие осуществлению некоторых из этих мер, и просила Секретариат определить их для рассмотрения на своих последующих совещаниях.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Группа обязалась определить приоритетность жела</w:t>
      </w:r>
      <w:r w:rsidR="00BD09A4">
        <w:t>ем</w:t>
      </w:r>
      <w:r>
        <w:t>ых ключевых действий на основе записок</w:t>
      </w:r>
      <w:r w:rsidR="00BD09A4">
        <w:t>,</w:t>
      </w:r>
      <w:r>
        <w:t xml:space="preserve"> разработанных на ее совещании 17 и 18 декабря, и с учетом трудностей и узких мест для их осуществления, определенных Секретариатом. По просьбе Председателя каждый из участников определил пять приоритетных действий и представил их Председателю, который составил на этой основе материалы при поддержке со стороны Секретариата. Сводная таблица результатов приводится в приложении I к докладу Группы</w:t>
      </w:r>
      <w:bookmarkStart w:id="3" w:name="_Ref516144830"/>
      <w:r>
        <w:rPr>
          <w:rStyle w:val="FootnoteReference"/>
          <w:snapToGrid w:val="0"/>
          <w:kern w:val="22"/>
          <w:sz w:val="22"/>
          <w:u w:val="none"/>
          <w:vertAlign w:val="superscript"/>
        </w:rPr>
        <w:footnoteReference w:id="13"/>
      </w:r>
      <w:bookmarkEnd w:id="3"/>
      <w:r w:rsidR="0059225F">
        <w:t>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После проведения процедуры установления приоритетов Группа обратилась к Секретариату с просьбой сформулировать проекты элементов возможных рекомендаций Исполнительному секретарю, Бюро и Контактной группе конвенций, связанных с биоразнообразием, которые касаются осуществления желаемых ключевых мер на основе полученных Группой замечаний и предложений, и преодоления трудностей и узких мест для их осуществления, которые были определены. Проект рекомендаци</w:t>
      </w:r>
      <w:r w:rsidR="00766B95">
        <w:t>й</w:t>
      </w:r>
      <w:r>
        <w:t xml:space="preserve"> был рассмотрен Группой на ее четвертом </w:t>
      </w:r>
      <w:r w:rsidR="00493B7E">
        <w:t>совещании</w:t>
      </w:r>
      <w:r>
        <w:t xml:space="preserve">, проходившем в онлайновом режиме, и целевой группой, созданной для выполнения оставшихся задач на ее заседании 7 мая 2018 года. Основываясь на работе и рекомендациях целевой группы, Председатель предложил окончательную формулировку рекомендаций и распространил </w:t>
      </w:r>
      <w:r w:rsidR="00766B95">
        <w:t xml:space="preserve">их </w:t>
      </w:r>
      <w:r>
        <w:t xml:space="preserve">вместе с окончательным проектом доклада </w:t>
      </w:r>
      <w:r w:rsidR="00766B95">
        <w:t xml:space="preserve">для рассмотрения и </w:t>
      </w:r>
      <w:r>
        <w:t>соглас</w:t>
      </w:r>
      <w:r w:rsidR="00766B95">
        <w:t>ования в</w:t>
      </w:r>
      <w:r>
        <w:t xml:space="preserve"> Групп</w:t>
      </w:r>
      <w:r w:rsidR="00766B95">
        <w:t>е</w:t>
      </w:r>
      <w:r>
        <w:t xml:space="preserve">, </w:t>
      </w:r>
      <w:r w:rsidR="00766B95">
        <w:t xml:space="preserve">которая завершила эту </w:t>
      </w:r>
      <w:r>
        <w:t>работ</w:t>
      </w:r>
      <w:r w:rsidR="00766B95">
        <w:t>у</w:t>
      </w:r>
      <w:r>
        <w:t xml:space="preserve"> 8 июня 2018 года,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 xml:space="preserve">Результаты работы, проведенной Группой в отношении дальнейшего определения приоритетов и осуществления мер, перечисленных в таблице, содержащейся в приложении II к решению XIII/24, представлены в </w:t>
      </w:r>
      <w:r>
        <w:rPr>
          <w:color w:val="000000" w:themeColor="text1"/>
          <w:kern w:val="22"/>
        </w:rPr>
        <w:t>докладе Группы</w:t>
      </w:r>
      <w:r w:rsidR="00A9704E" w:rsidRPr="00A9704E">
        <w:rPr>
          <w:color w:val="000000" w:themeColor="text1"/>
          <w:kern w:val="22"/>
          <w:vertAlign w:val="superscript"/>
        </w:rPr>
        <w:t>11</w:t>
      </w:r>
      <w:r w:rsidR="0059225F">
        <w:rPr>
          <w:color w:val="000000" w:themeColor="text1"/>
          <w:kern w:val="22"/>
        </w:rPr>
        <w:t xml:space="preserve">. </w:t>
      </w:r>
      <w:r w:rsidR="00585B79">
        <w:rPr>
          <w:color w:val="000000" w:themeColor="text1"/>
          <w:kern w:val="22"/>
        </w:rPr>
        <w:t>Они содержатся в</w:t>
      </w:r>
      <w:r>
        <w:rPr>
          <w:color w:val="000000" w:themeColor="text1"/>
          <w:kern w:val="22"/>
        </w:rPr>
        <w:t xml:space="preserve"> таблиц</w:t>
      </w:r>
      <w:r w:rsidR="00585B79">
        <w:rPr>
          <w:color w:val="000000" w:themeColor="text1"/>
          <w:kern w:val="22"/>
        </w:rPr>
        <w:t>е</w:t>
      </w:r>
      <w:r>
        <w:rPr>
          <w:color w:val="000000" w:themeColor="text1"/>
          <w:kern w:val="22"/>
        </w:rPr>
        <w:t>, в которой кратко излагаются примечания и замечания Группы в отношении осуществления каждого из желаемых ключевых действий, состояния осуществления и выявленных узких мест и трудностей, а также рекомендации Группы, разработанные в связи с их рассмотрением.</w:t>
      </w:r>
    </w:p>
    <w:p w:rsidR="007770D1" w:rsidRPr="00883A1C" w:rsidRDefault="007770D1" w:rsidP="00883A1C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2"/>
        <w:rPr>
          <w:i/>
          <w:kern w:val="22"/>
          <w:szCs w:val="22"/>
        </w:rPr>
      </w:pPr>
      <w:r>
        <w:rPr>
          <w:i/>
          <w:kern w:val="22"/>
        </w:rPr>
        <w:t>3.</w:t>
      </w:r>
      <w:r>
        <w:tab/>
      </w:r>
      <w:r>
        <w:rPr>
          <w:i/>
          <w:kern w:val="22"/>
        </w:rPr>
        <w:t>Рекомендации неофициальной консультативной группы</w:t>
      </w:r>
    </w:p>
    <w:p w:rsidR="00DE3A6A" w:rsidRPr="00883A1C" w:rsidRDefault="00B17445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Рекомендации неофициальной консультативной группы Исполнительному секретарю, Бюро тринадцатого совещания Конференции Сторон и Контактной группе по конвенциям, связанным с биоразнообразием, относительно осуществления жела</w:t>
      </w:r>
      <w:r w:rsidR="00585B79">
        <w:t>ем</w:t>
      </w:r>
      <w:r>
        <w:t>ых ключевых действий «дорожной карты» представлены в Докладе Группы для Вспомогательного органа по осуществлению</w:t>
      </w:r>
      <w:r w:rsidR="00A9704E" w:rsidRPr="00A9704E">
        <w:rPr>
          <w:vertAlign w:val="superscript"/>
        </w:rPr>
        <w:t>11</w:t>
      </w:r>
      <w:r>
        <w:t xml:space="preserve">. </w:t>
      </w:r>
    </w:p>
    <w:p w:rsidR="008D70AA" w:rsidRPr="00883A1C" w:rsidRDefault="000A5034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Поскольку жела</w:t>
      </w:r>
      <w:r w:rsidR="00585B79">
        <w:t>ем</w:t>
      </w:r>
      <w:r>
        <w:t>ые ключевые действия, которые получили наивысшие баллы во время проведения мероприятия по установлению приоритетов Группы, идентифицированы, то Группа считает, что все они важны и что все они должны быть реализованы. Таким образом, рекомендации были представлены по осуществлению каждого из ключевых действий, а не только для некоторых из них, имеющих приоритетный характер.</w:t>
      </w:r>
    </w:p>
    <w:p w:rsidR="008D70AA" w:rsidRPr="00883A1C" w:rsidRDefault="00C36D90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lastRenderedPageBreak/>
        <w:t>Группа признает, что ряд жела</w:t>
      </w:r>
      <w:r w:rsidR="00585B79">
        <w:t>ем</w:t>
      </w:r>
      <w:r>
        <w:t xml:space="preserve">ых ключевых действий был либо на продвинутом этапе завершения, либо завершен, либо </w:t>
      </w:r>
      <w:r w:rsidR="00585B79">
        <w:t xml:space="preserve">их осуществление </w:t>
      </w:r>
      <w:r>
        <w:t xml:space="preserve">продолжается, и в нескольких таких случаях ее рекомендации содержат предложения о том, как опираться на результаты этих действий. Во многих случаях эти ключевые действия активно выполнялись в рамках проекта, осуществляемого ЮНЕП-ВЦМОП в поддержку осуществления решения XIII/24 КБР. В этих случаях </w:t>
      </w:r>
      <w:r>
        <w:rPr>
          <w:snapToGrid w:val="0"/>
          <w:color w:val="000000"/>
          <w:kern w:val="22"/>
        </w:rPr>
        <w:t>рекомендации Группы Исполнительному секретарю и Контактной группе конвенций, связанных с биоразнообразием, включают рекомендацию об опоре на результаты этой работы.</w:t>
      </w:r>
    </w:p>
    <w:p w:rsidR="006A5D5D" w:rsidRPr="00883A1C" w:rsidRDefault="001B6195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rPr>
          <w:snapToGrid w:val="0"/>
          <w:color w:val="000000"/>
          <w:kern w:val="22"/>
        </w:rPr>
        <w:t>Для реализации нескольких ключевых действий может потребоваться специальный проект или инициатива для поддержки их продвижения или завершения. Это особенно важно в отношении ключевых действий, связанных с сотрудничеством в области управления информацией и знаниями и согласованием сбора данных, отчетности, мониторинга и показателей на национальном уровне</w:t>
      </w:r>
      <w:r>
        <w:rPr>
          <w:vertAlign w:val="superscript"/>
        </w:rPr>
        <w:footnoteReference w:id="14"/>
      </w:r>
      <w:r w:rsidR="00A9704E">
        <w:rPr>
          <w:snapToGrid w:val="0"/>
          <w:color w:val="000000"/>
          <w:kern w:val="22"/>
        </w:rPr>
        <w:t>.</w:t>
      </w:r>
      <w:r>
        <w:rPr>
          <w:snapToGrid w:val="0"/>
          <w:color w:val="000000"/>
          <w:kern w:val="22"/>
        </w:rPr>
        <w:t xml:space="preserve"> По этой причине в отношении таких ключевых действий рекомендации Исполнительному секретарю и Контактной группе конвенций, связанных с биоразнообразием, включают рекомендацию о стимулировании финансирования и соответствующих механизмов осуществления проекта или инициативы по проведению ключевых действий или связанной с ними работы. В таких случаях неофициальная консультативная группа также рекомендует Исполнительному секретарю рассмотреть вопрос о включении действий в деятельность и сопутствующий добровольный бюджет Конвенции, предложенный на двухгодичный период 2019-2020 годов</w:t>
      </w:r>
      <w:r w:rsidR="00585B79">
        <w:rPr>
          <w:snapToGrid w:val="0"/>
          <w:color w:val="000000"/>
          <w:kern w:val="22"/>
        </w:rPr>
        <w:t>,</w:t>
      </w:r>
      <w:r>
        <w:rPr>
          <w:snapToGrid w:val="0"/>
          <w:color w:val="000000"/>
          <w:kern w:val="22"/>
        </w:rPr>
        <w:t xml:space="preserve"> для рассмотрения Конференцией Сторон на ее четырнадцатом совещании.</w:t>
      </w:r>
    </w:p>
    <w:p w:rsidR="00B1448C" w:rsidRPr="00883A1C" w:rsidRDefault="00F234E3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Хотя большинство ее рекомендаций направляется Исполнительному секретарю и членам Контактной группы по конвенциям, связанным с биоразнообразием, Группа включила одну рекомендацию, которая направляется ​​в Бюро КБР. Это рекомендация о том, чтобы Бюро рассмотрело методы, с помощью которых Сторон</w:t>
      </w:r>
      <w:r w:rsidR="00585B79">
        <w:t>ы</w:t>
      </w:r>
      <w:r>
        <w:t xml:space="preserve"> конвенций, возможно, через свои собственные бюро, постоянные комитеты или аналогичные органы или через другие механизмы поддерживали </w:t>
      </w:r>
      <w:r w:rsidR="00585B79">
        <w:t xml:space="preserve">бы </w:t>
      </w:r>
      <w:r>
        <w:t>связи с Контактной группой по конвенциям, связанным с биоразнообразием. Те же рекомендации представлены Контактной группе по конвенциям, связанным с биоразнообразием.</w:t>
      </w:r>
    </w:p>
    <w:p w:rsidR="007D6BAB" w:rsidRPr="00883A1C" w:rsidRDefault="00F7499E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</w:rPr>
      </w:pPr>
      <w:r>
        <w:t>Представитель Группы представит рекомендации Группы Исполнительному секретарю и Бюро на совещании Бюро, которое состоится в июле 2018 года в Монреале, и представит свои рекомендации Контактной группе конвенций, связанных с биоразнообразием, на следующем совещании Контактной группы, которое планируется провести осенью 2018 года, до четырнадцатого совещания Конференции Сторон.</w:t>
      </w:r>
    </w:p>
    <w:p w:rsidR="007770D1" w:rsidRPr="00883A1C" w:rsidRDefault="007770D1" w:rsidP="00883A1C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2"/>
        <w:rPr>
          <w:i/>
          <w:kern w:val="22"/>
          <w:szCs w:val="22"/>
        </w:rPr>
      </w:pPr>
      <w:r>
        <w:rPr>
          <w:i/>
          <w:kern w:val="22"/>
        </w:rPr>
        <w:t>4.</w:t>
      </w:r>
      <w:r>
        <w:tab/>
      </w:r>
      <w:r>
        <w:rPr>
          <w:i/>
          <w:kern w:val="22"/>
        </w:rPr>
        <w:t>Дополнительные рекомендации неофициальной консультативной группы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</w:rPr>
      </w:pPr>
      <w:r>
        <w:t>При рассмотрении жела</w:t>
      </w:r>
      <w:r w:rsidR="00585B79">
        <w:t>ем</w:t>
      </w:r>
      <w:r>
        <w:t>ых ключевых действий в «дорожной карте» на 2017-2020 годы неофициальная консультативная группа также определила ряд дополнительных мер, которые могли бы способствовать укреплению согласованного осуществления и взаимодействия между конвенциями, связанными с биоразнообразием. Эти дополнительные действия будут дополнять жела</w:t>
      </w:r>
      <w:r w:rsidR="00585B79">
        <w:t>ем</w:t>
      </w:r>
      <w:r>
        <w:t>ые ключевые действия, содержащиеся в таблице в приложении II к решению XIII/24. Список дополнительных жела</w:t>
      </w:r>
      <w:r w:rsidR="00585B79">
        <w:t>ем</w:t>
      </w:r>
      <w:r>
        <w:t>ых действий, определенных Группой, представлен в ее докладе</w:t>
      </w:r>
      <w:r>
        <w:rPr>
          <w:snapToGrid w:val="0"/>
          <w:color w:val="000000"/>
          <w:kern w:val="22"/>
        </w:rPr>
        <w:t xml:space="preserve">. Группа рекомендует Исполнительному секретарю и Контактной группе конвенций, связанных с биоразнообразием, рассмотреть эти дополнительные действия с целью </w:t>
      </w:r>
      <w:r w:rsidR="00585B79">
        <w:rPr>
          <w:snapToGrid w:val="0"/>
          <w:color w:val="000000"/>
          <w:kern w:val="22"/>
        </w:rPr>
        <w:t>последующей реализации</w:t>
      </w:r>
      <w:r>
        <w:rPr>
          <w:snapToGrid w:val="0"/>
          <w:color w:val="000000"/>
          <w:kern w:val="22"/>
        </w:rPr>
        <w:t xml:space="preserve"> некоторых из них</w:t>
      </w:r>
      <w:r w:rsidR="00585B79">
        <w:rPr>
          <w:snapToGrid w:val="0"/>
          <w:color w:val="000000"/>
          <w:kern w:val="22"/>
        </w:rPr>
        <w:t>,</w:t>
      </w:r>
      <w:r>
        <w:rPr>
          <w:snapToGrid w:val="0"/>
          <w:color w:val="000000"/>
          <w:kern w:val="22"/>
        </w:rPr>
        <w:t xml:space="preserve"> в случае необходимости.</w:t>
      </w:r>
    </w:p>
    <w:p w:rsidR="000376EE" w:rsidRPr="00883A1C" w:rsidRDefault="0061303E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kern w:val="22"/>
        </w:rPr>
        <w:t>Группа также рекомендует Исполнительному секретарю и членам Контактной группы конвенций, связанных с биоразнообразием, рассмотреть рекомендации, которые были подготовлены в качестве результата проекта, поддерживающего осуществление решения XIII/24, содержащегося в докладе проекта, озаглавленном «Рекомендации о возможных дальнейших шагах и мероприятиях по расширению сотрудничества и взаимодействия между конвенциями, связанными с биоразнообразием, и выполнени</w:t>
      </w:r>
      <w:r w:rsidR="00493B7E">
        <w:rPr>
          <w:snapToGrid w:val="0"/>
          <w:color w:val="000000"/>
          <w:kern w:val="22"/>
        </w:rPr>
        <w:t>ю</w:t>
      </w:r>
      <w:r>
        <w:rPr>
          <w:snapToGrid w:val="0"/>
          <w:color w:val="000000"/>
          <w:kern w:val="22"/>
        </w:rPr>
        <w:t xml:space="preserve"> решени</w:t>
      </w:r>
      <w:r w:rsidR="00585B79">
        <w:rPr>
          <w:snapToGrid w:val="0"/>
          <w:color w:val="000000"/>
          <w:kern w:val="22"/>
        </w:rPr>
        <w:t>я</w:t>
      </w:r>
      <w:r>
        <w:rPr>
          <w:snapToGrid w:val="0"/>
          <w:color w:val="000000"/>
          <w:kern w:val="22"/>
        </w:rPr>
        <w:t xml:space="preserve"> КС XIII/24» (CBD/SBI/2/INF/13) с целью возможных последующих действий и их осуществления.</w:t>
      </w:r>
    </w:p>
    <w:p w:rsidR="0062697F" w:rsidRPr="001517B2" w:rsidRDefault="000F13AD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kern w:val="22"/>
        </w:rPr>
        <w:lastRenderedPageBreak/>
        <w:t xml:space="preserve">Кроме того, если Конференция Сторон примет решение продлить мандат Группы, то Группа рекомендует предоставить возможности для укрепления сотрудничества и проведения консультаций между Контактной группой конвенций, связанных с биоразнообразием, и неофициальной консультативной группой по взаимодействию. Такие консультации могли бы способствовать действиям, которые могут быть поддержаны Контактной группой конвенций, связанных с биоразнообразием, для повышения эффективности работы и процессов Контактной группы, как указано в «дорожной карте», таких как действия по укреплению совместной работы их </w:t>
      </w:r>
      <w:r w:rsidR="001517B2">
        <w:rPr>
          <w:snapToGrid w:val="0"/>
          <w:color w:val="000000"/>
          <w:kern w:val="22"/>
        </w:rPr>
        <w:t>соответствующего</w:t>
      </w:r>
      <w:r>
        <w:rPr>
          <w:snapToGrid w:val="0"/>
          <w:color w:val="000000"/>
          <w:kern w:val="22"/>
        </w:rPr>
        <w:t xml:space="preserve"> персонала в конкретных тематических областях, действия по привлечению других соответствующих организаций к работе и обсуждениям, а также меры по содействию консультативному механизму председателей научных консультативных органов конвенций, связанных с биоразнообразием.</w:t>
      </w:r>
    </w:p>
    <w:p w:rsidR="00797393" w:rsidRPr="00883A1C" w:rsidRDefault="000F13AD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kern w:val="22"/>
        </w:rPr>
        <w:t>Учитывая, что многие ключевые действия «дорожной карты» будут осуществляться в сотрудничестве с другими соответствующими организациями, Группа также рекомендует, чтобы рекомендации, которые она предоставила Исполнительному секретарю, Бюро тринадцатого совещания Конференции Сторон и Контактной групп</w:t>
      </w:r>
      <w:r w:rsidR="002B0C13">
        <w:rPr>
          <w:snapToGrid w:val="0"/>
          <w:color w:val="000000"/>
          <w:kern w:val="22"/>
        </w:rPr>
        <w:t>е</w:t>
      </w:r>
      <w:r>
        <w:rPr>
          <w:snapToGrid w:val="0"/>
          <w:color w:val="000000"/>
          <w:kern w:val="22"/>
        </w:rPr>
        <w:t xml:space="preserve"> конвенций, связанных с биоразнообразием, были предоставлены также в распоряжение других соответствующих организаций.</w:t>
      </w:r>
    </w:p>
    <w:p w:rsidR="007D6BAB" w:rsidRPr="00883A1C" w:rsidRDefault="007D6BAB" w:rsidP="00883A1C">
      <w:pPr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</w:rPr>
      </w:pPr>
      <w:r>
        <w:rPr>
          <w:snapToGrid w:val="0"/>
          <w:color w:val="000000"/>
          <w:kern w:val="22"/>
        </w:rPr>
        <w:t>Неофициальная консультативная группа также внесла свой вклад в разработку проекта рекомендаций, касающихся ее работы, которые представлены для рассмотрения Вспомогательным органом по осуществлению на его втором совещании (CBD/SBI/2/10).</w:t>
      </w:r>
    </w:p>
    <w:p w:rsidR="007F3FB5" w:rsidRPr="00883A1C" w:rsidRDefault="007F3FB5" w:rsidP="00883A1C">
      <w:pPr>
        <w:keepNext/>
        <w:numPr>
          <w:ilvl w:val="0"/>
          <w:numId w:val="37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jc w:val="center"/>
        <w:outlineLvl w:val="0"/>
        <w:rPr>
          <w:b/>
          <w:caps/>
          <w:kern w:val="22"/>
          <w:szCs w:val="22"/>
        </w:rPr>
      </w:pPr>
      <w:r>
        <w:rPr>
          <w:b/>
          <w:caps/>
          <w:kern w:val="22"/>
        </w:rPr>
        <w:t>Возможная дальнейшая работа</w:t>
      </w:r>
    </w:p>
    <w:p w:rsidR="0094289E" w:rsidRPr="00883A1C" w:rsidRDefault="007F3FB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Конференция Сторон также подчеркнула важную роль Сторон в содействии согласованности в управлении соответствующими конвенциями и организациями, например, путем координации своих национальных позиций между различными конвенциями и другими международными форумами, в которых они участвуют, и установления тесного сотрудничества между координационными центрами для разработки согласованных и основанных на взаимодействии подходов в рамках конвенций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15"/>
      </w:r>
      <w:r w:rsidR="00A9704E">
        <w:t>.</w:t>
      </w:r>
    </w:p>
    <w:p w:rsidR="007F3FB5" w:rsidRPr="00883A1C" w:rsidRDefault="007F3FB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Кроме того, можно было бы подумать о потенциальной выгоде и жизнеспособности механизма, такого как совместный неофициальный комитет всех конвенций, связанных с биоразнообразием, обеспечивающий консультативный потенциал, который позволит поддерживать прямую связь между Сторонами через руководящие органы конвенций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16"/>
      </w:r>
      <w:r w:rsidR="00A9704E">
        <w:t>.</w:t>
      </w:r>
    </w:p>
    <w:p w:rsidR="00C20243" w:rsidRPr="00C20243" w:rsidRDefault="007F3FB5" w:rsidP="00C20243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Кроме того, в отношении осуществления на национальном уровне Конференция Сторон часто обращается к Сторонам с просьбой содействовать координации между национальными координационными центрами Конвенции о биологическом разнообразии и другими соответствующими конвенциями в целях достижения взаимодействия по общим и сквозным вопросам и активизации национального осуществления конвенций, а также эффективности и действенности</w:t>
      </w:r>
      <w:r>
        <w:rPr>
          <w:rStyle w:val="FootnoteReference"/>
          <w:kern w:val="22"/>
          <w:sz w:val="22"/>
          <w:u w:val="none"/>
          <w:vertAlign w:val="superscript"/>
        </w:rPr>
        <w:footnoteReference w:id="17"/>
      </w:r>
      <w:r w:rsidR="007500F4">
        <w:t>.</w:t>
      </w:r>
      <w:r>
        <w:t xml:space="preserve"> Можно было бы рассмотреть механизмы на международном уровне, которые могли бы оказать поддержку в разработке или укреплении и осуществлении такой национальной координации и соответствующих институциональных механизмов на национальном уровне, в том числе путем осуществления соответствующих ключевых действий «дорожной карты» для расширения взаимодействия между конвенциями, связанными с биоразнообразием, на международном уровне в </w:t>
      </w:r>
      <w:r w:rsidR="00A9704E">
        <w:t>течение</w:t>
      </w:r>
      <w:r>
        <w:t xml:space="preserve"> 2017-2020 годов.</w:t>
      </w:r>
    </w:p>
    <w:p w:rsidR="00C20243" w:rsidRDefault="00C20243" w:rsidP="00C20243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</w:pPr>
    </w:p>
    <w:p w:rsidR="00D15589" w:rsidRPr="00C20243" w:rsidRDefault="00CA6B87" w:rsidP="00C20243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kern w:val="22"/>
          <w:szCs w:val="22"/>
        </w:rPr>
      </w:pPr>
      <w:r>
        <w:t>__________</w:t>
      </w:r>
    </w:p>
    <w:p w:rsidR="00794E11" w:rsidRPr="00883A1C" w:rsidRDefault="00794E11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left"/>
        <w:rPr>
          <w:kern w:val="22"/>
          <w:szCs w:val="22"/>
        </w:rPr>
      </w:pPr>
    </w:p>
    <w:p w:rsidR="0034689D" w:rsidRPr="00883A1C" w:rsidRDefault="0034689D" w:rsidP="00883A1C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</w:p>
    <w:sectPr w:rsidR="0034689D" w:rsidRPr="00883A1C" w:rsidSect="00CA1572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A9" w:rsidRDefault="009F09A9">
      <w:r>
        <w:separator/>
      </w:r>
    </w:p>
  </w:endnote>
  <w:endnote w:type="continuationSeparator" w:id="0">
    <w:p w:rsidR="009F09A9" w:rsidRDefault="009F09A9">
      <w:r>
        <w:continuationSeparator/>
      </w:r>
    </w:p>
  </w:endnote>
  <w:endnote w:type="continuationNotice" w:id="1">
    <w:p w:rsidR="009F09A9" w:rsidRDefault="009F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BF" w:rsidRDefault="00F81ABF" w:rsidP="00883A1C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BF" w:rsidRDefault="00F81ABF" w:rsidP="00883A1C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A9" w:rsidRDefault="009F09A9">
      <w:r>
        <w:separator/>
      </w:r>
    </w:p>
  </w:footnote>
  <w:footnote w:type="continuationSeparator" w:id="0">
    <w:p w:rsidR="009F09A9" w:rsidRDefault="009F09A9">
      <w:r>
        <w:continuationSeparator/>
      </w:r>
    </w:p>
  </w:footnote>
  <w:footnote w:type="continuationNotice" w:id="1">
    <w:p w:rsidR="009F09A9" w:rsidRDefault="009F09A9"/>
  </w:footnote>
  <w:footnote w:id="2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</w:rPr>
        <w:t>*</w:t>
      </w:r>
      <w:r>
        <w:t xml:space="preserve"> </w:t>
      </w:r>
      <w:hyperlink r:id="rId1">
        <w:r>
          <w:rPr>
            <w:rStyle w:val="Hyperlink"/>
            <w:snapToGrid w:val="0"/>
            <w:kern w:val="18"/>
          </w:rPr>
          <w:t>CBD/SBI/2/1</w:t>
        </w:r>
      </w:hyperlink>
      <w:r>
        <w:t>.</w:t>
      </w:r>
    </w:p>
  </w:footnote>
  <w:footnote w:id="3">
    <w:p w:rsidR="00121CC8" w:rsidRPr="0004197A" w:rsidRDefault="00121CC8" w:rsidP="00877657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См. </w:t>
      </w:r>
      <w:hyperlink r:id="rId2" w:history="1">
        <w:r w:rsidR="0004197A" w:rsidRPr="00422B1B">
          <w:rPr>
            <w:rStyle w:val="Hyperlink"/>
            <w:snapToGrid w:val="0"/>
            <w:kern w:val="18"/>
            <w:lang w:val="en-US"/>
          </w:rPr>
          <w:t>h</w:t>
        </w:r>
        <w:r w:rsidR="0004197A" w:rsidRPr="0004197A">
          <w:rPr>
            <w:rStyle w:val="Hyperlink"/>
            <w:snapToGrid w:val="0"/>
            <w:kern w:val="18"/>
            <w:lang w:val="en-US"/>
          </w:rPr>
          <w:t>ttps://www.ramsar.org/sites/default/files/documents/library/sc53_decisions_</w:t>
        </w:r>
        <w:r w:rsidR="0004197A" w:rsidRPr="00422B1B">
          <w:rPr>
            <w:rStyle w:val="Hyperlink"/>
            <w:snapToGrid w:val="0"/>
            <w:kern w:val="18"/>
            <w:lang w:val="en-US"/>
          </w:rPr>
          <w:t>ru</w:t>
        </w:r>
        <w:r w:rsidR="0004197A" w:rsidRPr="0004197A">
          <w:rPr>
            <w:rStyle w:val="Hyperlink"/>
            <w:snapToGrid w:val="0"/>
            <w:kern w:val="18"/>
            <w:lang w:val="en-US"/>
          </w:rPr>
          <w:t>.pdf</w:t>
        </w:r>
      </w:hyperlink>
    </w:p>
  </w:footnote>
  <w:footnote w:id="4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Совместная рабочая программа СИТЕС-КМВ на 2015-2020 годы: </w:t>
      </w:r>
      <w:hyperlink r:id="rId3">
        <w:r>
          <w:rPr>
            <w:rStyle w:val="Hyperlink"/>
            <w:snapToGrid w:val="0"/>
            <w:kern w:val="18"/>
          </w:rPr>
          <w:t>https://cites.org/sites/default/files/common/disc/sec/CITES-CMS-wp-ru.pdf</w:t>
        </w:r>
      </w:hyperlink>
      <w:r>
        <w:t xml:space="preserve"> </w:t>
      </w:r>
    </w:p>
  </w:footnote>
  <w:footnote w:id="5">
    <w:p w:rsidR="00F81ABF" w:rsidRPr="00037B95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037B95">
        <w:rPr>
          <w:lang w:val="en-US"/>
        </w:rPr>
        <w:t xml:space="preserve"> McInnes R., Ali M. and Pritchard D. (2017). </w:t>
      </w:r>
      <w:hyperlink r:id="rId4">
        <w:proofErr w:type="spellStart"/>
        <w:r w:rsidRPr="00037B95">
          <w:rPr>
            <w:rStyle w:val="Hyperlink"/>
            <w:i/>
            <w:snapToGrid w:val="0"/>
            <w:kern w:val="18"/>
            <w:lang w:val="en-US"/>
          </w:rPr>
          <w:t>Ramsar</w:t>
        </w:r>
        <w:proofErr w:type="spellEnd"/>
        <w:r w:rsidRPr="00037B95">
          <w:rPr>
            <w:rStyle w:val="Hyperlink"/>
            <w:i/>
            <w:snapToGrid w:val="0"/>
            <w:kern w:val="18"/>
            <w:lang w:val="en-US"/>
          </w:rPr>
          <w:t xml:space="preserve"> and World Heritage Conventions Converging towards Success</w:t>
        </w:r>
      </w:hyperlink>
      <w:r w:rsidRPr="00037B95">
        <w:rPr>
          <w:lang w:val="en-US"/>
        </w:rPr>
        <w:t xml:space="preserve">. </w:t>
      </w:r>
      <w:r>
        <w:t>Секретариат</w:t>
      </w:r>
      <w:r w:rsidRPr="00037B95">
        <w:rPr>
          <w:lang w:val="en-US"/>
        </w:rPr>
        <w:t xml:space="preserve"> </w:t>
      </w:r>
      <w:r>
        <w:t>Рамсарской</w:t>
      </w:r>
      <w:r w:rsidRPr="00037B95">
        <w:rPr>
          <w:lang w:val="en-US"/>
        </w:rPr>
        <w:t xml:space="preserve"> </w:t>
      </w:r>
      <w:r>
        <w:t>конвенции</w:t>
      </w:r>
      <w:r w:rsidRPr="00037B95">
        <w:rPr>
          <w:lang w:val="en-US"/>
        </w:rPr>
        <w:t>.</w:t>
      </w:r>
    </w:p>
  </w:footnote>
  <w:footnote w:id="6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Вебсайт КВН: </w:t>
      </w:r>
      <w:hyperlink r:id="rId5">
        <w:r>
          <w:rPr>
            <w:rStyle w:val="Hyperlink"/>
            <w:snapToGrid w:val="0"/>
            <w:kern w:val="18"/>
          </w:rPr>
          <w:t>http://whc.unesco.org/en/activities/920</w:t>
        </w:r>
      </w:hyperlink>
    </w:p>
  </w:footnote>
  <w:footnote w:id="7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См. </w:t>
      </w:r>
      <w:hyperlink r:id="rId6">
        <w:r>
          <w:rPr>
            <w:rStyle w:val="Hyperlink"/>
            <w:snapToGrid w:val="0"/>
            <w:kern w:val="18"/>
          </w:rPr>
          <w:t>http://whc.unesco.org/en/news/1550</w:t>
        </w:r>
      </w:hyperlink>
    </w:p>
  </w:footnote>
  <w:footnote w:id="8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Двенадцатая сессия Комиссии по фитосанитарным мерам, Инчхон, Республика Корея,</w:t>
      </w:r>
      <w:r w:rsidR="00EF5D35">
        <w:t xml:space="preserve"> 5-11 апреля 2017 года: Доклад С</w:t>
      </w:r>
      <w:r>
        <w:t xml:space="preserve">екретариата Конвенции о биологическом разнообразии (CPM 2017/CRP/03); Международное сотрудничество - сотрудничество Секретариата МККЗР с соответствующими организациями (CPM 2017/30). Тринадцатая сессия Комиссии по фитосанитарным мерам, Рим, 16-20 апреля 2018 года: Доклад </w:t>
      </w:r>
      <w:r w:rsidR="00EF5D35">
        <w:t>С</w:t>
      </w:r>
      <w:r>
        <w:t xml:space="preserve">екретариата Конвенции о биологическом разнообразии (CPM 2018/CRP/09); </w:t>
      </w:r>
      <w:r w:rsidR="00C559DB">
        <w:t>Доклад</w:t>
      </w:r>
      <w:r>
        <w:t xml:space="preserve"> Секретариата МККЗР - Доклад о международном сотрудничестве (CPM 2018/31).</w:t>
      </w:r>
    </w:p>
  </w:footnote>
  <w:footnote w:id="9">
    <w:p w:rsidR="00F81ABF" w:rsidRPr="00037B95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037B95">
        <w:rPr>
          <w:lang w:val="en-US"/>
        </w:rPr>
        <w:t xml:space="preserve"> IT/GB-7/17/19 (</w:t>
      </w:r>
      <w:hyperlink r:id="rId7">
        <w:r w:rsidRPr="00037B95">
          <w:rPr>
            <w:rStyle w:val="Hyperlink"/>
            <w:snapToGrid w:val="0"/>
            <w:kern w:val="18"/>
            <w:lang w:val="en-US"/>
          </w:rPr>
          <w:t>http://www.fao.org/3/a-mu388r.pdf</w:t>
        </w:r>
      </w:hyperlink>
      <w:r w:rsidRPr="00037B95">
        <w:rPr>
          <w:lang w:val="en-US"/>
        </w:rPr>
        <w:t>).</w:t>
      </w:r>
    </w:p>
  </w:footnote>
  <w:footnote w:id="10">
    <w:p w:rsidR="00F81ABF" w:rsidRPr="00037B95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 w:rsidRPr="00037B95">
        <w:rPr>
          <w:lang w:val="en-US"/>
        </w:rPr>
        <w:t xml:space="preserve"> IT/GB-7/17/Inf.14 (</w:t>
      </w:r>
      <w:hyperlink r:id="rId8">
        <w:r w:rsidRPr="00037B95">
          <w:rPr>
            <w:rStyle w:val="Hyperlink"/>
            <w:snapToGrid w:val="0"/>
            <w:kern w:val="18"/>
            <w:lang w:val="en-US"/>
          </w:rPr>
          <w:t>http://www.fao.org/3/a-bs781r.pdf</w:t>
        </w:r>
      </w:hyperlink>
      <w:r w:rsidRPr="00037B95">
        <w:rPr>
          <w:lang w:val="en-US"/>
        </w:rPr>
        <w:t>).</w:t>
      </w:r>
    </w:p>
  </w:footnote>
  <w:footnote w:id="11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Уведомление 2017-081, 28 августа 2017 года, доступно по адресу: </w:t>
      </w:r>
      <w:hyperlink r:id="rId9">
        <w:r>
          <w:rPr>
            <w:rStyle w:val="Hyperlink"/>
            <w:snapToGrid w:val="0"/>
            <w:spacing w:val="-2"/>
            <w:kern w:val="18"/>
          </w:rPr>
          <w:t>https://www.cbd.int/doc/notifications/2017/ntf-2017-081-cooperation-ru.pdf</w:t>
        </w:r>
      </w:hyperlink>
    </w:p>
  </w:footnote>
  <w:footnote w:id="12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rPr>
          <w:rStyle w:val="FootnoteReference"/>
          <w:snapToGrid w:val="0"/>
          <w:kern w:val="18"/>
          <w:u w:val="none"/>
          <w:vertAlign w:val="superscript"/>
        </w:rPr>
        <w:t xml:space="preserve"> </w:t>
      </w:r>
      <w:r>
        <w:t xml:space="preserve">Уведомление 2017-114 доступно по адресу: </w:t>
      </w:r>
      <w:hyperlink r:id="rId10">
        <w:r>
          <w:rPr>
            <w:rStyle w:val="Hyperlink"/>
            <w:snapToGrid w:val="0"/>
            <w:kern w:val="18"/>
          </w:rPr>
          <w:t>https://www.cbd.int/doc/notifications/2017/ntf-2017-114-iag-ru.pdf</w:t>
        </w:r>
      </w:hyperlink>
    </w:p>
  </w:footnote>
  <w:footnote w:id="13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</w:t>
      </w:r>
      <w:r>
        <w:rPr>
          <w:snapToGrid w:val="0"/>
          <w:color w:val="000000" w:themeColor="text1"/>
          <w:kern w:val="18"/>
        </w:rPr>
        <w:t>CBD/SBI/2/INF/14.</w:t>
      </w:r>
    </w:p>
  </w:footnote>
  <w:footnote w:id="14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Мероприятие 2.1 дорожной карты.</w:t>
      </w:r>
    </w:p>
  </w:footnote>
  <w:footnote w:id="15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Решение VIII/16, пункт 1; Решение IX / 27, пункт 12.</w:t>
      </w:r>
    </w:p>
  </w:footnote>
  <w:footnote w:id="16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Например, инициирование совместного неофициального комитета по всем конвенциям для создания консультативного потенциала, который будет опираться на опыт, накопленный на семинаре, организованном в 2016 году в </w:t>
      </w:r>
      <w:r w:rsidR="00493B7E">
        <w:t>соответствии с</w:t>
      </w:r>
      <w:r>
        <w:t xml:space="preserve"> решение</w:t>
      </w:r>
      <w:r w:rsidR="00493B7E">
        <w:t>м</w:t>
      </w:r>
      <w:r>
        <w:t xml:space="preserve"> XII/6, в котором было предусмотрено созвать представительство Сторон в каждой из семи глобальных конвенций, связанных с биоразнообразием</w:t>
      </w:r>
      <w:r w:rsidR="00493B7E">
        <w:t>,</w:t>
      </w:r>
      <w:r>
        <w:t xml:space="preserve"> из </w:t>
      </w:r>
      <w:r w:rsidR="00493B7E">
        <w:t>членов</w:t>
      </w:r>
      <w:r>
        <w:t xml:space="preserve"> их бюро, постоянных комитетов или аналогичных органов (UNEP/CBD/COP/13/15).</w:t>
      </w:r>
    </w:p>
  </w:footnote>
  <w:footnote w:id="17">
    <w:p w:rsidR="00F81ABF" w:rsidRPr="00883A1C" w:rsidRDefault="00F81ABF" w:rsidP="00883A1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</w:rPr>
      </w:pPr>
      <w:r>
        <w:rPr>
          <w:rStyle w:val="FootnoteReference"/>
          <w:snapToGrid w:val="0"/>
          <w:kern w:val="18"/>
          <w:u w:val="none"/>
          <w:vertAlign w:val="superscript"/>
        </w:rPr>
        <w:footnoteRef/>
      </w:r>
      <w:r>
        <w:t xml:space="preserve"> Решение VIII/16, пункт 2; решение X/20, пункт 5; решение XI/6, пункт 10; решение XIII/24, пункт 11. Это было подчеркнуто в вариантах расширения взаимодействия между конвенциями, связанными с биоразнообразием, на национальном уровне, содержащихся в приложении I к решению XIII/24.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435956939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F81ABF" w:rsidRPr="008A2A48" w:rsidRDefault="00F81ABF" w:rsidP="00883A1C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</w:rPr>
        </w:pPr>
        <w:r w:rsidRPr="008A2A48">
          <w:rPr>
            <w:noProof/>
            <w:kern w:val="22"/>
          </w:rPr>
          <w:t>CBD/SBI/2/10/Add.1</w:t>
        </w:r>
      </w:p>
    </w:sdtContent>
  </w:sdt>
  <w:p w:rsidR="00F81ABF" w:rsidRPr="008A2A48" w:rsidRDefault="00F81ABF" w:rsidP="00883A1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>
      <w:t xml:space="preserve">страница </w:t>
    </w:r>
    <w:r w:rsidRPr="008A2A48">
      <w:rPr>
        <w:noProof/>
        <w:kern w:val="22"/>
      </w:rPr>
      <w:fldChar w:fldCharType="begin"/>
    </w:r>
    <w:r w:rsidRPr="008A2A48">
      <w:rPr>
        <w:noProof/>
        <w:kern w:val="22"/>
      </w:rPr>
      <w:instrText xml:space="preserve"> PAGE   \* MERGEFORMAT </w:instrText>
    </w:r>
    <w:r w:rsidRPr="008A2A48">
      <w:rPr>
        <w:noProof/>
        <w:kern w:val="22"/>
      </w:rPr>
      <w:fldChar w:fldCharType="separate"/>
    </w:r>
    <w:r w:rsidR="00326335">
      <w:rPr>
        <w:noProof/>
        <w:kern w:val="22"/>
      </w:rPr>
      <w:t>14</w:t>
    </w:r>
    <w:r w:rsidRPr="008A2A48">
      <w:rPr>
        <w:noProof/>
        <w:kern w:val="22"/>
      </w:rPr>
      <w:fldChar w:fldCharType="end"/>
    </w:r>
  </w:p>
  <w:p w:rsidR="00F81ABF" w:rsidRPr="00036A2C" w:rsidRDefault="00F81ABF" w:rsidP="00883A1C">
    <w:pPr>
      <w:kinsoku w:val="0"/>
      <w:overflowPunct w:val="0"/>
      <w:autoSpaceDE w:val="0"/>
      <w:autoSpaceDN w:val="0"/>
      <w:adjustRightInd w:val="0"/>
      <w:snapToGrid w:val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F81ABF" w:rsidRPr="005440A6" w:rsidRDefault="00F81ABF" w:rsidP="00883A1C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CBD/SBI/2/10/Add.1</w:t>
        </w:r>
      </w:p>
    </w:sdtContent>
  </w:sdt>
  <w:p w:rsidR="00F81ABF" w:rsidRPr="005440A6" w:rsidRDefault="00F81ABF" w:rsidP="00883A1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>
      <w:t xml:space="preserve">страница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326335">
      <w:rPr>
        <w:noProof/>
        <w:kern w:val="22"/>
      </w:rPr>
      <w:t>15</w:t>
    </w:r>
    <w:r w:rsidRPr="005440A6">
      <w:rPr>
        <w:noProof/>
        <w:kern w:val="22"/>
      </w:rPr>
      <w:fldChar w:fldCharType="end"/>
    </w:r>
  </w:p>
  <w:p w:rsidR="00F81ABF" w:rsidRDefault="00F81ABF" w:rsidP="00883A1C">
    <w:pPr>
      <w:kinsoku w:val="0"/>
      <w:overflowPunct w:val="0"/>
      <w:autoSpaceDE w:val="0"/>
      <w:autoSpaceDN w:val="0"/>
      <w:adjustRightInd w:val="0"/>
      <w:snapToGrid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BF" w:rsidRDefault="00F81ABF" w:rsidP="00883A1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7E568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481.5pt;height:408.7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1455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B16A7"/>
    <w:multiLevelType w:val="hybridMultilevel"/>
    <w:tmpl w:val="01B037B6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72E229B"/>
    <w:multiLevelType w:val="hybridMultilevel"/>
    <w:tmpl w:val="A1BAD62E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B7F"/>
    <w:multiLevelType w:val="hybridMultilevel"/>
    <w:tmpl w:val="DE0AD37E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AE2"/>
    <w:multiLevelType w:val="hybridMultilevel"/>
    <w:tmpl w:val="49FA716C"/>
    <w:lvl w:ilvl="0" w:tplc="9BD276D6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94" w:hanging="360"/>
      </w:pPr>
    </w:lvl>
    <w:lvl w:ilvl="2" w:tplc="1009001B" w:tentative="1">
      <w:start w:val="1"/>
      <w:numFmt w:val="lowerRoman"/>
      <w:lvlText w:val="%3."/>
      <w:lvlJc w:val="right"/>
      <w:pPr>
        <w:ind w:left="2814" w:hanging="180"/>
      </w:pPr>
    </w:lvl>
    <w:lvl w:ilvl="3" w:tplc="1009000F" w:tentative="1">
      <w:start w:val="1"/>
      <w:numFmt w:val="decimal"/>
      <w:lvlText w:val="%4."/>
      <w:lvlJc w:val="left"/>
      <w:pPr>
        <w:ind w:left="3534" w:hanging="360"/>
      </w:pPr>
    </w:lvl>
    <w:lvl w:ilvl="4" w:tplc="10090019" w:tentative="1">
      <w:start w:val="1"/>
      <w:numFmt w:val="lowerLetter"/>
      <w:lvlText w:val="%5."/>
      <w:lvlJc w:val="left"/>
      <w:pPr>
        <w:ind w:left="4254" w:hanging="360"/>
      </w:pPr>
    </w:lvl>
    <w:lvl w:ilvl="5" w:tplc="1009001B" w:tentative="1">
      <w:start w:val="1"/>
      <w:numFmt w:val="lowerRoman"/>
      <w:lvlText w:val="%6."/>
      <w:lvlJc w:val="right"/>
      <w:pPr>
        <w:ind w:left="4974" w:hanging="180"/>
      </w:pPr>
    </w:lvl>
    <w:lvl w:ilvl="6" w:tplc="1009000F" w:tentative="1">
      <w:start w:val="1"/>
      <w:numFmt w:val="decimal"/>
      <w:lvlText w:val="%7."/>
      <w:lvlJc w:val="left"/>
      <w:pPr>
        <w:ind w:left="5694" w:hanging="360"/>
      </w:pPr>
    </w:lvl>
    <w:lvl w:ilvl="7" w:tplc="10090019" w:tentative="1">
      <w:start w:val="1"/>
      <w:numFmt w:val="lowerLetter"/>
      <w:lvlText w:val="%8."/>
      <w:lvlJc w:val="left"/>
      <w:pPr>
        <w:ind w:left="6414" w:hanging="360"/>
      </w:pPr>
    </w:lvl>
    <w:lvl w:ilvl="8" w:tplc="1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181939AA"/>
    <w:multiLevelType w:val="hybridMultilevel"/>
    <w:tmpl w:val="3FA87BA2"/>
    <w:lvl w:ilvl="0" w:tplc="DAF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8B14839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1962"/>
    <w:multiLevelType w:val="hybridMultilevel"/>
    <w:tmpl w:val="F342AD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D110F9"/>
    <w:multiLevelType w:val="hybridMultilevel"/>
    <w:tmpl w:val="2690DB40"/>
    <w:lvl w:ilvl="0" w:tplc="10090017">
      <w:start w:val="1"/>
      <w:numFmt w:val="lowerLetter"/>
      <w:lvlText w:val="%1)"/>
      <w:lvlJc w:val="left"/>
      <w:pPr>
        <w:ind w:left="4593" w:hanging="360"/>
      </w:pPr>
    </w:lvl>
    <w:lvl w:ilvl="1" w:tplc="10090019" w:tentative="1">
      <w:start w:val="1"/>
      <w:numFmt w:val="lowerLetter"/>
      <w:lvlText w:val="%2."/>
      <w:lvlJc w:val="left"/>
      <w:pPr>
        <w:ind w:left="5313" w:hanging="360"/>
      </w:pPr>
    </w:lvl>
    <w:lvl w:ilvl="2" w:tplc="1009001B" w:tentative="1">
      <w:start w:val="1"/>
      <w:numFmt w:val="lowerRoman"/>
      <w:lvlText w:val="%3."/>
      <w:lvlJc w:val="right"/>
      <w:pPr>
        <w:ind w:left="6033" w:hanging="180"/>
      </w:pPr>
    </w:lvl>
    <w:lvl w:ilvl="3" w:tplc="1009000F" w:tentative="1">
      <w:start w:val="1"/>
      <w:numFmt w:val="decimal"/>
      <w:lvlText w:val="%4."/>
      <w:lvlJc w:val="left"/>
      <w:pPr>
        <w:ind w:left="6753" w:hanging="360"/>
      </w:pPr>
    </w:lvl>
    <w:lvl w:ilvl="4" w:tplc="10090019" w:tentative="1">
      <w:start w:val="1"/>
      <w:numFmt w:val="lowerLetter"/>
      <w:lvlText w:val="%5."/>
      <w:lvlJc w:val="left"/>
      <w:pPr>
        <w:ind w:left="7473" w:hanging="360"/>
      </w:pPr>
    </w:lvl>
    <w:lvl w:ilvl="5" w:tplc="1009001B" w:tentative="1">
      <w:start w:val="1"/>
      <w:numFmt w:val="lowerRoman"/>
      <w:lvlText w:val="%6."/>
      <w:lvlJc w:val="right"/>
      <w:pPr>
        <w:ind w:left="8193" w:hanging="180"/>
      </w:pPr>
    </w:lvl>
    <w:lvl w:ilvl="6" w:tplc="1009000F" w:tentative="1">
      <w:start w:val="1"/>
      <w:numFmt w:val="decimal"/>
      <w:lvlText w:val="%7."/>
      <w:lvlJc w:val="left"/>
      <w:pPr>
        <w:ind w:left="8913" w:hanging="360"/>
      </w:pPr>
    </w:lvl>
    <w:lvl w:ilvl="7" w:tplc="10090019" w:tentative="1">
      <w:start w:val="1"/>
      <w:numFmt w:val="lowerLetter"/>
      <w:lvlText w:val="%8."/>
      <w:lvlJc w:val="left"/>
      <w:pPr>
        <w:ind w:left="9633" w:hanging="360"/>
      </w:pPr>
    </w:lvl>
    <w:lvl w:ilvl="8" w:tplc="100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19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30987444"/>
    <w:multiLevelType w:val="hybridMultilevel"/>
    <w:tmpl w:val="2690DB40"/>
    <w:lvl w:ilvl="0" w:tplc="10090017">
      <w:start w:val="1"/>
      <w:numFmt w:val="lowerLetter"/>
      <w:lvlText w:val="%1)"/>
      <w:lvlJc w:val="left"/>
      <w:pPr>
        <w:ind w:left="4593" w:hanging="360"/>
      </w:pPr>
    </w:lvl>
    <w:lvl w:ilvl="1" w:tplc="10090019" w:tentative="1">
      <w:start w:val="1"/>
      <w:numFmt w:val="lowerLetter"/>
      <w:lvlText w:val="%2."/>
      <w:lvlJc w:val="left"/>
      <w:pPr>
        <w:ind w:left="5313" w:hanging="360"/>
      </w:pPr>
    </w:lvl>
    <w:lvl w:ilvl="2" w:tplc="1009001B" w:tentative="1">
      <w:start w:val="1"/>
      <w:numFmt w:val="lowerRoman"/>
      <w:lvlText w:val="%3."/>
      <w:lvlJc w:val="right"/>
      <w:pPr>
        <w:ind w:left="6033" w:hanging="180"/>
      </w:pPr>
    </w:lvl>
    <w:lvl w:ilvl="3" w:tplc="1009000F" w:tentative="1">
      <w:start w:val="1"/>
      <w:numFmt w:val="decimal"/>
      <w:lvlText w:val="%4."/>
      <w:lvlJc w:val="left"/>
      <w:pPr>
        <w:ind w:left="6753" w:hanging="360"/>
      </w:pPr>
    </w:lvl>
    <w:lvl w:ilvl="4" w:tplc="10090019" w:tentative="1">
      <w:start w:val="1"/>
      <w:numFmt w:val="lowerLetter"/>
      <w:lvlText w:val="%5."/>
      <w:lvlJc w:val="left"/>
      <w:pPr>
        <w:ind w:left="7473" w:hanging="360"/>
      </w:pPr>
    </w:lvl>
    <w:lvl w:ilvl="5" w:tplc="1009001B" w:tentative="1">
      <w:start w:val="1"/>
      <w:numFmt w:val="lowerRoman"/>
      <w:lvlText w:val="%6."/>
      <w:lvlJc w:val="right"/>
      <w:pPr>
        <w:ind w:left="8193" w:hanging="180"/>
      </w:pPr>
    </w:lvl>
    <w:lvl w:ilvl="6" w:tplc="1009000F" w:tentative="1">
      <w:start w:val="1"/>
      <w:numFmt w:val="decimal"/>
      <w:lvlText w:val="%7."/>
      <w:lvlJc w:val="left"/>
      <w:pPr>
        <w:ind w:left="8913" w:hanging="360"/>
      </w:pPr>
    </w:lvl>
    <w:lvl w:ilvl="7" w:tplc="10090019" w:tentative="1">
      <w:start w:val="1"/>
      <w:numFmt w:val="lowerLetter"/>
      <w:lvlText w:val="%8."/>
      <w:lvlJc w:val="left"/>
      <w:pPr>
        <w:ind w:left="9633" w:hanging="360"/>
      </w:pPr>
    </w:lvl>
    <w:lvl w:ilvl="8" w:tplc="100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23" w15:restartNumberingAfterBreak="0">
    <w:nsid w:val="34FE4430"/>
    <w:multiLevelType w:val="hybridMultilevel"/>
    <w:tmpl w:val="542EC2FA"/>
    <w:lvl w:ilvl="0" w:tplc="10090017">
      <w:start w:val="1"/>
      <w:numFmt w:val="lowerLetter"/>
      <w:lvlText w:val="%1)"/>
      <w:lvlJc w:val="left"/>
      <w:pPr>
        <w:ind w:left="4593" w:hanging="360"/>
      </w:pPr>
    </w:lvl>
    <w:lvl w:ilvl="1" w:tplc="10090019" w:tentative="1">
      <w:start w:val="1"/>
      <w:numFmt w:val="lowerLetter"/>
      <w:lvlText w:val="%2."/>
      <w:lvlJc w:val="left"/>
      <w:pPr>
        <w:ind w:left="5313" w:hanging="360"/>
      </w:pPr>
    </w:lvl>
    <w:lvl w:ilvl="2" w:tplc="1009001B" w:tentative="1">
      <w:start w:val="1"/>
      <w:numFmt w:val="lowerRoman"/>
      <w:lvlText w:val="%3."/>
      <w:lvlJc w:val="right"/>
      <w:pPr>
        <w:ind w:left="6033" w:hanging="180"/>
      </w:pPr>
    </w:lvl>
    <w:lvl w:ilvl="3" w:tplc="1009000F" w:tentative="1">
      <w:start w:val="1"/>
      <w:numFmt w:val="decimal"/>
      <w:lvlText w:val="%4."/>
      <w:lvlJc w:val="left"/>
      <w:pPr>
        <w:ind w:left="6753" w:hanging="360"/>
      </w:pPr>
    </w:lvl>
    <w:lvl w:ilvl="4" w:tplc="10090019" w:tentative="1">
      <w:start w:val="1"/>
      <w:numFmt w:val="lowerLetter"/>
      <w:lvlText w:val="%5."/>
      <w:lvlJc w:val="left"/>
      <w:pPr>
        <w:ind w:left="7473" w:hanging="360"/>
      </w:pPr>
    </w:lvl>
    <w:lvl w:ilvl="5" w:tplc="1009001B" w:tentative="1">
      <w:start w:val="1"/>
      <w:numFmt w:val="lowerRoman"/>
      <w:lvlText w:val="%6."/>
      <w:lvlJc w:val="right"/>
      <w:pPr>
        <w:ind w:left="8193" w:hanging="180"/>
      </w:pPr>
    </w:lvl>
    <w:lvl w:ilvl="6" w:tplc="1009000F" w:tentative="1">
      <w:start w:val="1"/>
      <w:numFmt w:val="decimal"/>
      <w:lvlText w:val="%7."/>
      <w:lvlJc w:val="left"/>
      <w:pPr>
        <w:ind w:left="8913" w:hanging="360"/>
      </w:pPr>
    </w:lvl>
    <w:lvl w:ilvl="7" w:tplc="10090019" w:tentative="1">
      <w:start w:val="1"/>
      <w:numFmt w:val="lowerLetter"/>
      <w:lvlText w:val="%8."/>
      <w:lvlJc w:val="left"/>
      <w:pPr>
        <w:ind w:left="9633" w:hanging="360"/>
      </w:pPr>
    </w:lvl>
    <w:lvl w:ilvl="8" w:tplc="100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24" w15:restartNumberingAfterBreak="0">
    <w:nsid w:val="35AB2191"/>
    <w:multiLevelType w:val="hybridMultilevel"/>
    <w:tmpl w:val="49FA716C"/>
    <w:lvl w:ilvl="0" w:tplc="9BD276D6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94" w:hanging="360"/>
      </w:pPr>
    </w:lvl>
    <w:lvl w:ilvl="2" w:tplc="1009001B" w:tentative="1">
      <w:start w:val="1"/>
      <w:numFmt w:val="lowerRoman"/>
      <w:lvlText w:val="%3."/>
      <w:lvlJc w:val="right"/>
      <w:pPr>
        <w:ind w:left="2814" w:hanging="180"/>
      </w:pPr>
    </w:lvl>
    <w:lvl w:ilvl="3" w:tplc="1009000F" w:tentative="1">
      <w:start w:val="1"/>
      <w:numFmt w:val="decimal"/>
      <w:lvlText w:val="%4."/>
      <w:lvlJc w:val="left"/>
      <w:pPr>
        <w:ind w:left="3534" w:hanging="360"/>
      </w:pPr>
    </w:lvl>
    <w:lvl w:ilvl="4" w:tplc="10090019" w:tentative="1">
      <w:start w:val="1"/>
      <w:numFmt w:val="lowerLetter"/>
      <w:lvlText w:val="%5."/>
      <w:lvlJc w:val="left"/>
      <w:pPr>
        <w:ind w:left="4254" w:hanging="360"/>
      </w:pPr>
    </w:lvl>
    <w:lvl w:ilvl="5" w:tplc="1009001B" w:tentative="1">
      <w:start w:val="1"/>
      <w:numFmt w:val="lowerRoman"/>
      <w:lvlText w:val="%6."/>
      <w:lvlJc w:val="right"/>
      <w:pPr>
        <w:ind w:left="4974" w:hanging="180"/>
      </w:pPr>
    </w:lvl>
    <w:lvl w:ilvl="6" w:tplc="1009000F" w:tentative="1">
      <w:start w:val="1"/>
      <w:numFmt w:val="decimal"/>
      <w:lvlText w:val="%7."/>
      <w:lvlJc w:val="left"/>
      <w:pPr>
        <w:ind w:left="5694" w:hanging="360"/>
      </w:pPr>
    </w:lvl>
    <w:lvl w:ilvl="7" w:tplc="10090019" w:tentative="1">
      <w:start w:val="1"/>
      <w:numFmt w:val="lowerLetter"/>
      <w:lvlText w:val="%8."/>
      <w:lvlJc w:val="left"/>
      <w:pPr>
        <w:ind w:left="6414" w:hanging="360"/>
      </w:pPr>
    </w:lvl>
    <w:lvl w:ilvl="8" w:tplc="10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 w15:restartNumberingAfterBreak="0">
    <w:nsid w:val="375C7577"/>
    <w:multiLevelType w:val="hybridMultilevel"/>
    <w:tmpl w:val="64EAC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D7A99"/>
    <w:multiLevelType w:val="multilevel"/>
    <w:tmpl w:val="2B9A29F8"/>
    <w:lvl w:ilvl="0">
      <w:start w:val="1"/>
      <w:numFmt w:val="lowerLetter"/>
      <w:lvlText w:val="(%1)"/>
      <w:lvlJc w:val="left"/>
      <w:pPr>
        <w:tabs>
          <w:tab w:val="num" w:pos="1800"/>
        </w:tabs>
        <w:ind w:left="1440" w:firstLine="0"/>
      </w:pPr>
      <w:rPr>
        <w:rFonts w:eastAsia="MS Mincho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7" w15:restartNumberingAfterBreak="0">
    <w:nsid w:val="388E6B29"/>
    <w:multiLevelType w:val="hybridMultilevel"/>
    <w:tmpl w:val="2690DB40"/>
    <w:lvl w:ilvl="0" w:tplc="10090017">
      <w:start w:val="1"/>
      <w:numFmt w:val="lowerLetter"/>
      <w:lvlText w:val="%1)"/>
      <w:lvlJc w:val="left"/>
      <w:pPr>
        <w:ind w:left="4593" w:hanging="360"/>
      </w:pPr>
    </w:lvl>
    <w:lvl w:ilvl="1" w:tplc="10090019" w:tentative="1">
      <w:start w:val="1"/>
      <w:numFmt w:val="lowerLetter"/>
      <w:lvlText w:val="%2."/>
      <w:lvlJc w:val="left"/>
      <w:pPr>
        <w:ind w:left="5313" w:hanging="360"/>
      </w:pPr>
    </w:lvl>
    <w:lvl w:ilvl="2" w:tplc="1009001B" w:tentative="1">
      <w:start w:val="1"/>
      <w:numFmt w:val="lowerRoman"/>
      <w:lvlText w:val="%3."/>
      <w:lvlJc w:val="right"/>
      <w:pPr>
        <w:ind w:left="6033" w:hanging="180"/>
      </w:pPr>
    </w:lvl>
    <w:lvl w:ilvl="3" w:tplc="1009000F" w:tentative="1">
      <w:start w:val="1"/>
      <w:numFmt w:val="decimal"/>
      <w:lvlText w:val="%4."/>
      <w:lvlJc w:val="left"/>
      <w:pPr>
        <w:ind w:left="6753" w:hanging="360"/>
      </w:pPr>
    </w:lvl>
    <w:lvl w:ilvl="4" w:tplc="10090019" w:tentative="1">
      <w:start w:val="1"/>
      <w:numFmt w:val="lowerLetter"/>
      <w:lvlText w:val="%5."/>
      <w:lvlJc w:val="left"/>
      <w:pPr>
        <w:ind w:left="7473" w:hanging="360"/>
      </w:pPr>
    </w:lvl>
    <w:lvl w:ilvl="5" w:tplc="1009001B" w:tentative="1">
      <w:start w:val="1"/>
      <w:numFmt w:val="lowerRoman"/>
      <w:lvlText w:val="%6."/>
      <w:lvlJc w:val="right"/>
      <w:pPr>
        <w:ind w:left="8193" w:hanging="180"/>
      </w:pPr>
    </w:lvl>
    <w:lvl w:ilvl="6" w:tplc="1009000F" w:tentative="1">
      <w:start w:val="1"/>
      <w:numFmt w:val="decimal"/>
      <w:lvlText w:val="%7."/>
      <w:lvlJc w:val="left"/>
      <w:pPr>
        <w:ind w:left="8913" w:hanging="360"/>
      </w:pPr>
    </w:lvl>
    <w:lvl w:ilvl="7" w:tplc="10090019" w:tentative="1">
      <w:start w:val="1"/>
      <w:numFmt w:val="lowerLetter"/>
      <w:lvlText w:val="%8."/>
      <w:lvlJc w:val="left"/>
      <w:pPr>
        <w:ind w:left="9633" w:hanging="360"/>
      </w:pPr>
    </w:lvl>
    <w:lvl w:ilvl="8" w:tplc="100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28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A833650"/>
    <w:multiLevelType w:val="hybridMultilevel"/>
    <w:tmpl w:val="CFC2E4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D66A8"/>
    <w:multiLevelType w:val="hybridMultilevel"/>
    <w:tmpl w:val="C794350E"/>
    <w:lvl w:ilvl="0" w:tplc="E74028C6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465743"/>
    <w:multiLevelType w:val="multilevel"/>
    <w:tmpl w:val="F1F0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0442B4"/>
    <w:multiLevelType w:val="multilevel"/>
    <w:tmpl w:val="4DD2F37C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98E646C"/>
    <w:multiLevelType w:val="multilevel"/>
    <w:tmpl w:val="2D3CD64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B1C1616"/>
    <w:multiLevelType w:val="hybridMultilevel"/>
    <w:tmpl w:val="DE0AD37E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B1385"/>
    <w:multiLevelType w:val="hybridMultilevel"/>
    <w:tmpl w:val="34C25D3C"/>
    <w:lvl w:ilvl="0" w:tplc="10090017">
      <w:start w:val="1"/>
      <w:numFmt w:val="lowerLetter"/>
      <w:lvlText w:val="%1)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7">
      <w:start w:val="1"/>
      <w:numFmt w:val="lowerLetter"/>
      <w:lvlText w:val="%5)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5EA118F9"/>
    <w:multiLevelType w:val="hybridMultilevel"/>
    <w:tmpl w:val="DE0AD37E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47D10"/>
    <w:multiLevelType w:val="hybridMultilevel"/>
    <w:tmpl w:val="DE0AD37E"/>
    <w:lvl w:ilvl="0" w:tplc="F6BC1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874089"/>
    <w:multiLevelType w:val="hybridMultilevel"/>
    <w:tmpl w:val="048E3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0D6AEB"/>
    <w:multiLevelType w:val="multilevel"/>
    <w:tmpl w:val="8902B9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7C6E6F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36F5F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355956"/>
    <w:multiLevelType w:val="hybridMultilevel"/>
    <w:tmpl w:val="1D1C2626"/>
    <w:lvl w:ilvl="0" w:tplc="10090017">
      <w:start w:val="1"/>
      <w:numFmt w:val="lowerLetter"/>
      <w:lvlText w:val="%1)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6F60025E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583F81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55"/>
  </w:num>
  <w:num w:numId="5">
    <w:abstractNumId w:val="21"/>
  </w:num>
  <w:num w:numId="6">
    <w:abstractNumId w:val="37"/>
  </w:num>
  <w:num w:numId="7">
    <w:abstractNumId w:val="30"/>
  </w:num>
  <w:num w:numId="8">
    <w:abstractNumId w:val="28"/>
  </w:num>
  <w:num w:numId="9">
    <w:abstractNumId w:val="37"/>
  </w:num>
  <w:num w:numId="10">
    <w:abstractNumId w:val="33"/>
  </w:num>
  <w:num w:numId="11">
    <w:abstractNumId w:val="29"/>
  </w:num>
  <w:num w:numId="12">
    <w:abstractNumId w:val="13"/>
  </w:num>
  <w:num w:numId="13">
    <w:abstractNumId w:val="32"/>
  </w:num>
  <w:num w:numId="14">
    <w:abstractNumId w:val="2"/>
  </w:num>
  <w:num w:numId="15">
    <w:abstractNumId w:val="57"/>
  </w:num>
  <w:num w:numId="16">
    <w:abstractNumId w:val="41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11"/>
  </w:num>
  <w:num w:numId="21">
    <w:abstractNumId w:val="43"/>
  </w:num>
  <w:num w:numId="22">
    <w:abstractNumId w:val="38"/>
  </w:num>
  <w:num w:numId="23">
    <w:abstractNumId w:val="14"/>
  </w:num>
  <w:num w:numId="24">
    <w:abstractNumId w:val="47"/>
  </w:num>
  <w:num w:numId="25">
    <w:abstractNumId w:val="50"/>
  </w:num>
  <w:num w:numId="26">
    <w:abstractNumId w:val="31"/>
  </w:num>
  <w:num w:numId="27">
    <w:abstractNumId w:val="37"/>
  </w:num>
  <w:num w:numId="28">
    <w:abstractNumId w:val="37"/>
  </w:num>
  <w:num w:numId="29">
    <w:abstractNumId w:val="37"/>
  </w:num>
  <w:num w:numId="30">
    <w:abstractNumId w:val="37"/>
  </w:num>
  <w:num w:numId="31">
    <w:abstractNumId w:val="4"/>
  </w:num>
  <w:num w:numId="32">
    <w:abstractNumId w:val="7"/>
  </w:num>
  <w:num w:numId="33">
    <w:abstractNumId w:val="8"/>
  </w:num>
  <w:num w:numId="34">
    <w:abstractNumId w:val="0"/>
  </w:num>
  <w:num w:numId="35">
    <w:abstractNumId w:val="44"/>
  </w:num>
  <w:num w:numId="36">
    <w:abstractNumId w:val="54"/>
  </w:num>
  <w:num w:numId="37">
    <w:abstractNumId w:val="10"/>
  </w:num>
  <w:num w:numId="38">
    <w:abstractNumId w:val="3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26"/>
  </w:num>
  <w:num w:numId="43">
    <w:abstractNumId w:val="48"/>
  </w:num>
  <w:num w:numId="44">
    <w:abstractNumId w:val="42"/>
  </w:num>
  <w:num w:numId="45">
    <w:abstractNumId w:val="27"/>
  </w:num>
  <w:num w:numId="46">
    <w:abstractNumId w:val="18"/>
  </w:num>
  <w:num w:numId="47">
    <w:abstractNumId w:val="22"/>
  </w:num>
  <w:num w:numId="48">
    <w:abstractNumId w:val="23"/>
  </w:num>
  <w:num w:numId="49">
    <w:abstractNumId w:val="24"/>
  </w:num>
  <w:num w:numId="50">
    <w:abstractNumId w:val="9"/>
  </w:num>
  <w:num w:numId="51">
    <w:abstractNumId w:val="46"/>
  </w:num>
  <w:num w:numId="52">
    <w:abstractNumId w:val="6"/>
  </w:num>
  <w:num w:numId="53">
    <w:abstractNumId w:val="45"/>
  </w:num>
  <w:num w:numId="54">
    <w:abstractNumId w:val="40"/>
  </w:num>
  <w:num w:numId="55">
    <w:abstractNumId w:val="16"/>
  </w:num>
  <w:num w:numId="56">
    <w:abstractNumId w:val="25"/>
  </w:num>
  <w:num w:numId="57">
    <w:abstractNumId w:val="53"/>
  </w:num>
  <w:num w:numId="58">
    <w:abstractNumId w:val="37"/>
  </w:num>
  <w:num w:numId="59">
    <w:abstractNumId w:val="35"/>
  </w:num>
  <w:num w:numId="60">
    <w:abstractNumId w:val="15"/>
  </w:num>
  <w:num w:numId="61">
    <w:abstractNumId w:val="51"/>
  </w:num>
  <w:num w:numId="62">
    <w:abstractNumId w:val="52"/>
  </w:num>
  <w:num w:numId="63">
    <w:abstractNumId w:val="1"/>
  </w:num>
  <w:num w:numId="64">
    <w:abstractNumId w:val="39"/>
  </w:num>
  <w:num w:numId="65">
    <w:abstractNumId w:val="5"/>
  </w:num>
  <w:num w:numId="66">
    <w:abstractNumId w:val="49"/>
  </w:num>
  <w:num w:numId="6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B"/>
    <w:rsid w:val="00002283"/>
    <w:rsid w:val="0000751C"/>
    <w:rsid w:val="000134A1"/>
    <w:rsid w:val="000135FD"/>
    <w:rsid w:val="000219AC"/>
    <w:rsid w:val="00021D38"/>
    <w:rsid w:val="00021E0B"/>
    <w:rsid w:val="00025EB5"/>
    <w:rsid w:val="0002705B"/>
    <w:rsid w:val="00027D0A"/>
    <w:rsid w:val="00031D24"/>
    <w:rsid w:val="00036A2C"/>
    <w:rsid w:val="000376EE"/>
    <w:rsid w:val="00037873"/>
    <w:rsid w:val="00037B95"/>
    <w:rsid w:val="0004114D"/>
    <w:rsid w:val="00041574"/>
    <w:rsid w:val="0004197A"/>
    <w:rsid w:val="000512D2"/>
    <w:rsid w:val="00054381"/>
    <w:rsid w:val="00057708"/>
    <w:rsid w:val="0006136E"/>
    <w:rsid w:val="000642AD"/>
    <w:rsid w:val="000656B8"/>
    <w:rsid w:val="000711E1"/>
    <w:rsid w:val="000712A5"/>
    <w:rsid w:val="00072427"/>
    <w:rsid w:val="00072AD5"/>
    <w:rsid w:val="000733C7"/>
    <w:rsid w:val="00073708"/>
    <w:rsid w:val="00083934"/>
    <w:rsid w:val="000857E0"/>
    <w:rsid w:val="00092B48"/>
    <w:rsid w:val="00093EFC"/>
    <w:rsid w:val="000A5034"/>
    <w:rsid w:val="000B7AFA"/>
    <w:rsid w:val="000C2430"/>
    <w:rsid w:val="000C68F9"/>
    <w:rsid w:val="000D052B"/>
    <w:rsid w:val="000D5D5F"/>
    <w:rsid w:val="000E484A"/>
    <w:rsid w:val="000E637D"/>
    <w:rsid w:val="000E7E6A"/>
    <w:rsid w:val="000F13AD"/>
    <w:rsid w:val="000F63AB"/>
    <w:rsid w:val="000F756F"/>
    <w:rsid w:val="00105E84"/>
    <w:rsid w:val="001079D6"/>
    <w:rsid w:val="00121CC8"/>
    <w:rsid w:val="0012214B"/>
    <w:rsid w:val="00133987"/>
    <w:rsid w:val="00134613"/>
    <w:rsid w:val="001425DA"/>
    <w:rsid w:val="0014545D"/>
    <w:rsid w:val="00151004"/>
    <w:rsid w:val="001517B2"/>
    <w:rsid w:val="00164E63"/>
    <w:rsid w:val="00166367"/>
    <w:rsid w:val="00167AD4"/>
    <w:rsid w:val="00170DB3"/>
    <w:rsid w:val="00171E3D"/>
    <w:rsid w:val="00172FBE"/>
    <w:rsid w:val="0017604B"/>
    <w:rsid w:val="00181B6B"/>
    <w:rsid w:val="00186BAC"/>
    <w:rsid w:val="001909D2"/>
    <w:rsid w:val="00190F2A"/>
    <w:rsid w:val="00192E06"/>
    <w:rsid w:val="001931FD"/>
    <w:rsid w:val="001974D7"/>
    <w:rsid w:val="001A201A"/>
    <w:rsid w:val="001A5072"/>
    <w:rsid w:val="001B6195"/>
    <w:rsid w:val="001B7AA4"/>
    <w:rsid w:val="001C436E"/>
    <w:rsid w:val="001D1ECB"/>
    <w:rsid w:val="001D6685"/>
    <w:rsid w:val="001D6A2D"/>
    <w:rsid w:val="001E126A"/>
    <w:rsid w:val="001E2741"/>
    <w:rsid w:val="001E669D"/>
    <w:rsid w:val="001F51FB"/>
    <w:rsid w:val="001F5236"/>
    <w:rsid w:val="001F6379"/>
    <w:rsid w:val="0020030D"/>
    <w:rsid w:val="002042E8"/>
    <w:rsid w:val="00204415"/>
    <w:rsid w:val="00207A6E"/>
    <w:rsid w:val="00210B77"/>
    <w:rsid w:val="00210EB1"/>
    <w:rsid w:val="002144DE"/>
    <w:rsid w:val="00214ADF"/>
    <w:rsid w:val="00221D21"/>
    <w:rsid w:val="002232AE"/>
    <w:rsid w:val="00224B92"/>
    <w:rsid w:val="00227F3A"/>
    <w:rsid w:val="002326FF"/>
    <w:rsid w:val="00232B07"/>
    <w:rsid w:val="002357E1"/>
    <w:rsid w:val="00242120"/>
    <w:rsid w:val="00242651"/>
    <w:rsid w:val="00252897"/>
    <w:rsid w:val="00256281"/>
    <w:rsid w:val="00257B50"/>
    <w:rsid w:val="00261546"/>
    <w:rsid w:val="00262DBC"/>
    <w:rsid w:val="00282833"/>
    <w:rsid w:val="00283E24"/>
    <w:rsid w:val="0028779A"/>
    <w:rsid w:val="00294B52"/>
    <w:rsid w:val="002B0942"/>
    <w:rsid w:val="002B0C13"/>
    <w:rsid w:val="002B25C9"/>
    <w:rsid w:val="002B6BC8"/>
    <w:rsid w:val="002B7D5B"/>
    <w:rsid w:val="002C4BDB"/>
    <w:rsid w:val="002C7CCD"/>
    <w:rsid w:val="002E0627"/>
    <w:rsid w:val="002E6C7F"/>
    <w:rsid w:val="002E7D5F"/>
    <w:rsid w:val="00300596"/>
    <w:rsid w:val="00302EBF"/>
    <w:rsid w:val="00305AC7"/>
    <w:rsid w:val="00306EDA"/>
    <w:rsid w:val="003118FD"/>
    <w:rsid w:val="0031333B"/>
    <w:rsid w:val="0031482F"/>
    <w:rsid w:val="00314D93"/>
    <w:rsid w:val="0031644C"/>
    <w:rsid w:val="003169A5"/>
    <w:rsid w:val="003210FF"/>
    <w:rsid w:val="00325DE3"/>
    <w:rsid w:val="00326335"/>
    <w:rsid w:val="00333549"/>
    <w:rsid w:val="00336766"/>
    <w:rsid w:val="00343CDB"/>
    <w:rsid w:val="0034689D"/>
    <w:rsid w:val="00351AD4"/>
    <w:rsid w:val="0035643F"/>
    <w:rsid w:val="003760B3"/>
    <w:rsid w:val="00376471"/>
    <w:rsid w:val="00376598"/>
    <w:rsid w:val="00376FC2"/>
    <w:rsid w:val="00380641"/>
    <w:rsid w:val="0038433D"/>
    <w:rsid w:val="00391F5D"/>
    <w:rsid w:val="00392381"/>
    <w:rsid w:val="003951E0"/>
    <w:rsid w:val="003A4178"/>
    <w:rsid w:val="003A6B21"/>
    <w:rsid w:val="003B10B9"/>
    <w:rsid w:val="003B4C7E"/>
    <w:rsid w:val="003B75CF"/>
    <w:rsid w:val="003C113F"/>
    <w:rsid w:val="003C541C"/>
    <w:rsid w:val="003C652E"/>
    <w:rsid w:val="003D6D0F"/>
    <w:rsid w:val="003E0CF5"/>
    <w:rsid w:val="003E1F1E"/>
    <w:rsid w:val="003E2DAE"/>
    <w:rsid w:val="003F2024"/>
    <w:rsid w:val="003F2FCE"/>
    <w:rsid w:val="003F6E44"/>
    <w:rsid w:val="004003D1"/>
    <w:rsid w:val="0040102B"/>
    <w:rsid w:val="00406BC6"/>
    <w:rsid w:val="004070EA"/>
    <w:rsid w:val="004144CF"/>
    <w:rsid w:val="00414F1E"/>
    <w:rsid w:val="0041733E"/>
    <w:rsid w:val="004227D7"/>
    <w:rsid w:val="004239F4"/>
    <w:rsid w:val="00423CD5"/>
    <w:rsid w:val="00427B76"/>
    <w:rsid w:val="004347B1"/>
    <w:rsid w:val="004369D2"/>
    <w:rsid w:val="0044424E"/>
    <w:rsid w:val="00445DD1"/>
    <w:rsid w:val="004502B6"/>
    <w:rsid w:val="00455B3B"/>
    <w:rsid w:val="0045665D"/>
    <w:rsid w:val="00476074"/>
    <w:rsid w:val="004805FB"/>
    <w:rsid w:val="004806BF"/>
    <w:rsid w:val="004918DC"/>
    <w:rsid w:val="00493B7E"/>
    <w:rsid w:val="004A2933"/>
    <w:rsid w:val="004B0798"/>
    <w:rsid w:val="004B597A"/>
    <w:rsid w:val="004B746F"/>
    <w:rsid w:val="004C2BBE"/>
    <w:rsid w:val="004E22FB"/>
    <w:rsid w:val="004E4E83"/>
    <w:rsid w:val="004E7AEA"/>
    <w:rsid w:val="004F0105"/>
    <w:rsid w:val="004F0E50"/>
    <w:rsid w:val="004F1EB8"/>
    <w:rsid w:val="004F2C2B"/>
    <w:rsid w:val="004F34CE"/>
    <w:rsid w:val="004F7114"/>
    <w:rsid w:val="00500530"/>
    <w:rsid w:val="005032C9"/>
    <w:rsid w:val="005053D8"/>
    <w:rsid w:val="00516C26"/>
    <w:rsid w:val="00516CB8"/>
    <w:rsid w:val="005178AB"/>
    <w:rsid w:val="00531AF4"/>
    <w:rsid w:val="00534663"/>
    <w:rsid w:val="00543C00"/>
    <w:rsid w:val="005440A6"/>
    <w:rsid w:val="00551803"/>
    <w:rsid w:val="0056218C"/>
    <w:rsid w:val="00572279"/>
    <w:rsid w:val="00574EB3"/>
    <w:rsid w:val="00581234"/>
    <w:rsid w:val="00581AC6"/>
    <w:rsid w:val="005825A3"/>
    <w:rsid w:val="00583816"/>
    <w:rsid w:val="0058437E"/>
    <w:rsid w:val="00585032"/>
    <w:rsid w:val="00585B79"/>
    <w:rsid w:val="00591CD9"/>
    <w:rsid w:val="0059225F"/>
    <w:rsid w:val="005955D2"/>
    <w:rsid w:val="00596B60"/>
    <w:rsid w:val="005A1701"/>
    <w:rsid w:val="005A4284"/>
    <w:rsid w:val="005D139C"/>
    <w:rsid w:val="005E0B60"/>
    <w:rsid w:val="005E522A"/>
    <w:rsid w:val="005E5829"/>
    <w:rsid w:val="005F17BC"/>
    <w:rsid w:val="005F4284"/>
    <w:rsid w:val="005F4C74"/>
    <w:rsid w:val="00602DB5"/>
    <w:rsid w:val="00603B90"/>
    <w:rsid w:val="00604DFF"/>
    <w:rsid w:val="00604FE3"/>
    <w:rsid w:val="0061214B"/>
    <w:rsid w:val="00612616"/>
    <w:rsid w:val="0061303E"/>
    <w:rsid w:val="00613485"/>
    <w:rsid w:val="00616A66"/>
    <w:rsid w:val="006260D5"/>
    <w:rsid w:val="0062697F"/>
    <w:rsid w:val="00632A12"/>
    <w:rsid w:val="006363C8"/>
    <w:rsid w:val="00644242"/>
    <w:rsid w:val="006463D7"/>
    <w:rsid w:val="006507F2"/>
    <w:rsid w:val="00652194"/>
    <w:rsid w:val="00655A11"/>
    <w:rsid w:val="00656127"/>
    <w:rsid w:val="00656725"/>
    <w:rsid w:val="00657C9C"/>
    <w:rsid w:val="00661B2B"/>
    <w:rsid w:val="0066397F"/>
    <w:rsid w:val="00675B54"/>
    <w:rsid w:val="00687E19"/>
    <w:rsid w:val="00690847"/>
    <w:rsid w:val="00691093"/>
    <w:rsid w:val="00691E77"/>
    <w:rsid w:val="00692CE0"/>
    <w:rsid w:val="00695BEE"/>
    <w:rsid w:val="00697170"/>
    <w:rsid w:val="006A01D0"/>
    <w:rsid w:val="006A5D5D"/>
    <w:rsid w:val="006B074E"/>
    <w:rsid w:val="006B0D4C"/>
    <w:rsid w:val="006B2BA9"/>
    <w:rsid w:val="006B2BD5"/>
    <w:rsid w:val="006B3095"/>
    <w:rsid w:val="006C2772"/>
    <w:rsid w:val="006C4EDA"/>
    <w:rsid w:val="006D0E3D"/>
    <w:rsid w:val="006D1026"/>
    <w:rsid w:val="006E439D"/>
    <w:rsid w:val="006E76D2"/>
    <w:rsid w:val="006F284C"/>
    <w:rsid w:val="006F7227"/>
    <w:rsid w:val="007000DB"/>
    <w:rsid w:val="00702366"/>
    <w:rsid w:val="00705D0C"/>
    <w:rsid w:val="00706F41"/>
    <w:rsid w:val="007114CA"/>
    <w:rsid w:val="00711F62"/>
    <w:rsid w:val="00715E54"/>
    <w:rsid w:val="007163BC"/>
    <w:rsid w:val="00717449"/>
    <w:rsid w:val="00727D71"/>
    <w:rsid w:val="00730AE3"/>
    <w:rsid w:val="00732666"/>
    <w:rsid w:val="00732DF8"/>
    <w:rsid w:val="00736BC2"/>
    <w:rsid w:val="00736C10"/>
    <w:rsid w:val="007448E4"/>
    <w:rsid w:val="00746576"/>
    <w:rsid w:val="007470B8"/>
    <w:rsid w:val="007500F4"/>
    <w:rsid w:val="007515A2"/>
    <w:rsid w:val="00754D46"/>
    <w:rsid w:val="007569D9"/>
    <w:rsid w:val="00757672"/>
    <w:rsid w:val="00761DFB"/>
    <w:rsid w:val="007653F1"/>
    <w:rsid w:val="00766B95"/>
    <w:rsid w:val="00773D4E"/>
    <w:rsid w:val="00776BF9"/>
    <w:rsid w:val="007770D1"/>
    <w:rsid w:val="00784784"/>
    <w:rsid w:val="0079325E"/>
    <w:rsid w:val="0079373A"/>
    <w:rsid w:val="00794E11"/>
    <w:rsid w:val="00797393"/>
    <w:rsid w:val="007978AF"/>
    <w:rsid w:val="007B1587"/>
    <w:rsid w:val="007B2413"/>
    <w:rsid w:val="007B342D"/>
    <w:rsid w:val="007B4B82"/>
    <w:rsid w:val="007C5285"/>
    <w:rsid w:val="007C6239"/>
    <w:rsid w:val="007C633B"/>
    <w:rsid w:val="007D213C"/>
    <w:rsid w:val="007D3182"/>
    <w:rsid w:val="007D6336"/>
    <w:rsid w:val="007D6BAB"/>
    <w:rsid w:val="007D6DC1"/>
    <w:rsid w:val="007E352E"/>
    <w:rsid w:val="007E3937"/>
    <w:rsid w:val="007E6EE3"/>
    <w:rsid w:val="007F3FB5"/>
    <w:rsid w:val="0081198D"/>
    <w:rsid w:val="00814624"/>
    <w:rsid w:val="00816DCD"/>
    <w:rsid w:val="00824FCA"/>
    <w:rsid w:val="00825524"/>
    <w:rsid w:val="008320DF"/>
    <w:rsid w:val="0083211E"/>
    <w:rsid w:val="00836154"/>
    <w:rsid w:val="00843FF1"/>
    <w:rsid w:val="00855928"/>
    <w:rsid w:val="00860229"/>
    <w:rsid w:val="008611B0"/>
    <w:rsid w:val="008625FA"/>
    <w:rsid w:val="008666DA"/>
    <w:rsid w:val="008667C9"/>
    <w:rsid w:val="00867462"/>
    <w:rsid w:val="00870D40"/>
    <w:rsid w:val="00877657"/>
    <w:rsid w:val="00882425"/>
    <w:rsid w:val="0088304C"/>
    <w:rsid w:val="00883A1C"/>
    <w:rsid w:val="008A2A48"/>
    <w:rsid w:val="008A4659"/>
    <w:rsid w:val="008B78DB"/>
    <w:rsid w:val="008C013C"/>
    <w:rsid w:val="008C1E35"/>
    <w:rsid w:val="008C72B4"/>
    <w:rsid w:val="008D3A32"/>
    <w:rsid w:val="008D471D"/>
    <w:rsid w:val="008D5AA2"/>
    <w:rsid w:val="008D70AA"/>
    <w:rsid w:val="008E0FD0"/>
    <w:rsid w:val="008E2092"/>
    <w:rsid w:val="008E5F84"/>
    <w:rsid w:val="008E7500"/>
    <w:rsid w:val="008F26E1"/>
    <w:rsid w:val="008F650F"/>
    <w:rsid w:val="008F71F2"/>
    <w:rsid w:val="009020F4"/>
    <w:rsid w:val="009036BE"/>
    <w:rsid w:val="00903E6D"/>
    <w:rsid w:val="009067F8"/>
    <w:rsid w:val="009109A3"/>
    <w:rsid w:val="009115C0"/>
    <w:rsid w:val="009134B0"/>
    <w:rsid w:val="0092022B"/>
    <w:rsid w:val="00922EAD"/>
    <w:rsid w:val="0092794B"/>
    <w:rsid w:val="009405B0"/>
    <w:rsid w:val="00941594"/>
    <w:rsid w:val="0094289E"/>
    <w:rsid w:val="00953856"/>
    <w:rsid w:val="009554D5"/>
    <w:rsid w:val="00964EA0"/>
    <w:rsid w:val="00966D95"/>
    <w:rsid w:val="00973BB0"/>
    <w:rsid w:val="00983E36"/>
    <w:rsid w:val="00986387"/>
    <w:rsid w:val="00987F2B"/>
    <w:rsid w:val="009902B9"/>
    <w:rsid w:val="0099377D"/>
    <w:rsid w:val="0099531D"/>
    <w:rsid w:val="0099648B"/>
    <w:rsid w:val="00997C5F"/>
    <w:rsid w:val="009A5040"/>
    <w:rsid w:val="009A516E"/>
    <w:rsid w:val="009A754F"/>
    <w:rsid w:val="009B4AE9"/>
    <w:rsid w:val="009B5BE6"/>
    <w:rsid w:val="009B5E1D"/>
    <w:rsid w:val="009B7CA5"/>
    <w:rsid w:val="009C1B75"/>
    <w:rsid w:val="009C5F0E"/>
    <w:rsid w:val="009D01B3"/>
    <w:rsid w:val="009D2F92"/>
    <w:rsid w:val="009D3740"/>
    <w:rsid w:val="009E1780"/>
    <w:rsid w:val="009E2B79"/>
    <w:rsid w:val="009E2F4A"/>
    <w:rsid w:val="009E3791"/>
    <w:rsid w:val="009F09A9"/>
    <w:rsid w:val="009F2188"/>
    <w:rsid w:val="009F31B9"/>
    <w:rsid w:val="009F4D48"/>
    <w:rsid w:val="00A03557"/>
    <w:rsid w:val="00A04214"/>
    <w:rsid w:val="00A049D5"/>
    <w:rsid w:val="00A10051"/>
    <w:rsid w:val="00A119EB"/>
    <w:rsid w:val="00A1392A"/>
    <w:rsid w:val="00A20F36"/>
    <w:rsid w:val="00A229F5"/>
    <w:rsid w:val="00A2324A"/>
    <w:rsid w:val="00A254E1"/>
    <w:rsid w:val="00A26980"/>
    <w:rsid w:val="00A30A96"/>
    <w:rsid w:val="00A30DAD"/>
    <w:rsid w:val="00A4732D"/>
    <w:rsid w:val="00A5194D"/>
    <w:rsid w:val="00A52987"/>
    <w:rsid w:val="00A53AE8"/>
    <w:rsid w:val="00A56A01"/>
    <w:rsid w:val="00A616E3"/>
    <w:rsid w:val="00A61BB8"/>
    <w:rsid w:val="00A61C21"/>
    <w:rsid w:val="00A6561C"/>
    <w:rsid w:val="00A70CDF"/>
    <w:rsid w:val="00A76A57"/>
    <w:rsid w:val="00A9704E"/>
    <w:rsid w:val="00AA014E"/>
    <w:rsid w:val="00AA126C"/>
    <w:rsid w:val="00AA3D4F"/>
    <w:rsid w:val="00AA7109"/>
    <w:rsid w:val="00AB20B6"/>
    <w:rsid w:val="00AC0D38"/>
    <w:rsid w:val="00AC1E69"/>
    <w:rsid w:val="00AC207F"/>
    <w:rsid w:val="00AC4AEE"/>
    <w:rsid w:val="00AC6C14"/>
    <w:rsid w:val="00AD0FE0"/>
    <w:rsid w:val="00AD7419"/>
    <w:rsid w:val="00AE1989"/>
    <w:rsid w:val="00AE3E4D"/>
    <w:rsid w:val="00AE6157"/>
    <w:rsid w:val="00AE701F"/>
    <w:rsid w:val="00AF6F3F"/>
    <w:rsid w:val="00B06BF5"/>
    <w:rsid w:val="00B0768D"/>
    <w:rsid w:val="00B1448C"/>
    <w:rsid w:val="00B17445"/>
    <w:rsid w:val="00B271A0"/>
    <w:rsid w:val="00B3299A"/>
    <w:rsid w:val="00B34131"/>
    <w:rsid w:val="00B36287"/>
    <w:rsid w:val="00B42CBE"/>
    <w:rsid w:val="00B44317"/>
    <w:rsid w:val="00B4485A"/>
    <w:rsid w:val="00B44C21"/>
    <w:rsid w:val="00B476A9"/>
    <w:rsid w:val="00B53743"/>
    <w:rsid w:val="00B54853"/>
    <w:rsid w:val="00B56B11"/>
    <w:rsid w:val="00B6336D"/>
    <w:rsid w:val="00B64398"/>
    <w:rsid w:val="00B72547"/>
    <w:rsid w:val="00B73C13"/>
    <w:rsid w:val="00B75858"/>
    <w:rsid w:val="00B84728"/>
    <w:rsid w:val="00B85CDA"/>
    <w:rsid w:val="00B85F9B"/>
    <w:rsid w:val="00B91A84"/>
    <w:rsid w:val="00BA1498"/>
    <w:rsid w:val="00BA3233"/>
    <w:rsid w:val="00BA3FAE"/>
    <w:rsid w:val="00BA695B"/>
    <w:rsid w:val="00BB0EE6"/>
    <w:rsid w:val="00BB3463"/>
    <w:rsid w:val="00BC6FCC"/>
    <w:rsid w:val="00BD09A4"/>
    <w:rsid w:val="00BD7294"/>
    <w:rsid w:val="00BE1213"/>
    <w:rsid w:val="00BE37A4"/>
    <w:rsid w:val="00BE45DE"/>
    <w:rsid w:val="00BE4A96"/>
    <w:rsid w:val="00BE66B4"/>
    <w:rsid w:val="00BE7B36"/>
    <w:rsid w:val="00BE7B56"/>
    <w:rsid w:val="00BF6A91"/>
    <w:rsid w:val="00BF73CD"/>
    <w:rsid w:val="00C02AD9"/>
    <w:rsid w:val="00C05456"/>
    <w:rsid w:val="00C076A9"/>
    <w:rsid w:val="00C147E0"/>
    <w:rsid w:val="00C15BBB"/>
    <w:rsid w:val="00C20243"/>
    <w:rsid w:val="00C27436"/>
    <w:rsid w:val="00C31FC0"/>
    <w:rsid w:val="00C36D90"/>
    <w:rsid w:val="00C37FF1"/>
    <w:rsid w:val="00C40250"/>
    <w:rsid w:val="00C41C55"/>
    <w:rsid w:val="00C450BF"/>
    <w:rsid w:val="00C507CD"/>
    <w:rsid w:val="00C514AC"/>
    <w:rsid w:val="00C515B0"/>
    <w:rsid w:val="00C54A3D"/>
    <w:rsid w:val="00C559DB"/>
    <w:rsid w:val="00C64624"/>
    <w:rsid w:val="00C66A5A"/>
    <w:rsid w:val="00C76087"/>
    <w:rsid w:val="00C76CD2"/>
    <w:rsid w:val="00C774E4"/>
    <w:rsid w:val="00C775F1"/>
    <w:rsid w:val="00C85A4A"/>
    <w:rsid w:val="00C85EA4"/>
    <w:rsid w:val="00C860B4"/>
    <w:rsid w:val="00C86F09"/>
    <w:rsid w:val="00C912FE"/>
    <w:rsid w:val="00C95ABE"/>
    <w:rsid w:val="00CA1572"/>
    <w:rsid w:val="00CA2B5F"/>
    <w:rsid w:val="00CA5220"/>
    <w:rsid w:val="00CA6B87"/>
    <w:rsid w:val="00CB06DA"/>
    <w:rsid w:val="00CB43FE"/>
    <w:rsid w:val="00CB4DEF"/>
    <w:rsid w:val="00CC0302"/>
    <w:rsid w:val="00CC2031"/>
    <w:rsid w:val="00CC39C9"/>
    <w:rsid w:val="00CC63E1"/>
    <w:rsid w:val="00CD26CC"/>
    <w:rsid w:val="00CE0D69"/>
    <w:rsid w:val="00CE35CF"/>
    <w:rsid w:val="00CE51C3"/>
    <w:rsid w:val="00CE5341"/>
    <w:rsid w:val="00CF4F69"/>
    <w:rsid w:val="00D0218C"/>
    <w:rsid w:val="00D02FDF"/>
    <w:rsid w:val="00D03A7C"/>
    <w:rsid w:val="00D0585E"/>
    <w:rsid w:val="00D06408"/>
    <w:rsid w:val="00D11C69"/>
    <w:rsid w:val="00D14985"/>
    <w:rsid w:val="00D15589"/>
    <w:rsid w:val="00D21A01"/>
    <w:rsid w:val="00D22AE8"/>
    <w:rsid w:val="00D24178"/>
    <w:rsid w:val="00D37855"/>
    <w:rsid w:val="00D42D76"/>
    <w:rsid w:val="00D432AD"/>
    <w:rsid w:val="00D46E78"/>
    <w:rsid w:val="00D500C6"/>
    <w:rsid w:val="00D509E3"/>
    <w:rsid w:val="00D51069"/>
    <w:rsid w:val="00D529A9"/>
    <w:rsid w:val="00D5690E"/>
    <w:rsid w:val="00D617D1"/>
    <w:rsid w:val="00D648EB"/>
    <w:rsid w:val="00D66157"/>
    <w:rsid w:val="00D71220"/>
    <w:rsid w:val="00D71D74"/>
    <w:rsid w:val="00D770B5"/>
    <w:rsid w:val="00D933E5"/>
    <w:rsid w:val="00D95363"/>
    <w:rsid w:val="00D9537D"/>
    <w:rsid w:val="00DA05ED"/>
    <w:rsid w:val="00DA4716"/>
    <w:rsid w:val="00DA7E4D"/>
    <w:rsid w:val="00DB0A37"/>
    <w:rsid w:val="00DB68A3"/>
    <w:rsid w:val="00DC0264"/>
    <w:rsid w:val="00DC73D8"/>
    <w:rsid w:val="00DD52CC"/>
    <w:rsid w:val="00DE308B"/>
    <w:rsid w:val="00DE3A6A"/>
    <w:rsid w:val="00DF03A4"/>
    <w:rsid w:val="00DF1CDE"/>
    <w:rsid w:val="00E022DC"/>
    <w:rsid w:val="00E078D2"/>
    <w:rsid w:val="00E151FC"/>
    <w:rsid w:val="00E32F84"/>
    <w:rsid w:val="00E35B05"/>
    <w:rsid w:val="00E37A7A"/>
    <w:rsid w:val="00E44B29"/>
    <w:rsid w:val="00E451BC"/>
    <w:rsid w:val="00E46C3E"/>
    <w:rsid w:val="00E47630"/>
    <w:rsid w:val="00E519CC"/>
    <w:rsid w:val="00E55B3B"/>
    <w:rsid w:val="00E55E91"/>
    <w:rsid w:val="00E61273"/>
    <w:rsid w:val="00E62C5D"/>
    <w:rsid w:val="00E62F4C"/>
    <w:rsid w:val="00E62F60"/>
    <w:rsid w:val="00E776EF"/>
    <w:rsid w:val="00E7776B"/>
    <w:rsid w:val="00E77A10"/>
    <w:rsid w:val="00E77D29"/>
    <w:rsid w:val="00E827E9"/>
    <w:rsid w:val="00E82CEB"/>
    <w:rsid w:val="00E834B8"/>
    <w:rsid w:val="00E852BC"/>
    <w:rsid w:val="00E85989"/>
    <w:rsid w:val="00E873B9"/>
    <w:rsid w:val="00E900FC"/>
    <w:rsid w:val="00E91F75"/>
    <w:rsid w:val="00E96961"/>
    <w:rsid w:val="00EA7525"/>
    <w:rsid w:val="00EB12E9"/>
    <w:rsid w:val="00EB4E44"/>
    <w:rsid w:val="00EB7999"/>
    <w:rsid w:val="00EC0891"/>
    <w:rsid w:val="00ED7098"/>
    <w:rsid w:val="00EE080A"/>
    <w:rsid w:val="00EE51DB"/>
    <w:rsid w:val="00EF5D35"/>
    <w:rsid w:val="00F039D8"/>
    <w:rsid w:val="00F13DC0"/>
    <w:rsid w:val="00F14485"/>
    <w:rsid w:val="00F169F1"/>
    <w:rsid w:val="00F16F02"/>
    <w:rsid w:val="00F234E3"/>
    <w:rsid w:val="00F23748"/>
    <w:rsid w:val="00F26A60"/>
    <w:rsid w:val="00F34F93"/>
    <w:rsid w:val="00F43A1A"/>
    <w:rsid w:val="00F43B05"/>
    <w:rsid w:val="00F458EA"/>
    <w:rsid w:val="00F465B6"/>
    <w:rsid w:val="00F5104D"/>
    <w:rsid w:val="00F613B5"/>
    <w:rsid w:val="00F64CB9"/>
    <w:rsid w:val="00F67181"/>
    <w:rsid w:val="00F7499E"/>
    <w:rsid w:val="00F77628"/>
    <w:rsid w:val="00F80DC6"/>
    <w:rsid w:val="00F81ABF"/>
    <w:rsid w:val="00F82A2E"/>
    <w:rsid w:val="00F838DD"/>
    <w:rsid w:val="00F91808"/>
    <w:rsid w:val="00FA0BF9"/>
    <w:rsid w:val="00FA107F"/>
    <w:rsid w:val="00FA15DA"/>
    <w:rsid w:val="00FA2959"/>
    <w:rsid w:val="00FA5456"/>
    <w:rsid w:val="00FB3B70"/>
    <w:rsid w:val="00FB597E"/>
    <w:rsid w:val="00FB5F8E"/>
    <w:rsid w:val="00FB7A16"/>
    <w:rsid w:val="00FC0410"/>
    <w:rsid w:val="00FC1A34"/>
    <w:rsid w:val="00FC3EF7"/>
    <w:rsid w:val="00FC4B9F"/>
    <w:rsid w:val="00FC59A3"/>
    <w:rsid w:val="00FC6159"/>
    <w:rsid w:val="00FC6AA2"/>
    <w:rsid w:val="00FD061C"/>
    <w:rsid w:val="00FD4EBA"/>
    <w:rsid w:val="00FF37C6"/>
    <w:rsid w:val="00FF49F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6D0AAD-F71B-444C-AD66-E902B12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ru-RU" w:eastAsia="ru-RU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ru-RU"/>
    </w:rPr>
  </w:style>
  <w:style w:type="paragraph" w:styleId="Revision">
    <w:name w:val="Revision"/>
    <w:hidden/>
    <w:uiPriority w:val="99"/>
    <w:semiHidden/>
    <w:rsid w:val="00D9537D"/>
    <w:rPr>
      <w:sz w:val="22"/>
      <w:szCs w:val="24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20">
    <w:name w:val="para2"/>
    <w:basedOn w:val="para2a"/>
    <w:rsid w:val="00D5690E"/>
  </w:style>
  <w:style w:type="paragraph" w:customStyle="1" w:styleId="para2a">
    <w:name w:val="para 2 (a)"/>
    <w:basedOn w:val="Normal"/>
    <w:qFormat/>
    <w:rsid w:val="00D5690E"/>
    <w:pPr>
      <w:spacing w:after="120"/>
      <w:ind w:firstLine="763"/>
    </w:pPr>
    <w:rPr>
      <w:rFonts w:eastAsia="MS Mincho" w:cs="Angsana New"/>
      <w:snapToGrid w:val="0"/>
      <w:szCs w:val="18"/>
    </w:rPr>
  </w:style>
  <w:style w:type="character" w:customStyle="1" w:styleId="Para1Char1">
    <w:name w:val="Para1 Char1"/>
    <w:link w:val="Para1"/>
    <w:locked/>
    <w:rsid w:val="007F3FB5"/>
    <w:rPr>
      <w:snapToGrid w:val="0"/>
      <w:sz w:val="22"/>
      <w:szCs w:val="18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026"/>
    <w:rPr>
      <w:color w:val="808080"/>
      <w:shd w:val="clear" w:color="auto" w:fill="E6E6E6"/>
    </w:rPr>
  </w:style>
  <w:style w:type="character" w:customStyle="1" w:styleId="Para1Char">
    <w:name w:val="Para1 Char"/>
    <w:locked/>
    <w:rsid w:val="00E852BC"/>
    <w:rPr>
      <w:rFonts w:ascii="Times New Roman" w:eastAsia="Malgun Gothic" w:hAnsi="Times New Roman" w:cs="Times New Roman"/>
      <w:szCs w:val="18"/>
      <w:lang w:val="en-GB" w:eastAsia="en-US"/>
    </w:rPr>
  </w:style>
  <w:style w:type="character" w:customStyle="1" w:styleId="ru">
    <w:name w:val="ru"/>
    <w:basedOn w:val="DefaultParagraphFont"/>
    <w:rsid w:val="00E078D2"/>
  </w:style>
  <w:style w:type="character" w:customStyle="1" w:styleId="preferred">
    <w:name w:val="preferred"/>
    <w:basedOn w:val="DefaultParagraphFont"/>
    <w:rsid w:val="00E62F4C"/>
  </w:style>
  <w:style w:type="paragraph" w:customStyle="1" w:styleId="Default">
    <w:name w:val="Default"/>
    <w:rsid w:val="003118FD"/>
    <w:pPr>
      <w:autoSpaceDE w:val="0"/>
      <w:autoSpaceDN w:val="0"/>
      <w:adjustRightInd w:val="0"/>
    </w:pPr>
    <w:rPr>
      <w:color w:val="000000"/>
      <w:sz w:val="24"/>
      <w:szCs w:val="24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89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4051081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5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ms.int/sites/default/files/document/cms_cop12_res.11.10(rev.cop12)_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c/002d/02f5/1717e04625301e2aadff1c11/sbi-02-10-ru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bd.int/decision/cop/default.shtml?id=7117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24-ru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o.org/3/a-mv091ru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fao.org/3/a-mv088ru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bs781r.pdf" TargetMode="External"/><Relationship Id="rId3" Type="http://schemas.openxmlformats.org/officeDocument/2006/relationships/hyperlink" Target="https://cites.org/sites/default/files/common/disc/sec/CITES-CMS-wp-ru.pdf" TargetMode="External"/><Relationship Id="rId7" Type="http://schemas.openxmlformats.org/officeDocument/2006/relationships/hyperlink" Target="http://www.fao.org/3/a-mu388r.pdf" TargetMode="External"/><Relationship Id="rId2" Type="http://schemas.openxmlformats.org/officeDocument/2006/relationships/hyperlink" Target="https://www.ramsar.org/sites/default/files/documents/library/sc53_decisions_ru.pdf" TargetMode="External"/><Relationship Id="rId1" Type="http://schemas.openxmlformats.org/officeDocument/2006/relationships/hyperlink" Target="https://www.cbd.int/doc/c/6ce5/878e/5ffa49887c20c19961fe040a/sbi-02-01-ru.pdf" TargetMode="External"/><Relationship Id="rId6" Type="http://schemas.openxmlformats.org/officeDocument/2006/relationships/hyperlink" Target="http://whc.unesco.org/en/news/1550" TargetMode="External"/><Relationship Id="rId5" Type="http://schemas.openxmlformats.org/officeDocument/2006/relationships/hyperlink" Target="http://whc.unesco.org/en/activities/920" TargetMode="External"/><Relationship Id="rId10" Type="http://schemas.openxmlformats.org/officeDocument/2006/relationships/hyperlink" Target="https://www.cbd.int/doc/notifications/2017/ntf-2017-114-iag-ru.pdf" TargetMode="External"/><Relationship Id="rId4" Type="http://schemas.openxmlformats.org/officeDocument/2006/relationships/hyperlink" Target="http://whc.unesco.org/en/news/1709" TargetMode="External"/><Relationship Id="rId9" Type="http://schemas.openxmlformats.org/officeDocument/2006/relationships/hyperlink" Target="https://www.cbd.int/doc/notifications/2017/ntf-2017-081-cooperation-ru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98F1241928AC4CE084F363EC9DA0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A980-7CF6-4FCD-962D-C88D0DE7FA4B}"/>
      </w:docPartPr>
      <w:docPartBody>
        <w:p w:rsidR="00F46A46" w:rsidRDefault="007B317C" w:rsidP="007B317C">
          <w:pPr>
            <w:pStyle w:val="98F1241928AC4CE084F363EC9DA04281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15616C"/>
    <w:rsid w:val="001B29AF"/>
    <w:rsid w:val="00275EC5"/>
    <w:rsid w:val="0037757D"/>
    <w:rsid w:val="003B72A6"/>
    <w:rsid w:val="004A69EC"/>
    <w:rsid w:val="004C578C"/>
    <w:rsid w:val="004E1CBB"/>
    <w:rsid w:val="005479EB"/>
    <w:rsid w:val="00614AE6"/>
    <w:rsid w:val="006171AE"/>
    <w:rsid w:val="006D6529"/>
    <w:rsid w:val="006F6EBC"/>
    <w:rsid w:val="007958DF"/>
    <w:rsid w:val="007B317C"/>
    <w:rsid w:val="007E501A"/>
    <w:rsid w:val="008155E2"/>
    <w:rsid w:val="0083264A"/>
    <w:rsid w:val="00960CE5"/>
    <w:rsid w:val="00A27574"/>
    <w:rsid w:val="00AF17F7"/>
    <w:rsid w:val="00B36C7B"/>
    <w:rsid w:val="00BB2CFE"/>
    <w:rsid w:val="00BE43B5"/>
    <w:rsid w:val="00D531A0"/>
    <w:rsid w:val="00D5481D"/>
    <w:rsid w:val="00E52C55"/>
    <w:rsid w:val="00EB0687"/>
    <w:rsid w:val="00EC17B5"/>
    <w:rsid w:val="00F24749"/>
    <w:rsid w:val="00F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B317C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98F1241928AC4CE084F363EC9DA04281">
    <w:name w:val="98F1241928AC4CE084F363EC9DA04281"/>
    <w:rsid w:val="007B317C"/>
    <w:pPr>
      <w:spacing w:after="160" w:line="259" w:lineRule="auto"/>
    </w:pPr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AEF53-08AE-41D9-B46B-E2E959A7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796</TotalTime>
  <Pages>15</Pages>
  <Words>7741</Words>
  <Characters>42576</Characters>
  <Application>Microsoft Office Word</Application>
  <DocSecurity>0</DocSecurity>
  <Lines>354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ОСУЩЕСТВЛЕНИЕ ВАРИАНТОВ РАСШИРЕНИЯ ВЗАИМОДЕЙСТВИЯ МЕЖДУ КОНВЕНЦИЯМИ, СВЯЗАННЫМИ С БИОРАЗНООБРАЗИЕМ</vt:lpstr>
    </vt:vector>
  </TitlesOfParts>
  <Company>Biodiversity</Company>
  <LinksUpToDate>false</LinksUpToDate>
  <CharactersWithSpaces>50217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ОСУЩЕСТВЛЕНИЕ ВАРИАНТОВ РАСШИРЕНИЯ ВЗАИМОДЕЙСТВИЯ МЕЖДУ КОНВЕНЦИЯМИ, СВЯЗАННЫМИ С БИОРАЗНООБРАЗИЕМ</dc:title>
  <dc:subject>CBD/SBI/2/10/Add.1</dc:subject>
  <dc:creator>SCBD</dc:creator>
  <cp:revision>95</cp:revision>
  <cp:lastPrinted>2018-05-30T18:43:00Z</cp:lastPrinted>
  <dcterms:created xsi:type="dcterms:W3CDTF">2018-06-12T07:00:00Z</dcterms:created>
  <dcterms:modified xsi:type="dcterms:W3CDTF">2018-06-18T10:33:00Z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ОСУЩЕСТВЛЕНИЮ</vt:lpwstr>
  </property>
</Properties>
</file>