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433A7" w14:paraId="2494A353" w14:textId="77777777" w:rsidTr="008A1499">
        <w:trPr>
          <w:trHeight w:val="850"/>
        </w:trPr>
        <w:tc>
          <w:tcPr>
            <w:tcW w:w="975" w:type="dxa"/>
            <w:vAlign w:val="bottom"/>
          </w:tcPr>
          <w:p w14:paraId="34FB5A2C" w14:textId="672FBFE5" w:rsidR="008A1499" w:rsidRPr="001433A7" w:rsidRDefault="00D755D5" w:rsidP="008A1499">
            <w:pPr>
              <w:pStyle w:val="AASmallLogo"/>
            </w:pPr>
            <w:r w:rsidRPr="001433A7">
              <w:t>,</w:t>
            </w:r>
            <w:r w:rsidR="008A1499" w:rsidRPr="001433A7">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1433A7">
              <w:t xml:space="preserve"> </w:t>
            </w:r>
          </w:p>
          <w:p w14:paraId="29BF1C2F" w14:textId="77777777" w:rsidR="008A1499" w:rsidRPr="001433A7" w:rsidRDefault="008A1499" w:rsidP="008A1499">
            <w:pPr>
              <w:pStyle w:val="AASmallLogo"/>
            </w:pPr>
          </w:p>
        </w:tc>
        <w:tc>
          <w:tcPr>
            <w:tcW w:w="1434" w:type="dxa"/>
            <w:noWrap/>
            <w:vAlign w:val="bottom"/>
          </w:tcPr>
          <w:p w14:paraId="23A8F484" w14:textId="43D6A1B5" w:rsidR="008A1499" w:rsidRPr="001433A7" w:rsidRDefault="004112B3" w:rsidP="008A1499">
            <w:pPr>
              <w:pStyle w:val="AASmallLogo"/>
            </w:pPr>
            <w:r w:rsidRPr="001433A7">
              <w:rPr>
                <w:noProof/>
                <w:color w:val="000000" w:themeColor="text1"/>
                <w:lang w:eastAsia="fr-FR"/>
              </w:rPr>
              <w:drawing>
                <wp:inline distT="0" distB="0" distL="0" distR="0" wp14:anchorId="1C066716" wp14:editId="3CAD71A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1433A7">
              <w:t xml:space="preserve"> </w:t>
            </w:r>
          </w:p>
          <w:p w14:paraId="23B943B2" w14:textId="77777777" w:rsidR="008A1499" w:rsidRPr="001433A7" w:rsidRDefault="008A1499" w:rsidP="008A1499">
            <w:pPr>
              <w:pStyle w:val="AASmallLogo"/>
            </w:pPr>
          </w:p>
        </w:tc>
        <w:tc>
          <w:tcPr>
            <w:tcW w:w="8073" w:type="dxa"/>
            <w:vAlign w:val="bottom"/>
          </w:tcPr>
          <w:p w14:paraId="1566D20B" w14:textId="5D83B067" w:rsidR="008A1499" w:rsidRPr="001433A7" w:rsidRDefault="008A1499" w:rsidP="003F1A75">
            <w:pPr>
              <w:pStyle w:val="ABSymbol"/>
            </w:pPr>
            <w:r w:rsidRPr="001433A7">
              <w:rPr>
                <w:sz w:val="40"/>
              </w:rPr>
              <w:t>CBD</w:t>
            </w:r>
            <w:r w:rsidRPr="001433A7">
              <w:t>/</w:t>
            </w:r>
            <w:r w:rsidR="00975047" w:rsidRPr="001433A7">
              <w:t>NP</w:t>
            </w:r>
            <w:r w:rsidRPr="001433A7">
              <w:t>/</w:t>
            </w:r>
            <w:r w:rsidR="00975047" w:rsidRPr="001433A7">
              <w:t>MOP/6/</w:t>
            </w:r>
            <w:r w:rsidR="00FF16FC" w:rsidRPr="001433A7">
              <w:t>L.6</w:t>
            </w:r>
          </w:p>
        </w:tc>
      </w:tr>
    </w:tbl>
    <w:p w14:paraId="754A6AE2" w14:textId="77777777" w:rsidR="008A1499" w:rsidRPr="001433A7"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433A7" w14:paraId="6D3122D5" w14:textId="77777777" w:rsidTr="008A1499">
        <w:trPr>
          <w:trHeight w:val="1814"/>
        </w:trPr>
        <w:tc>
          <w:tcPr>
            <w:tcW w:w="7370" w:type="dxa"/>
          </w:tcPr>
          <w:p w14:paraId="42F36819" w14:textId="472462DC" w:rsidR="008A1499" w:rsidRPr="001433A7" w:rsidRDefault="004112B3" w:rsidP="008A1499">
            <w:pPr>
              <w:pStyle w:val="ACLargeLogo"/>
            </w:pPr>
            <w:r w:rsidRPr="001433A7">
              <w:rPr>
                <w:noProof/>
                <w:color w:val="000000" w:themeColor="text1"/>
                <w:lang w:eastAsia="fr-FR"/>
              </w:rPr>
              <w:drawing>
                <wp:inline distT="0" distB="0" distL="0" distR="0" wp14:anchorId="59F17EA4" wp14:editId="209448E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1433A7">
              <w:t xml:space="preserve"> </w:t>
            </w:r>
          </w:p>
          <w:p w14:paraId="0EED54A3" w14:textId="77777777" w:rsidR="008A1499" w:rsidRPr="001433A7" w:rsidRDefault="008A1499" w:rsidP="008A1499">
            <w:pPr>
              <w:pStyle w:val="ACLargeLogo"/>
            </w:pPr>
          </w:p>
        </w:tc>
        <w:tc>
          <w:tcPr>
            <w:tcW w:w="3112" w:type="dxa"/>
          </w:tcPr>
          <w:p w14:paraId="41D4A49E" w14:textId="344FD07B" w:rsidR="008A1499" w:rsidRPr="001433A7" w:rsidRDefault="008A1499" w:rsidP="008A1499">
            <w:pPr>
              <w:pStyle w:val="AEDistrNormal"/>
            </w:pPr>
            <w:r w:rsidRPr="001433A7">
              <w:t>Distr.</w:t>
            </w:r>
            <w:r w:rsidR="004112B3" w:rsidRPr="001433A7">
              <w:t xml:space="preserve"> l</w:t>
            </w:r>
            <w:r w:rsidR="0087796A" w:rsidRPr="001433A7">
              <w:t>imit</w:t>
            </w:r>
            <w:r w:rsidR="004112B3" w:rsidRPr="001433A7">
              <w:t>ée</w:t>
            </w:r>
            <w:r w:rsidRPr="001433A7">
              <w:t xml:space="preserve"> </w:t>
            </w:r>
          </w:p>
          <w:p w14:paraId="15BC0C1B" w14:textId="77BC71D7" w:rsidR="008A1499" w:rsidRPr="001433A7" w:rsidRDefault="00EB7286" w:rsidP="008A1499">
            <w:pPr>
              <w:pStyle w:val="AEDistrNormal"/>
            </w:pPr>
            <w:r w:rsidRPr="001433A7">
              <w:t>2</w:t>
            </w:r>
            <w:r w:rsidR="008C3AC2" w:rsidRPr="001433A7">
              <w:t>3</w:t>
            </w:r>
            <w:r w:rsidR="00642599" w:rsidRPr="001433A7">
              <w:t xml:space="preserve"> </w:t>
            </w:r>
            <w:r w:rsidR="004112B3" w:rsidRPr="001433A7">
              <w:t>o</w:t>
            </w:r>
            <w:r w:rsidR="0087796A" w:rsidRPr="001433A7">
              <w:t>ctob</w:t>
            </w:r>
            <w:r w:rsidR="004112B3" w:rsidRPr="001433A7">
              <w:t>re</w:t>
            </w:r>
            <w:r w:rsidR="0087796A" w:rsidRPr="001433A7">
              <w:t xml:space="preserve"> 2026</w:t>
            </w:r>
          </w:p>
          <w:p w14:paraId="40C263F7" w14:textId="77777777" w:rsidR="004112B3" w:rsidRPr="001433A7" w:rsidRDefault="004112B3" w:rsidP="004112B3">
            <w:pPr>
              <w:pStyle w:val="AEDistrNormal"/>
            </w:pPr>
            <w:r w:rsidRPr="001433A7">
              <w:t>Français</w:t>
            </w:r>
          </w:p>
          <w:p w14:paraId="6A291EF4" w14:textId="75E89632" w:rsidR="008A1499" w:rsidRPr="001433A7" w:rsidRDefault="008A1499" w:rsidP="004112B3">
            <w:pPr>
              <w:pStyle w:val="AEDistrNormal"/>
            </w:pPr>
            <w:r w:rsidRPr="001433A7">
              <w:t>Original</w:t>
            </w:r>
            <w:r w:rsidR="004112B3" w:rsidRPr="001433A7">
              <w:t xml:space="preserve"> </w:t>
            </w:r>
            <w:r w:rsidRPr="001433A7">
              <w:t xml:space="preserve">: </w:t>
            </w:r>
            <w:r w:rsidR="004112B3" w:rsidRPr="001433A7">
              <w:t>anglais</w:t>
            </w:r>
          </w:p>
          <w:p w14:paraId="46956ADB" w14:textId="77777777" w:rsidR="008A1499" w:rsidRPr="001433A7" w:rsidRDefault="008A1499" w:rsidP="008A1499">
            <w:pPr>
              <w:pStyle w:val="AEDistrNormal6pt"/>
            </w:pPr>
          </w:p>
        </w:tc>
      </w:tr>
    </w:tbl>
    <w:p w14:paraId="111225F7" w14:textId="77777777" w:rsidR="008A1499" w:rsidRPr="001433A7"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433A7" w14:paraId="43E59709" w14:textId="77777777" w:rsidTr="008A1499">
        <w:trPr>
          <w:trHeight w:val="57"/>
        </w:trPr>
        <w:tc>
          <w:tcPr>
            <w:tcW w:w="6094" w:type="dxa"/>
          </w:tcPr>
          <w:p w14:paraId="11618C2F" w14:textId="1A5BF42B" w:rsidR="004112B3" w:rsidRPr="001433A7" w:rsidRDefault="004112B3" w:rsidP="004112B3">
            <w:pPr>
              <w:tabs>
                <w:tab w:val="clear" w:pos="567"/>
                <w:tab w:val="clear" w:pos="1134"/>
                <w:tab w:val="clear" w:pos="1701"/>
                <w:tab w:val="clear" w:pos="2268"/>
              </w:tabs>
              <w:jc w:val="left"/>
              <w:rPr>
                <w:rFonts w:asciiTheme="majorBidi" w:eastAsia="Times New Roman" w:hAnsiTheme="majorBidi" w:cstheme="majorBidi"/>
                <w:color w:val="212529"/>
                <w:sz w:val="24"/>
                <w:szCs w:val="24"/>
              </w:rPr>
            </w:pPr>
            <w:r w:rsidRPr="001433A7">
              <w:rPr>
                <w:rStyle w:val="Title1"/>
                <w:rFonts w:asciiTheme="majorBidi" w:hAnsiTheme="majorBidi" w:cstheme="majorBidi"/>
                <w:b/>
                <w:bCs/>
                <w:color w:val="212529"/>
                <w:sz w:val="24"/>
                <w:szCs w:val="24"/>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45A781DF" w14:textId="664B9F32" w:rsidR="008A1499" w:rsidRPr="001433A7" w:rsidRDefault="004112B3" w:rsidP="004112B3">
            <w:pPr>
              <w:pStyle w:val="AFCorNBold"/>
            </w:pPr>
            <w:r w:rsidRPr="001433A7">
              <w:t>Sixième réunion</w:t>
            </w:r>
            <w:r w:rsidR="008A1499" w:rsidRPr="001433A7">
              <w:t xml:space="preserve"> </w:t>
            </w:r>
          </w:p>
          <w:p w14:paraId="462E33D6" w14:textId="29923617" w:rsidR="008A1499" w:rsidRPr="001433A7" w:rsidRDefault="004112B3" w:rsidP="008A1499">
            <w:pPr>
              <w:pStyle w:val="AFCorNNormal"/>
            </w:pPr>
            <w:r w:rsidRPr="001433A7">
              <w:t>E</w:t>
            </w:r>
            <w:r w:rsidR="00975047" w:rsidRPr="001433A7">
              <w:t>revan, 19</w:t>
            </w:r>
            <w:r w:rsidRPr="001433A7">
              <w:t>-</w:t>
            </w:r>
            <w:r w:rsidR="00975047" w:rsidRPr="001433A7">
              <w:t xml:space="preserve">30 </w:t>
            </w:r>
            <w:r w:rsidRPr="001433A7">
              <w:t>o</w:t>
            </w:r>
            <w:r w:rsidR="00975047" w:rsidRPr="001433A7">
              <w:t>ctob</w:t>
            </w:r>
            <w:r w:rsidRPr="001433A7">
              <w:t>re</w:t>
            </w:r>
            <w:r w:rsidR="00975047" w:rsidRPr="001433A7">
              <w:t xml:space="preserve"> 2026</w:t>
            </w:r>
          </w:p>
          <w:p w14:paraId="75876936" w14:textId="167247BD" w:rsidR="008A1499" w:rsidRPr="001433A7" w:rsidRDefault="004112B3" w:rsidP="008A1499">
            <w:pPr>
              <w:pStyle w:val="AFCorNNormal"/>
            </w:pPr>
            <w:r w:rsidRPr="001433A7">
              <w:t>Point</w:t>
            </w:r>
            <w:r w:rsidR="008A1499" w:rsidRPr="001433A7">
              <w:t xml:space="preserve"> </w:t>
            </w:r>
            <w:r w:rsidR="00B53730" w:rsidRPr="001433A7">
              <w:t>10</w:t>
            </w:r>
            <w:r w:rsidRPr="001433A7">
              <w:t xml:space="preserve"> de l’ordre du jour</w:t>
            </w:r>
          </w:p>
          <w:p w14:paraId="66DC3FF7" w14:textId="006E16A7" w:rsidR="005649FD" w:rsidRPr="001433A7" w:rsidRDefault="004112B3" w:rsidP="00126D73">
            <w:pPr>
              <w:pStyle w:val="AFCorNBold"/>
            </w:pPr>
            <w:r w:rsidRPr="001433A7">
              <w:t>Mécanisme de financement et ressources financières</w:t>
            </w:r>
          </w:p>
        </w:tc>
        <w:tc>
          <w:tcPr>
            <w:tcW w:w="4388" w:type="dxa"/>
          </w:tcPr>
          <w:p w14:paraId="2A8ED09B" w14:textId="77777777" w:rsidR="008A1499" w:rsidRPr="001433A7" w:rsidRDefault="008A1499" w:rsidP="008A1499">
            <w:pPr>
              <w:pStyle w:val="CBDNormal"/>
              <w:jc w:val="left"/>
              <w:rPr>
                <w:lang w:val="fr-FR"/>
              </w:rPr>
            </w:pPr>
          </w:p>
        </w:tc>
      </w:tr>
    </w:tbl>
    <w:p w14:paraId="59E00E1B" w14:textId="69933F70" w:rsidR="00C9161D" w:rsidRPr="001433A7" w:rsidRDefault="003C5F05" w:rsidP="00A111D1">
      <w:pPr>
        <w:pStyle w:val="CBDTitle"/>
        <w:rPr>
          <w:caps/>
          <w:lang w:val="fr-FR"/>
        </w:rPr>
      </w:pPr>
      <w:sdt>
        <w:sdtPr>
          <w:rPr>
            <w:sz w:val="26"/>
            <w:szCs w:val="26"/>
            <w:lang w:val="fr-FR"/>
          </w:r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4112B3" w:rsidRPr="001433A7">
            <w:rPr>
              <w:sz w:val="26"/>
              <w:szCs w:val="26"/>
              <w:lang w:val="fr-FR"/>
            </w:rPr>
            <w:t>Mécanisme de financement et ressources financières</w:t>
          </w:r>
        </w:sdtContent>
      </w:sdt>
    </w:p>
    <w:p w14:paraId="038A19D9" w14:textId="6835ADCD" w:rsidR="00F6586C" w:rsidRPr="001433A7" w:rsidRDefault="004112B3" w:rsidP="00A111D1">
      <w:pPr>
        <w:pStyle w:val="CBDSubTitle"/>
        <w:rPr>
          <w:lang w:val="fr-FR"/>
        </w:rPr>
      </w:pPr>
      <w:r w:rsidRPr="001433A7">
        <w:rPr>
          <w:lang w:val="fr-FR"/>
        </w:rPr>
        <w:t>Projet de</w:t>
      </w:r>
      <w:r w:rsidR="005649FD" w:rsidRPr="001433A7">
        <w:rPr>
          <w:lang w:val="fr-FR"/>
        </w:rPr>
        <w:t xml:space="preserve"> d</w:t>
      </w:r>
      <w:r w:rsidRPr="001433A7">
        <w:rPr>
          <w:lang w:val="fr-FR"/>
        </w:rPr>
        <w:t>é</w:t>
      </w:r>
      <w:r w:rsidR="005649FD" w:rsidRPr="001433A7">
        <w:rPr>
          <w:lang w:val="fr-FR"/>
        </w:rPr>
        <w:t>cision s</w:t>
      </w:r>
      <w:r w:rsidRPr="001433A7">
        <w:rPr>
          <w:lang w:val="fr-FR"/>
        </w:rPr>
        <w:t>oumis par la présidence du</w:t>
      </w:r>
      <w:r w:rsidR="005649FD" w:rsidRPr="001433A7">
        <w:rPr>
          <w:lang w:val="fr-FR"/>
        </w:rPr>
        <w:t xml:space="preserve"> </w:t>
      </w:r>
      <w:r w:rsidRPr="001433A7">
        <w:rPr>
          <w:lang w:val="fr-FR"/>
        </w:rPr>
        <w:t>Groupe de travail I</w:t>
      </w:r>
    </w:p>
    <w:p w14:paraId="1C1B7362" w14:textId="77777777" w:rsidR="007B2E79" w:rsidRPr="001433A7" w:rsidRDefault="007B2E79" w:rsidP="007B2E79">
      <w:pPr>
        <w:tabs>
          <w:tab w:val="clear" w:pos="567"/>
          <w:tab w:val="clear" w:pos="1134"/>
          <w:tab w:val="left" w:pos="2835"/>
          <w:tab w:val="left" w:pos="3402"/>
        </w:tabs>
        <w:spacing w:after="120"/>
        <w:ind w:left="567" w:firstLine="567"/>
        <w:rPr>
          <w:rFonts w:asciiTheme="majorBidi" w:hAnsiTheme="majorBidi" w:cstheme="majorBidi"/>
          <w:i/>
          <w:iCs/>
        </w:rPr>
      </w:pPr>
      <w:r w:rsidRPr="001433A7">
        <w:rPr>
          <w:i/>
          <w:iCs/>
        </w:rPr>
        <w:t xml:space="preserve">La Conférence des Parties </w:t>
      </w:r>
      <w:r w:rsidRPr="001433A7">
        <w:rPr>
          <w:rFonts w:asciiTheme="majorBidi" w:eastAsia="Times New Roman" w:hAnsiTheme="majorBidi" w:cstheme="majorBidi"/>
          <w:i/>
          <w:iCs/>
          <w:color w:val="212529"/>
        </w:rPr>
        <w:t>siégeant en tant que réunion des Parties au Protocole de Nagoya,</w:t>
      </w:r>
    </w:p>
    <w:p w14:paraId="642628F4" w14:textId="77777777" w:rsidR="007B2E79" w:rsidRPr="001433A7" w:rsidRDefault="007B2E79" w:rsidP="007B2E79">
      <w:pPr>
        <w:tabs>
          <w:tab w:val="left" w:pos="2835"/>
          <w:tab w:val="left" w:pos="3402"/>
          <w:tab w:val="left" w:pos="3969"/>
        </w:tabs>
        <w:spacing w:before="120" w:after="120"/>
        <w:ind w:left="567" w:firstLine="567"/>
      </w:pPr>
      <w:r w:rsidRPr="001433A7">
        <w:rPr>
          <w:i/>
          <w:iCs/>
        </w:rPr>
        <w:t xml:space="preserve">Rappelant </w:t>
      </w:r>
      <w:r w:rsidRPr="001433A7">
        <w:t>l’article 25 du Protocole de Nagoya sur l’accès aux ressources génétiques et le partage juste et équitable des avantages découlant de leur utilisation</w:t>
      </w:r>
      <w:r w:rsidRPr="001433A7">
        <w:rPr>
          <w:vertAlign w:val="superscript"/>
        </w:rPr>
        <w:footnoteReference w:id="1"/>
      </w:r>
      <w:r w:rsidRPr="001433A7">
        <w:t>,</w:t>
      </w:r>
    </w:p>
    <w:p w14:paraId="26FDF4E1" w14:textId="77777777" w:rsidR="007B2E79" w:rsidRPr="001433A7" w:rsidRDefault="007B2E79" w:rsidP="007B2E79">
      <w:pPr>
        <w:tabs>
          <w:tab w:val="left" w:pos="2835"/>
          <w:tab w:val="left" w:pos="3402"/>
          <w:tab w:val="left" w:pos="3969"/>
        </w:tabs>
        <w:spacing w:before="120" w:after="120"/>
        <w:ind w:left="567" w:firstLine="567"/>
        <w:rPr>
          <w:i/>
          <w:iCs/>
        </w:rPr>
      </w:pPr>
      <w:r w:rsidRPr="001433A7">
        <w:rPr>
          <w:i/>
          <w:iCs/>
        </w:rPr>
        <w:t xml:space="preserve">Ayant examiné </w:t>
      </w:r>
      <w:r w:rsidRPr="001433A7">
        <w:t>les informations relatives au Protocole de Nagoya qui figurent dans le rapport établi par le Conseil du Fonds pour l’environnement mondial en vue de la dix-septième réunion de la Conférence des Parties à la Convention sur la diversité biologique</w:t>
      </w:r>
      <w:r w:rsidRPr="001433A7">
        <w:rPr>
          <w:vertAlign w:val="superscript"/>
        </w:rPr>
        <w:footnoteReference w:id="2"/>
      </w:r>
      <w:r w:rsidRPr="001433A7">
        <w:rPr>
          <w:vertAlign w:val="superscript"/>
        </w:rPr>
        <w:t>,</w:t>
      </w:r>
      <w:r w:rsidRPr="001433A7">
        <w:rPr>
          <w:vertAlign w:val="superscript"/>
        </w:rPr>
        <w:footnoteReference w:id="3"/>
      </w:r>
      <w:r w:rsidRPr="001433A7">
        <w:t>,</w:t>
      </w:r>
    </w:p>
    <w:p w14:paraId="77A82637" w14:textId="7A22F1A1" w:rsidR="007B2E79" w:rsidRPr="001433A7" w:rsidRDefault="007B2E79" w:rsidP="007B2E79">
      <w:pPr>
        <w:tabs>
          <w:tab w:val="clear" w:pos="567"/>
          <w:tab w:val="clear" w:pos="1134"/>
        </w:tabs>
        <w:spacing w:before="120" w:after="120"/>
        <w:ind w:left="567" w:firstLine="564"/>
        <w:rPr>
          <w:lang w:eastAsia="en-GB"/>
        </w:rPr>
      </w:pPr>
      <w:r w:rsidRPr="001433A7">
        <w:rPr>
          <w:lang w:eastAsia="en-GB"/>
        </w:rPr>
        <w:t>1.</w:t>
      </w:r>
      <w:r w:rsidRPr="001433A7">
        <w:rPr>
          <w:lang w:eastAsia="en-GB"/>
        </w:rPr>
        <w:tab/>
      </w:r>
      <w:r w:rsidR="00EB1D50" w:rsidRPr="001433A7">
        <w:rPr>
          <w:i/>
          <w:iCs/>
          <w:lang w:eastAsia="en-GB"/>
        </w:rPr>
        <w:t xml:space="preserve">Prend acte </w:t>
      </w:r>
      <w:r w:rsidR="00EB1D50" w:rsidRPr="001433A7">
        <w:rPr>
          <w:lang w:eastAsia="en-GB"/>
        </w:rPr>
        <w:t>du rapport établi par le Conseil du Fonds pour l’environnement mondial en vue de la dix-septième réunion de la Conférence des Parties à la Convention sur la diversité biologique</w:t>
      </w:r>
      <w:r w:rsidR="00132965" w:rsidRPr="001433A7">
        <w:rPr>
          <w:lang w:eastAsia="en-GB"/>
        </w:rPr>
        <w:t> ;</w:t>
      </w:r>
    </w:p>
    <w:p w14:paraId="08CEFAF4" w14:textId="7AF10EC5" w:rsidR="007B2E79" w:rsidRPr="001433A7" w:rsidRDefault="007B2E79" w:rsidP="007B2E79">
      <w:pPr>
        <w:tabs>
          <w:tab w:val="clear" w:pos="567"/>
          <w:tab w:val="clear" w:pos="1134"/>
        </w:tabs>
        <w:spacing w:before="120" w:after="120"/>
        <w:ind w:left="567" w:firstLine="564"/>
        <w:rPr>
          <w:lang w:eastAsia="en-GB"/>
        </w:rPr>
      </w:pPr>
      <w:r w:rsidRPr="001433A7">
        <w:rPr>
          <w:lang w:eastAsia="en-GB"/>
        </w:rPr>
        <w:t>2.</w:t>
      </w:r>
      <w:r w:rsidRPr="001433A7">
        <w:rPr>
          <w:lang w:eastAsia="en-GB"/>
        </w:rPr>
        <w:tab/>
      </w:r>
      <w:r w:rsidR="00EB1D50" w:rsidRPr="001433A7">
        <w:rPr>
          <w:i/>
          <w:iCs/>
          <w:lang w:eastAsia="en-GB"/>
        </w:rPr>
        <w:t>Se félicite</w:t>
      </w:r>
      <w:r w:rsidR="00EB1D50" w:rsidRPr="001433A7">
        <w:rPr>
          <w:lang w:eastAsia="en-GB"/>
        </w:rPr>
        <w:t xml:space="preserve"> de la neuvième reconstitution des ressources de la Caisse du Fonds pour l’environnement mondial et de ses directives de programmation,</w:t>
      </w:r>
      <w:r w:rsidR="00E67020" w:rsidRPr="001433A7">
        <w:rPr>
          <w:lang w:eastAsia="en-GB"/>
        </w:rPr>
        <w:t xml:space="preserve"> </w:t>
      </w:r>
      <w:r w:rsidR="00EB1D50" w:rsidRPr="001433A7">
        <w:rPr>
          <w:lang w:eastAsia="en-GB"/>
        </w:rPr>
        <w:t xml:space="preserve">souligne qu’il importe de veiller à ce que </w:t>
      </w:r>
      <w:r w:rsidR="007079FE" w:rsidRPr="001433A7">
        <w:rPr>
          <w:lang w:eastAsia="en-GB"/>
        </w:rPr>
        <w:t xml:space="preserve">les ressources </w:t>
      </w:r>
      <w:r w:rsidR="00EB1D50" w:rsidRPr="001433A7">
        <w:rPr>
          <w:lang w:eastAsia="en-GB"/>
        </w:rPr>
        <w:t>ainsi mise</w:t>
      </w:r>
      <w:r w:rsidR="007079FE" w:rsidRPr="001433A7">
        <w:rPr>
          <w:lang w:eastAsia="en-GB"/>
        </w:rPr>
        <w:t>s</w:t>
      </w:r>
      <w:r w:rsidR="00EB1D50" w:rsidRPr="001433A7">
        <w:rPr>
          <w:lang w:eastAsia="en-GB"/>
        </w:rPr>
        <w:t xml:space="preserve"> à disposition </w:t>
      </w:r>
      <w:r w:rsidR="007856D6" w:rsidRPr="001433A7">
        <w:rPr>
          <w:lang w:eastAsia="en-GB"/>
        </w:rPr>
        <w:t>soi</w:t>
      </w:r>
      <w:r w:rsidR="007079FE" w:rsidRPr="001433A7">
        <w:rPr>
          <w:lang w:eastAsia="en-GB"/>
        </w:rPr>
        <w:t>en</w:t>
      </w:r>
      <w:r w:rsidR="007856D6" w:rsidRPr="001433A7">
        <w:rPr>
          <w:lang w:eastAsia="en-GB"/>
        </w:rPr>
        <w:t>t</w:t>
      </w:r>
      <w:r w:rsidR="00EB1D50" w:rsidRPr="001433A7">
        <w:rPr>
          <w:lang w:eastAsia="en-GB"/>
        </w:rPr>
        <w:t xml:space="preserve"> suffisante</w:t>
      </w:r>
      <w:r w:rsidR="007079FE" w:rsidRPr="001433A7">
        <w:rPr>
          <w:lang w:eastAsia="en-GB"/>
        </w:rPr>
        <w:t>s</w:t>
      </w:r>
      <w:r w:rsidR="00EB1D50" w:rsidRPr="001433A7">
        <w:rPr>
          <w:lang w:eastAsia="en-GB"/>
        </w:rPr>
        <w:t>, accessible</w:t>
      </w:r>
      <w:r w:rsidR="007079FE" w:rsidRPr="001433A7">
        <w:rPr>
          <w:lang w:eastAsia="en-GB"/>
        </w:rPr>
        <w:t>s</w:t>
      </w:r>
      <w:r w:rsidR="00EB1D50" w:rsidRPr="001433A7">
        <w:rPr>
          <w:lang w:eastAsia="en-GB"/>
        </w:rPr>
        <w:t>, prévisible</w:t>
      </w:r>
      <w:r w:rsidR="007079FE" w:rsidRPr="001433A7">
        <w:rPr>
          <w:lang w:eastAsia="en-GB"/>
        </w:rPr>
        <w:t>s</w:t>
      </w:r>
      <w:r w:rsidR="00EB1D50" w:rsidRPr="001433A7">
        <w:rPr>
          <w:lang w:eastAsia="en-GB"/>
        </w:rPr>
        <w:t xml:space="preserve"> et adaptée</w:t>
      </w:r>
      <w:r w:rsidR="007079FE" w:rsidRPr="001433A7">
        <w:rPr>
          <w:lang w:eastAsia="en-GB"/>
        </w:rPr>
        <w:t>s</w:t>
      </w:r>
      <w:r w:rsidR="00EB1D50" w:rsidRPr="001433A7">
        <w:rPr>
          <w:lang w:eastAsia="en-GB"/>
        </w:rPr>
        <w:t xml:space="preserve"> aux besoins des Parties aux fins de l’application du Protocole de Nagoya, y compris</w:t>
      </w:r>
      <w:r w:rsidR="007856D6" w:rsidRPr="001433A7">
        <w:rPr>
          <w:lang w:eastAsia="en-GB"/>
        </w:rPr>
        <w:t xml:space="preserve"> </w:t>
      </w:r>
      <w:r w:rsidR="007079FE" w:rsidRPr="001433A7">
        <w:rPr>
          <w:lang w:eastAsia="en-GB"/>
        </w:rPr>
        <w:t>en allouant des</w:t>
      </w:r>
      <w:r w:rsidR="007856D6" w:rsidRPr="001433A7">
        <w:rPr>
          <w:lang w:eastAsia="en-GB"/>
        </w:rPr>
        <w:t xml:space="preserve"> ressources destinées</w:t>
      </w:r>
      <w:r w:rsidR="007079FE" w:rsidRPr="001433A7">
        <w:rPr>
          <w:lang w:eastAsia="en-GB"/>
        </w:rPr>
        <w:t xml:space="preserve"> spécifiquement</w:t>
      </w:r>
      <w:r w:rsidR="007856D6" w:rsidRPr="001433A7">
        <w:rPr>
          <w:lang w:eastAsia="en-GB"/>
        </w:rPr>
        <w:t xml:space="preserve"> aux activités nationales relatives à l’application et au renforcement des capacités,</w:t>
      </w:r>
      <w:r w:rsidR="00EB1D50" w:rsidRPr="001433A7">
        <w:t xml:space="preserve"> </w:t>
      </w:r>
      <w:r w:rsidR="00EB1D50" w:rsidRPr="001433A7">
        <w:rPr>
          <w:lang w:eastAsia="en-GB"/>
        </w:rPr>
        <w:t>et remercie les pays qui ont contribué à la reconstitution des ressources</w:t>
      </w:r>
      <w:r w:rsidR="00132965" w:rsidRPr="001433A7">
        <w:rPr>
          <w:lang w:eastAsia="en-GB"/>
        </w:rPr>
        <w:t> ;</w:t>
      </w:r>
    </w:p>
    <w:p w14:paraId="077E1692" w14:textId="3AE33BA8" w:rsidR="007B2E79" w:rsidRPr="001433A7" w:rsidRDefault="007B2E79" w:rsidP="007B2E79">
      <w:pPr>
        <w:tabs>
          <w:tab w:val="clear" w:pos="567"/>
          <w:tab w:val="clear" w:pos="1134"/>
        </w:tabs>
        <w:spacing w:before="120" w:after="120"/>
        <w:ind w:left="567" w:firstLine="564"/>
        <w:rPr>
          <w:lang w:eastAsia="en-GB"/>
        </w:rPr>
      </w:pPr>
      <w:r w:rsidRPr="001433A7">
        <w:rPr>
          <w:lang w:eastAsia="en-GB"/>
        </w:rPr>
        <w:t>3.</w:t>
      </w:r>
      <w:r w:rsidRPr="001433A7">
        <w:rPr>
          <w:lang w:eastAsia="en-GB"/>
        </w:rPr>
        <w:tab/>
      </w:r>
      <w:r w:rsidRPr="001433A7">
        <w:rPr>
          <w:i/>
          <w:iCs/>
          <w:lang w:eastAsia="en-GB"/>
        </w:rPr>
        <w:t xml:space="preserve">Accueille avec satisfaction </w:t>
      </w:r>
      <w:r w:rsidRPr="001433A7">
        <w:t>les mesures prises par le Fonds pour l’environnement mondial pour améliorer le</w:t>
      </w:r>
      <w:r w:rsidRPr="001433A7">
        <w:rPr>
          <w:lang w:eastAsia="en-GB"/>
        </w:rPr>
        <w:t xml:space="preserve"> mécanisme de financement à l’égard du Protocole de Nagoya</w:t>
      </w:r>
      <w:r w:rsidR="00132965" w:rsidRPr="001433A7">
        <w:rPr>
          <w:lang w:eastAsia="en-GB"/>
        </w:rPr>
        <w:t> ;</w:t>
      </w:r>
    </w:p>
    <w:p w14:paraId="0B348DCC" w14:textId="4077A7EC" w:rsidR="007B2E79" w:rsidRPr="001433A7" w:rsidRDefault="007B2E79" w:rsidP="007B2E79">
      <w:pPr>
        <w:tabs>
          <w:tab w:val="clear" w:pos="567"/>
          <w:tab w:val="clear" w:pos="1134"/>
        </w:tabs>
        <w:spacing w:before="120" w:after="120"/>
        <w:ind w:left="567" w:firstLine="564"/>
        <w:rPr>
          <w:lang w:eastAsia="en-GB"/>
        </w:rPr>
      </w:pPr>
      <w:r w:rsidRPr="001433A7">
        <w:rPr>
          <w:lang w:eastAsia="en-GB"/>
        </w:rPr>
        <w:t>4.</w:t>
      </w:r>
      <w:r w:rsidRPr="001433A7">
        <w:rPr>
          <w:lang w:eastAsia="en-GB"/>
        </w:rPr>
        <w:tab/>
      </w:r>
      <w:r w:rsidRPr="001433A7">
        <w:rPr>
          <w:i/>
          <w:iCs/>
          <w:lang w:eastAsia="en-GB"/>
        </w:rPr>
        <w:t>Note avec satisfaction</w:t>
      </w:r>
      <w:r w:rsidRPr="001433A7">
        <w:rPr>
          <w:lang w:eastAsia="en-GB"/>
        </w:rPr>
        <w:t xml:space="preserve"> que les directives de programmation pour la neuvième période de reconstitution des ressources de la Caisse du Fonds pour l’environnement mondial tiennent compte de tous les éléments du </w:t>
      </w:r>
      <w:r w:rsidRPr="001433A7">
        <w:t>cadre quadriennal axé sur les résultats des priorités du programme sur la biodiversité de la Convention et de ses protocoles,</w:t>
      </w:r>
      <w:r w:rsidRPr="001433A7">
        <w:rPr>
          <w:lang w:eastAsia="en-GB"/>
        </w:rPr>
        <w:t xml:space="preserve"> que la Conférence des Parties a adopté à sa </w:t>
      </w:r>
      <w:r w:rsidRPr="001433A7">
        <w:rPr>
          <w:lang w:eastAsia="en-GB"/>
        </w:rPr>
        <w:lastRenderedPageBreak/>
        <w:t>seizième réunion</w:t>
      </w:r>
      <w:r w:rsidRPr="001433A7">
        <w:rPr>
          <w:vertAlign w:val="superscript"/>
          <w:lang w:eastAsia="en-GB"/>
        </w:rPr>
        <w:footnoteReference w:id="4"/>
      </w:r>
      <w:r w:rsidRPr="001433A7">
        <w:rPr>
          <w:lang w:eastAsia="en-GB"/>
        </w:rPr>
        <w:t>, ce qui témoigne de l’efficacité de la réponse apportée aux lignes directrices fournies par la Conférence des Parties</w:t>
      </w:r>
      <w:r w:rsidR="00132965" w:rsidRPr="001433A7">
        <w:rPr>
          <w:lang w:eastAsia="en-GB"/>
        </w:rPr>
        <w:t> ;</w:t>
      </w:r>
    </w:p>
    <w:p w14:paraId="7A308BC5" w14:textId="30EB74A1" w:rsidR="007B2E79" w:rsidRPr="001433A7" w:rsidRDefault="007B2E79" w:rsidP="007B2E79">
      <w:pPr>
        <w:tabs>
          <w:tab w:val="clear" w:pos="567"/>
          <w:tab w:val="left" w:pos="2835"/>
          <w:tab w:val="left" w:pos="3402"/>
        </w:tabs>
        <w:spacing w:after="120"/>
        <w:ind w:left="567" w:firstLine="567"/>
        <w:rPr>
          <w:rFonts w:eastAsia="Times New Roman"/>
          <w:szCs w:val="24"/>
        </w:rPr>
      </w:pPr>
      <w:r w:rsidRPr="001433A7">
        <w:rPr>
          <w:rFonts w:eastAsia="Times New Roman"/>
          <w:szCs w:val="24"/>
        </w:rPr>
        <w:t>5.</w:t>
      </w:r>
      <w:r w:rsidRPr="001433A7">
        <w:rPr>
          <w:rFonts w:eastAsia="Times New Roman"/>
          <w:szCs w:val="24"/>
        </w:rPr>
        <w:tab/>
      </w:r>
      <w:r w:rsidRPr="001433A7">
        <w:rPr>
          <w:rFonts w:eastAsia="Times New Roman"/>
          <w:i/>
          <w:iCs/>
          <w:szCs w:val="24"/>
        </w:rPr>
        <w:t>Rappelle</w:t>
      </w:r>
      <w:r w:rsidRPr="001433A7">
        <w:rPr>
          <w:rFonts w:eastAsia="Times New Roman"/>
          <w:szCs w:val="24"/>
        </w:rPr>
        <w:t xml:space="preserve"> ses décisions </w:t>
      </w:r>
      <w:hyperlink r:id="rId15" w:history="1">
        <w:r w:rsidRPr="001433A7">
          <w:rPr>
            <w:rFonts w:eastAsia="Times New Roman"/>
            <w:iCs/>
            <w:color w:val="0000FF" w:themeColor="hyperlink"/>
            <w:szCs w:val="24"/>
            <w:u w:val="single"/>
          </w:rPr>
          <w:t>NP-4/8</w:t>
        </w:r>
      </w:hyperlink>
      <w:r w:rsidRPr="001433A7">
        <w:rPr>
          <w:rFonts w:eastAsia="Times New Roman"/>
          <w:iCs/>
          <w:szCs w:val="24"/>
        </w:rPr>
        <w:t xml:space="preserve"> du 10 décembre 2022 et </w:t>
      </w:r>
      <w:hyperlink r:id="rId16" w:history="1">
        <w:r w:rsidRPr="001433A7">
          <w:rPr>
            <w:rFonts w:eastAsia="Times New Roman"/>
            <w:iCs/>
            <w:color w:val="0000FF" w:themeColor="hyperlink"/>
            <w:szCs w:val="24"/>
            <w:u w:val="single"/>
          </w:rPr>
          <w:t>NP-5/2</w:t>
        </w:r>
      </w:hyperlink>
      <w:r w:rsidRPr="001433A7">
        <w:t xml:space="preserve"> du 1</w:t>
      </w:r>
      <w:r w:rsidRPr="001433A7">
        <w:rPr>
          <w:vertAlign w:val="superscript"/>
        </w:rPr>
        <w:t>er</w:t>
      </w:r>
      <w:r w:rsidRPr="001433A7">
        <w:t> novembre 2024</w:t>
      </w:r>
      <w:r w:rsidR="00132965" w:rsidRPr="001433A7">
        <w:t> ;</w:t>
      </w:r>
      <w:r w:rsidRPr="001433A7">
        <w:rPr>
          <w:rFonts w:eastAsia="Times New Roman"/>
          <w:szCs w:val="24"/>
        </w:rPr>
        <w:t xml:space="preserve"> </w:t>
      </w:r>
    </w:p>
    <w:p w14:paraId="336EFB67" w14:textId="0E7B3F1D" w:rsidR="007B2E79" w:rsidRPr="001433A7" w:rsidRDefault="007B2E79" w:rsidP="007B2E79">
      <w:pPr>
        <w:tabs>
          <w:tab w:val="clear" w:pos="567"/>
          <w:tab w:val="left" w:pos="2835"/>
          <w:tab w:val="left" w:pos="3402"/>
        </w:tabs>
        <w:spacing w:after="120"/>
        <w:ind w:left="567" w:firstLine="567"/>
        <w:rPr>
          <w:rFonts w:ascii="Segoe UI" w:hAnsi="Segoe UI" w:cs="Segoe UI"/>
          <w:color w:val="000000"/>
          <w:sz w:val="20"/>
          <w:szCs w:val="20"/>
        </w:rPr>
      </w:pPr>
      <w:r w:rsidRPr="001433A7">
        <w:rPr>
          <w:rFonts w:eastAsia="Times New Roman"/>
          <w:szCs w:val="24"/>
        </w:rPr>
        <w:t>[6.</w:t>
      </w:r>
      <w:r w:rsidRPr="001433A7">
        <w:rPr>
          <w:rFonts w:eastAsia="Times New Roman"/>
          <w:szCs w:val="24"/>
        </w:rPr>
        <w:tab/>
      </w:r>
      <w:r w:rsidRPr="001433A7">
        <w:rPr>
          <w:i/>
          <w:iCs/>
          <w:color w:val="000000"/>
        </w:rPr>
        <w:t>Exhorte</w:t>
      </w:r>
      <w:r w:rsidRPr="001433A7">
        <w:rPr>
          <w:color w:val="000000"/>
        </w:rPr>
        <w:t xml:space="preserve"> les Parties qui sont des pays développés et les autres Parties qui assument volontairement les obligations de ces derniers à fournir aux </w:t>
      </w:r>
      <w:r w:rsidR="00BF528F" w:rsidRPr="00BF528F">
        <w:rPr>
          <w:color w:val="000000"/>
        </w:rPr>
        <w:t>pays en développement</w:t>
      </w:r>
      <w:r w:rsidR="00BF528F" w:rsidRPr="00BF528F">
        <w:rPr>
          <w:color w:val="000000"/>
        </w:rPr>
        <w:t xml:space="preserve"> </w:t>
      </w:r>
      <w:r w:rsidRPr="001433A7">
        <w:rPr>
          <w:color w:val="000000"/>
        </w:rPr>
        <w:t>Parties, en particulier les moins avancés et les petits États insulaires en développement parmi eux, et aux Parties à économie en transition, des ressources financières nouvelles et additionnelles, adéquates, prévisibles et opportunes en vue de l’application des dispositions du Protocole de Nagoya, conformément à son article 25 et à l’article 20 de la Convention</w:t>
      </w:r>
      <w:r w:rsidR="00132965" w:rsidRPr="001433A7">
        <w:t> ;</w:t>
      </w:r>
      <w:r w:rsidRPr="001433A7">
        <w:rPr>
          <w:color w:val="000000"/>
        </w:rPr>
        <w:t>]</w:t>
      </w:r>
    </w:p>
    <w:p w14:paraId="43AF7B8E" w14:textId="3F60BB26" w:rsidR="007B2E79" w:rsidRPr="001433A7" w:rsidRDefault="007B2E79" w:rsidP="007B2E79">
      <w:pPr>
        <w:keepNext/>
        <w:tabs>
          <w:tab w:val="clear" w:pos="567"/>
          <w:tab w:val="left" w:pos="2835"/>
          <w:tab w:val="left" w:pos="3402"/>
        </w:tabs>
        <w:spacing w:after="120"/>
        <w:ind w:left="567" w:firstLine="567"/>
        <w:rPr>
          <w:rFonts w:eastAsia="Times New Roman"/>
          <w:iCs/>
          <w:szCs w:val="24"/>
          <w:highlight w:val="yellow"/>
        </w:rPr>
      </w:pPr>
      <w:r w:rsidRPr="001433A7">
        <w:rPr>
          <w:color w:val="000000"/>
        </w:rPr>
        <w:t>7.</w:t>
      </w:r>
      <w:r w:rsidRPr="001433A7">
        <w:rPr>
          <w:color w:val="000000"/>
        </w:rPr>
        <w:tab/>
      </w:r>
      <w:r w:rsidRPr="001433A7">
        <w:rPr>
          <w:i/>
          <w:iCs/>
          <w:color w:val="000000"/>
        </w:rPr>
        <w:t>Invite</w:t>
      </w:r>
      <w:r w:rsidRPr="001433A7">
        <w:rPr>
          <w:color w:val="000000"/>
        </w:rPr>
        <w:t xml:space="preserve"> les Parties, les organisations internationales, les banques régionales de développement, les autres programmes et initiatives et le secteur privé à :</w:t>
      </w:r>
      <w:r w:rsidRPr="001433A7">
        <w:rPr>
          <w:rFonts w:ascii="Segoe UI" w:hAnsi="Segoe UI" w:cs="Segoe UI"/>
          <w:color w:val="000000"/>
          <w:sz w:val="20"/>
          <w:szCs w:val="20"/>
        </w:rPr>
        <w:t> </w:t>
      </w:r>
    </w:p>
    <w:p w14:paraId="3E23C7F5" w14:textId="6C4D8837" w:rsidR="007B2E79" w:rsidRPr="001433A7" w:rsidRDefault="007B2E79" w:rsidP="007B2E79">
      <w:pPr>
        <w:tabs>
          <w:tab w:val="clear" w:pos="567"/>
          <w:tab w:val="left" w:pos="2835"/>
          <w:tab w:val="left" w:pos="3402"/>
        </w:tabs>
        <w:spacing w:after="120"/>
        <w:ind w:left="567" w:firstLine="567"/>
        <w:rPr>
          <w:rFonts w:eastAsia="Arial Unicode MS"/>
          <w:color w:val="000000"/>
          <w:kern w:val="22"/>
          <w:highlight w:val="yellow"/>
          <w:u w:color="000000"/>
          <w:bdr w:val="nil"/>
        </w:rPr>
      </w:pPr>
      <w:r w:rsidRPr="001433A7">
        <w:rPr>
          <w:color w:val="000000"/>
        </w:rPr>
        <w:t>a)</w:t>
      </w:r>
      <w:r w:rsidRPr="001433A7">
        <w:rPr>
          <w:color w:val="000000"/>
        </w:rPr>
        <w:tab/>
        <w:t>Fournir des ressources financières supplémentaires, selon qu’il conviendra et, s’il y a lieu, conformément à leurs mandats respectifs, pour appuyer l’application des dispositions du Protocole de Nagoya</w:t>
      </w:r>
      <w:r w:rsidR="00132965" w:rsidRPr="001433A7">
        <w:rPr>
          <w:color w:val="000000"/>
        </w:rPr>
        <w:t> ;</w:t>
      </w:r>
      <w:r w:rsidRPr="001433A7">
        <w:rPr>
          <w:rFonts w:ascii="Segoe UI" w:hAnsi="Segoe UI" w:cs="Segoe UI"/>
          <w:color w:val="000000"/>
          <w:sz w:val="20"/>
          <w:szCs w:val="20"/>
        </w:rPr>
        <w:t> </w:t>
      </w:r>
      <w:r w:rsidRPr="001433A7">
        <w:rPr>
          <w:rFonts w:eastAsia="Arial Unicode MS"/>
          <w:color w:val="000000"/>
          <w:kern w:val="22"/>
          <w:highlight w:val="yellow"/>
          <w:u w:color="000000"/>
          <w:bdr w:val="nil"/>
        </w:rPr>
        <w:t xml:space="preserve"> </w:t>
      </w:r>
    </w:p>
    <w:p w14:paraId="7DBAE5E1" w14:textId="6A965BD2" w:rsidR="007B2E79" w:rsidRPr="001433A7" w:rsidRDefault="007B2E79" w:rsidP="007B2E79">
      <w:pPr>
        <w:keepNext/>
        <w:tabs>
          <w:tab w:val="clear" w:pos="567"/>
          <w:tab w:val="left" w:pos="2835"/>
          <w:tab w:val="left" w:pos="3402"/>
        </w:tabs>
        <w:spacing w:after="120"/>
        <w:ind w:left="567" w:firstLine="567"/>
        <w:rPr>
          <w:rFonts w:ascii="Segoe UI" w:hAnsi="Segoe UI" w:cs="Segoe UI"/>
          <w:color w:val="000000"/>
          <w:sz w:val="20"/>
          <w:szCs w:val="20"/>
        </w:rPr>
      </w:pPr>
      <w:r w:rsidRPr="001433A7">
        <w:rPr>
          <w:color w:val="000000"/>
        </w:rPr>
        <w:t>b)</w:t>
      </w:r>
      <w:r w:rsidR="00E67020" w:rsidRPr="001433A7">
        <w:rPr>
          <w:color w:val="000000"/>
        </w:rPr>
        <w:tab/>
      </w:r>
      <w:r w:rsidRPr="001433A7">
        <w:rPr>
          <w:color w:val="000000"/>
        </w:rPr>
        <w:t>Tenir compte des conclusions et des messages clefs du deuxième exercice d’évaluation et d’examen de l’efficacité du Protocole de Nagoya, recouvrant les domaines où les Parties ont besoin de davantage d’appui, et des mesures indicatives pouvant être prises au niveau national pour renforcer l’application du Protocole</w:t>
      </w:r>
      <w:r w:rsidRPr="001433A7">
        <w:rPr>
          <w:color w:val="000000"/>
          <w:vertAlign w:val="superscript"/>
        </w:rPr>
        <w:footnoteReference w:id="5"/>
      </w:r>
      <w:r w:rsidR="00132965" w:rsidRPr="001433A7">
        <w:rPr>
          <w:color w:val="000000"/>
        </w:rPr>
        <w:t> ;</w:t>
      </w:r>
      <w:r w:rsidRPr="001433A7">
        <w:rPr>
          <w:rFonts w:ascii="Segoe UI" w:hAnsi="Segoe UI" w:cs="Segoe UI"/>
          <w:color w:val="000000"/>
          <w:sz w:val="20"/>
          <w:szCs w:val="20"/>
        </w:rPr>
        <w:t> </w:t>
      </w:r>
    </w:p>
    <w:p w14:paraId="0611EDD1" w14:textId="31804B0C" w:rsidR="007B2E79" w:rsidRPr="001433A7" w:rsidRDefault="007B2E79" w:rsidP="007B2E79">
      <w:pPr>
        <w:tabs>
          <w:tab w:val="clear" w:pos="567"/>
          <w:tab w:val="left" w:pos="2835"/>
          <w:tab w:val="left" w:pos="3402"/>
        </w:tabs>
        <w:spacing w:after="120"/>
        <w:ind w:left="567" w:firstLine="567"/>
        <w:rPr>
          <w:rFonts w:eastAsia="Times New Roman"/>
          <w:szCs w:val="24"/>
          <w:highlight w:val="yellow"/>
        </w:rPr>
      </w:pPr>
      <w:r w:rsidRPr="001433A7">
        <w:rPr>
          <w:color w:val="000000"/>
        </w:rPr>
        <w:t>8</w:t>
      </w:r>
      <w:r w:rsidR="00E67020" w:rsidRPr="001433A7">
        <w:rPr>
          <w:color w:val="000000"/>
        </w:rPr>
        <w:t>.</w:t>
      </w:r>
      <w:r w:rsidR="00E67020" w:rsidRPr="001433A7">
        <w:rPr>
          <w:color w:val="000000"/>
        </w:rPr>
        <w:tab/>
      </w:r>
      <w:r w:rsidRPr="001433A7">
        <w:rPr>
          <w:i/>
          <w:iCs/>
          <w:color w:val="000000"/>
        </w:rPr>
        <w:t>Recommande</w:t>
      </w:r>
      <w:r w:rsidRPr="001433A7">
        <w:rPr>
          <w:color w:val="000000"/>
        </w:rPr>
        <w:t xml:space="preserve"> que, lors de l’adoption des directives à l’intention du Fonds pour l’environnement mondial, la Conférence des Parties à la Convention prie le Fonds de :</w:t>
      </w:r>
    </w:p>
    <w:p w14:paraId="78DD0ED0" w14:textId="68F396C7" w:rsidR="007B2E79" w:rsidRPr="001433A7" w:rsidRDefault="007B2E79" w:rsidP="007B2E79">
      <w:pPr>
        <w:tabs>
          <w:tab w:val="clear" w:pos="567"/>
          <w:tab w:val="clear" w:pos="1134"/>
          <w:tab w:val="left" w:pos="2835"/>
          <w:tab w:val="left" w:pos="3402"/>
        </w:tabs>
        <w:spacing w:after="120"/>
        <w:ind w:left="567" w:firstLine="567"/>
        <w:rPr>
          <w:rFonts w:eastAsia="Times New Roman"/>
          <w:szCs w:val="24"/>
          <w:highlight w:val="yellow"/>
        </w:rPr>
      </w:pPr>
      <w:r w:rsidRPr="001433A7">
        <w:rPr>
          <w:color w:val="000000"/>
        </w:rPr>
        <w:t xml:space="preserve">a) </w:t>
      </w:r>
      <w:r w:rsidRPr="001433A7">
        <w:rPr>
          <w:color w:val="000000"/>
        </w:rPr>
        <w:tab/>
        <w:t xml:space="preserve">Continuer d’aider les Parties qui sont des pays en développement, en particulier les moins avancés et les petits États insulaires en développement parmi eux, et les Parties à économie en transition, à appliquer le Protocole de Nagoya, en tenant compte des résultats du deuxième exercice d’évaluation et d’examen, notamment en </w:t>
      </w:r>
      <w:r w:rsidR="00471548" w:rsidRPr="001433A7">
        <w:rPr>
          <w:color w:val="000000"/>
        </w:rPr>
        <w:t>favorisant</w:t>
      </w:r>
      <w:r w:rsidRPr="001433A7">
        <w:rPr>
          <w:color w:val="000000"/>
        </w:rPr>
        <w:t xml:space="preserve"> la création et à la mise en place des points de contrôle</w:t>
      </w:r>
      <w:r w:rsidR="00471548" w:rsidRPr="001433A7">
        <w:rPr>
          <w:color w:val="000000"/>
        </w:rPr>
        <w:t>,</w:t>
      </w:r>
      <w:r w:rsidRPr="001433A7">
        <w:rPr>
          <w:color w:val="000000"/>
        </w:rPr>
        <w:t xml:space="preserve"> la publication des informations sur les points de contrôle par l’intermédiaire du Centre d’échange sur l’accès et le partage des avantages</w:t>
      </w:r>
      <w:r w:rsidR="00471548" w:rsidRPr="001433A7">
        <w:rPr>
          <w:color w:val="000000"/>
        </w:rPr>
        <w:t xml:space="preserve"> et</w:t>
      </w:r>
      <w:r w:rsidRPr="001433A7">
        <w:rPr>
          <w:color w:val="000000"/>
        </w:rPr>
        <w:t xml:space="preserve">, </w:t>
      </w:r>
      <w:r w:rsidR="00471548" w:rsidRPr="001433A7">
        <w:rPr>
          <w:color w:val="000000"/>
        </w:rPr>
        <w:t xml:space="preserve">s’il y a lieu et compte tenu des circonstances nationales, la participation effective des peuples autochtones et communautés locales, </w:t>
      </w:r>
      <w:r w:rsidRPr="001433A7">
        <w:rPr>
          <w:color w:val="000000"/>
        </w:rPr>
        <w:t>d’encourager le recours à des projets mondiaux et régionaux et de mettre à disposition des fonds à cette fin</w:t>
      </w:r>
      <w:r w:rsidR="00CC59D2">
        <w:rPr>
          <w:color w:val="000000"/>
        </w:rPr>
        <w:t> </w:t>
      </w:r>
      <w:r w:rsidR="00132965" w:rsidRPr="001433A7">
        <w:rPr>
          <w:color w:val="000000"/>
        </w:rPr>
        <w:t>;</w:t>
      </w:r>
    </w:p>
    <w:p w14:paraId="538E41FD" w14:textId="4A080723" w:rsidR="007B2E79" w:rsidRPr="001433A7" w:rsidRDefault="007B2E79" w:rsidP="007B2E79">
      <w:pPr>
        <w:tabs>
          <w:tab w:val="clear" w:pos="567"/>
          <w:tab w:val="clear" w:pos="1134"/>
          <w:tab w:val="left" w:pos="2835"/>
          <w:tab w:val="left" w:pos="3402"/>
        </w:tabs>
        <w:spacing w:after="120"/>
        <w:ind w:left="567" w:firstLine="567"/>
        <w:rPr>
          <w:rFonts w:eastAsia="Times New Roman"/>
          <w:szCs w:val="24"/>
          <w:highlight w:val="yellow"/>
        </w:rPr>
      </w:pPr>
      <w:r w:rsidRPr="001433A7">
        <w:rPr>
          <w:color w:val="000000"/>
        </w:rPr>
        <w:t>b)</w:t>
      </w:r>
      <w:r w:rsidR="00E67020" w:rsidRPr="001433A7">
        <w:rPr>
          <w:color w:val="000000"/>
        </w:rPr>
        <w:tab/>
      </w:r>
      <w:r w:rsidRPr="001433A7">
        <w:rPr>
          <w:color w:val="000000"/>
        </w:rPr>
        <w:t>Mettre des fonds à disposition en temps voulu pour aider les Parties remplissant les conditions requises à établir et soumettre leur deuxième rapport national sur l’application des dispositions du Protocole de Nagoya, sans créer de nouvelles exigences en la matière</w:t>
      </w:r>
      <w:r w:rsidR="00EB1D50" w:rsidRPr="001433A7">
        <w:rPr>
          <w:color w:val="000000"/>
        </w:rPr>
        <w:t xml:space="preserve">, de façon à garantir l’approbation des projets d’ici à la fin de 2027, conformément à la recommandation formulée par le </w:t>
      </w:r>
      <w:r w:rsidR="00EB1D50" w:rsidRPr="001433A7">
        <w:rPr>
          <w:rStyle w:val="admitted"/>
        </w:rPr>
        <w:t>Comité chargé du respect des obligations au titre du Protocole de Nagoya</w:t>
      </w:r>
      <w:r w:rsidR="00132965" w:rsidRPr="001433A7">
        <w:rPr>
          <w:color w:val="000000"/>
        </w:rPr>
        <w:t> ;</w:t>
      </w:r>
    </w:p>
    <w:p w14:paraId="5EEFA0A9" w14:textId="711B9682" w:rsidR="007856D6" w:rsidRPr="001433A7" w:rsidRDefault="007856D6" w:rsidP="007B2E79">
      <w:pPr>
        <w:tabs>
          <w:tab w:val="clear" w:pos="567"/>
          <w:tab w:val="clear" w:pos="1134"/>
          <w:tab w:val="left" w:pos="2835"/>
          <w:tab w:val="left" w:pos="3402"/>
        </w:tabs>
        <w:spacing w:after="120"/>
        <w:ind w:left="567" w:firstLine="567"/>
      </w:pPr>
      <w:r w:rsidRPr="001433A7">
        <w:rPr>
          <w:rFonts w:eastAsia="Times New Roman"/>
          <w:szCs w:val="24"/>
        </w:rPr>
        <w:t>c)</w:t>
      </w:r>
      <w:r w:rsidRPr="001433A7">
        <w:rPr>
          <w:rFonts w:eastAsia="Times New Roman"/>
          <w:szCs w:val="24"/>
        </w:rPr>
        <w:tab/>
        <w:t>Faire en sorte que les organismes d’exécution qui participent au projet d’appui à l’élaboration et à la présentation des deuxièmes rapports nationaux sur l’application du Protocole de Nagoya prennent des mesures pour réduire au</w:t>
      </w:r>
      <w:r w:rsidR="002E2958" w:rsidRPr="001433A7">
        <w:rPr>
          <w:rFonts w:eastAsia="Times New Roman"/>
          <w:szCs w:val="24"/>
        </w:rPr>
        <w:t xml:space="preserve">tant que possible </w:t>
      </w:r>
      <w:r w:rsidRPr="001433A7">
        <w:rPr>
          <w:rFonts w:eastAsia="Times New Roman"/>
          <w:szCs w:val="24"/>
        </w:rPr>
        <w:t xml:space="preserve">les retards administratifs, procéduraux et opérationnels afin de faciliter le </w:t>
      </w:r>
      <w:r w:rsidRPr="001433A7">
        <w:t>décaissement rapide des fonds</w:t>
      </w:r>
      <w:r w:rsidR="00132965" w:rsidRPr="001433A7">
        <w:t> ;</w:t>
      </w:r>
    </w:p>
    <w:p w14:paraId="26F9EDC7" w14:textId="498870A2" w:rsidR="00DA772E" w:rsidRPr="001433A7" w:rsidRDefault="00DA772E" w:rsidP="007B2E79">
      <w:pPr>
        <w:tabs>
          <w:tab w:val="clear" w:pos="567"/>
          <w:tab w:val="clear" w:pos="1134"/>
          <w:tab w:val="left" w:pos="2835"/>
          <w:tab w:val="left" w:pos="3402"/>
        </w:tabs>
        <w:spacing w:after="120"/>
        <w:ind w:left="567" w:firstLine="567"/>
        <w:rPr>
          <w:rFonts w:eastAsia="Times New Roman"/>
          <w:szCs w:val="24"/>
          <w:highlight w:val="yellow"/>
        </w:rPr>
      </w:pPr>
      <w:r w:rsidRPr="001433A7">
        <w:rPr>
          <w:rFonts w:eastAsia="Times New Roman"/>
          <w:szCs w:val="24"/>
        </w:rPr>
        <w:t>d)</w:t>
      </w:r>
      <w:r w:rsidRPr="001433A7">
        <w:rPr>
          <w:rFonts w:eastAsia="Times New Roman"/>
          <w:szCs w:val="24"/>
        </w:rPr>
        <w:tab/>
      </w:r>
      <w:r w:rsidR="007533C0">
        <w:rPr>
          <w:rFonts w:eastAsia="Times New Roman"/>
          <w:szCs w:val="24"/>
        </w:rPr>
        <w:t>P</w:t>
      </w:r>
      <w:r w:rsidRPr="001433A7">
        <w:rPr>
          <w:rStyle w:val="preferred"/>
        </w:rPr>
        <w:t xml:space="preserve">oursuivre son action visant à aider les Parties remplissant les conditions requises à accéder aux ressources </w:t>
      </w:r>
      <w:r w:rsidR="007079FE" w:rsidRPr="001433A7">
        <w:rPr>
          <w:rStyle w:val="preferred"/>
        </w:rPr>
        <w:t>dont elles ont besoin pour élaborer</w:t>
      </w:r>
      <w:r w:rsidRPr="001433A7">
        <w:rPr>
          <w:rStyle w:val="preferred"/>
        </w:rPr>
        <w:t xml:space="preserve"> et </w:t>
      </w:r>
      <w:r w:rsidR="007079FE" w:rsidRPr="001433A7">
        <w:rPr>
          <w:rStyle w:val="preferred"/>
        </w:rPr>
        <w:t>mettre</w:t>
      </w:r>
      <w:r w:rsidRPr="001433A7">
        <w:rPr>
          <w:rStyle w:val="preferred"/>
        </w:rPr>
        <w:t xml:space="preserve"> en œuvre leur cadre national relatif à l’accès et au partage des avantages</w:t>
      </w:r>
      <w:r w:rsidR="00132965" w:rsidRPr="001433A7">
        <w:rPr>
          <w:rStyle w:val="preferred"/>
        </w:rPr>
        <w:t> ;</w:t>
      </w:r>
    </w:p>
    <w:p w14:paraId="13866DA4" w14:textId="7D3DEF4F" w:rsidR="007B2E79" w:rsidRPr="001433A7" w:rsidRDefault="00DA772E" w:rsidP="007B2E79">
      <w:pPr>
        <w:tabs>
          <w:tab w:val="clear" w:pos="567"/>
          <w:tab w:val="clear" w:pos="1134"/>
          <w:tab w:val="left" w:pos="2835"/>
          <w:tab w:val="left" w:pos="3402"/>
        </w:tabs>
        <w:spacing w:after="120"/>
        <w:ind w:left="567" w:firstLine="567"/>
        <w:rPr>
          <w:rFonts w:eastAsia="Times New Roman"/>
          <w:szCs w:val="24"/>
          <w:highlight w:val="yellow"/>
        </w:rPr>
      </w:pPr>
      <w:r w:rsidRPr="001433A7">
        <w:rPr>
          <w:color w:val="000000"/>
        </w:rPr>
        <w:t>e</w:t>
      </w:r>
      <w:r w:rsidR="007B2E79" w:rsidRPr="001433A7">
        <w:rPr>
          <w:color w:val="000000"/>
        </w:rPr>
        <w:t>)</w:t>
      </w:r>
      <w:r w:rsidR="00E67020" w:rsidRPr="001433A7">
        <w:rPr>
          <w:color w:val="000000"/>
        </w:rPr>
        <w:tab/>
      </w:r>
      <w:r w:rsidR="000E5B68">
        <w:rPr>
          <w:color w:val="000000"/>
        </w:rPr>
        <w:t xml:space="preserve">Continuer </w:t>
      </w:r>
      <w:r w:rsidR="00221D0C">
        <w:rPr>
          <w:color w:val="000000"/>
        </w:rPr>
        <w:t>à</w:t>
      </w:r>
      <w:r w:rsidR="000E5B68">
        <w:rPr>
          <w:color w:val="000000"/>
        </w:rPr>
        <w:t xml:space="preserve"> fournir</w:t>
      </w:r>
      <w:r w:rsidR="007B2E79" w:rsidRPr="001433A7">
        <w:rPr>
          <w:color w:val="000000"/>
        </w:rPr>
        <w:t xml:space="preserve">, dans son domaine d’action relatif à la biodiversité, </w:t>
      </w:r>
      <w:r w:rsidR="00D743E1">
        <w:rPr>
          <w:color w:val="000000"/>
        </w:rPr>
        <w:t>un financement</w:t>
      </w:r>
      <w:r w:rsidR="00B5455E">
        <w:rPr>
          <w:color w:val="000000"/>
        </w:rPr>
        <w:t xml:space="preserve"> pour </w:t>
      </w:r>
      <w:r w:rsidR="007B2E79" w:rsidRPr="001433A7">
        <w:rPr>
          <w:color w:val="000000"/>
        </w:rPr>
        <w:t>l’application des dispositions du Protocole de Nagoya doté de ressources suffisantes</w:t>
      </w:r>
      <w:r w:rsidR="00124D46">
        <w:rPr>
          <w:color w:val="000000"/>
        </w:rPr>
        <w:t>, accessibles</w:t>
      </w:r>
      <w:r w:rsidR="007B2E79" w:rsidRPr="001433A7">
        <w:rPr>
          <w:color w:val="000000"/>
        </w:rPr>
        <w:t xml:space="preserve"> et prévisibles, en tenant compte des priorités et des besoins nationaux des Parties remplissant les </w:t>
      </w:r>
      <w:r w:rsidR="007B2E79" w:rsidRPr="001433A7">
        <w:rPr>
          <w:color w:val="000000"/>
        </w:rPr>
        <w:lastRenderedPageBreak/>
        <w:t>conditions requises</w:t>
      </w:r>
      <w:r w:rsidR="00F80203">
        <w:rPr>
          <w:color w:val="000000"/>
        </w:rPr>
        <w:t xml:space="preserve">, </w:t>
      </w:r>
      <w:r w:rsidR="000E2F21">
        <w:rPr>
          <w:color w:val="000000"/>
        </w:rPr>
        <w:t>en particulier</w:t>
      </w:r>
      <w:r w:rsidR="00F80203">
        <w:rPr>
          <w:color w:val="000000"/>
        </w:rPr>
        <w:t xml:space="preserve"> les besoins et </w:t>
      </w:r>
      <w:r w:rsidR="00ED1620">
        <w:rPr>
          <w:color w:val="000000"/>
        </w:rPr>
        <w:t>les situations spécifiques</w:t>
      </w:r>
      <w:r w:rsidR="000A69D6">
        <w:rPr>
          <w:color w:val="000000"/>
        </w:rPr>
        <w:t xml:space="preserve"> des pays les moins avancés et des petits États insulaires en développement </w:t>
      </w:r>
      <w:r w:rsidR="00132965" w:rsidRPr="001433A7">
        <w:rPr>
          <w:color w:val="000000"/>
        </w:rPr>
        <w:t>;</w:t>
      </w:r>
    </w:p>
    <w:p w14:paraId="66A58029" w14:textId="33CEE8C6" w:rsidR="00C951A9" w:rsidRPr="001433A7" w:rsidRDefault="00C951A9" w:rsidP="007B2E79">
      <w:pPr>
        <w:tabs>
          <w:tab w:val="clear" w:pos="567"/>
          <w:tab w:val="clear" w:pos="1134"/>
          <w:tab w:val="left" w:pos="2835"/>
          <w:tab w:val="left" w:pos="3402"/>
        </w:tabs>
        <w:spacing w:after="120"/>
        <w:ind w:left="567" w:firstLine="567"/>
        <w:rPr>
          <w:color w:val="000000"/>
        </w:rPr>
      </w:pPr>
      <w:r w:rsidRPr="001433A7">
        <w:rPr>
          <w:rFonts w:eastAsia="Times New Roman"/>
          <w:szCs w:val="24"/>
        </w:rPr>
        <w:t>9.</w:t>
      </w:r>
      <w:r w:rsidRPr="001433A7">
        <w:rPr>
          <w:rFonts w:eastAsia="Times New Roman"/>
          <w:szCs w:val="24"/>
        </w:rPr>
        <w:tab/>
      </w:r>
      <w:r w:rsidRPr="001433A7">
        <w:rPr>
          <w:rFonts w:eastAsia="Times New Roman"/>
          <w:i/>
          <w:iCs/>
          <w:szCs w:val="24"/>
        </w:rPr>
        <w:t>Encourage</w:t>
      </w:r>
      <w:r w:rsidRPr="001433A7">
        <w:rPr>
          <w:rFonts w:eastAsia="Times New Roman"/>
          <w:szCs w:val="24"/>
        </w:rPr>
        <w:t xml:space="preserve"> le</w:t>
      </w:r>
      <w:r w:rsidRPr="001433A7">
        <w:rPr>
          <w:color w:val="000000"/>
        </w:rPr>
        <w:t xml:space="preserve"> Fonds pour l’environnement mondial, ses organismes d’exécution et les partenaires concernés, dans le cadre de leurs mandats respectifs, à </w:t>
      </w:r>
      <w:r w:rsidR="001C4292" w:rsidRPr="001433A7">
        <w:rPr>
          <w:color w:val="000000"/>
        </w:rPr>
        <w:t>continuer d’agir pour que</w:t>
      </w:r>
      <w:r w:rsidRPr="001433A7">
        <w:rPr>
          <w:color w:val="000000"/>
        </w:rPr>
        <w:t xml:space="preserve"> </w:t>
      </w:r>
      <w:r w:rsidR="001C4292" w:rsidRPr="001433A7">
        <w:rPr>
          <w:color w:val="000000"/>
        </w:rPr>
        <w:t>l’aide financière aux fins de l’application du Protocole de Nagoya soit plus accessible et efficace et soit versée en temps utile, notamment, s’il y a lieu, en rationnalisant les procédures administratives et opérationnelles, en facilitant les processus de conception et d’approbation des projets et en réduisant autant que possible les retards évitables dans le décaissement des fonds</w:t>
      </w:r>
      <w:r w:rsidR="00132965" w:rsidRPr="001433A7">
        <w:rPr>
          <w:color w:val="000000"/>
        </w:rPr>
        <w:t> ;</w:t>
      </w:r>
    </w:p>
    <w:p w14:paraId="10D87DA2" w14:textId="5155E1E2" w:rsidR="001C4292" w:rsidRPr="001433A7" w:rsidRDefault="001C4292" w:rsidP="007B2E79">
      <w:pPr>
        <w:tabs>
          <w:tab w:val="clear" w:pos="567"/>
          <w:tab w:val="clear" w:pos="1134"/>
          <w:tab w:val="left" w:pos="2835"/>
          <w:tab w:val="left" w:pos="3402"/>
        </w:tabs>
        <w:spacing w:after="120"/>
        <w:ind w:left="567" w:firstLine="567"/>
        <w:rPr>
          <w:lang w:eastAsia="en-GB"/>
        </w:rPr>
      </w:pPr>
      <w:r w:rsidRPr="001433A7">
        <w:rPr>
          <w:rFonts w:eastAsia="Times New Roman"/>
          <w:szCs w:val="24"/>
        </w:rPr>
        <w:t>10.</w:t>
      </w:r>
      <w:r w:rsidRPr="001433A7">
        <w:rPr>
          <w:rFonts w:eastAsia="Times New Roman"/>
          <w:szCs w:val="24"/>
        </w:rPr>
        <w:tab/>
      </w:r>
      <w:r w:rsidRPr="001433A7">
        <w:rPr>
          <w:rFonts w:eastAsia="Times New Roman"/>
          <w:i/>
          <w:iCs/>
          <w:szCs w:val="24"/>
        </w:rPr>
        <w:t>Invite</w:t>
      </w:r>
      <w:r w:rsidRPr="001433A7">
        <w:rPr>
          <w:rFonts w:eastAsia="Times New Roman"/>
          <w:szCs w:val="24"/>
        </w:rPr>
        <w:t xml:space="preserve"> les Parties au Protocole de Nagoya à communiquer, s’il y a lieu, des informations sur leurs besoins et leurs priorités à l’égard de l’application du Protocole, y compris les besoins liés au développement institutionnel</w:t>
      </w:r>
      <w:r w:rsidR="00327DFC" w:rsidRPr="001433A7">
        <w:rPr>
          <w:rFonts w:eastAsia="Times New Roman"/>
          <w:szCs w:val="24"/>
        </w:rPr>
        <w:t xml:space="preserve">, aux mesures relatives à l’accès et au partage des avantages, aux systèmes de contrôle de la conformité et de suivi, aux modalités de partage des avantages, aux systèmes de gestion des informations, au renforcement des capacités et à l’aide apportée aux peuples autochtones et communautés locales, afin de contribuer à l’évaluation des besoins de financement et à la définition des priorités des programmes en vue de la dixième période de reconstitution des ressources </w:t>
      </w:r>
      <w:r w:rsidR="00327DFC" w:rsidRPr="001433A7">
        <w:rPr>
          <w:lang w:eastAsia="en-GB"/>
        </w:rPr>
        <w:t>de la Caisse du Fonds pour l’environnement mondial</w:t>
      </w:r>
      <w:r w:rsidR="00132965" w:rsidRPr="001433A7">
        <w:rPr>
          <w:lang w:eastAsia="en-GB"/>
        </w:rPr>
        <w:t> ;</w:t>
      </w:r>
    </w:p>
    <w:p w14:paraId="231D7F89" w14:textId="0D3CEEF5" w:rsidR="00327DFC" w:rsidRPr="001433A7" w:rsidRDefault="00327DFC" w:rsidP="007B2E79">
      <w:pPr>
        <w:tabs>
          <w:tab w:val="clear" w:pos="567"/>
          <w:tab w:val="clear" w:pos="1134"/>
          <w:tab w:val="left" w:pos="2835"/>
          <w:tab w:val="left" w:pos="3402"/>
        </w:tabs>
        <w:spacing w:after="120"/>
        <w:ind w:left="567" w:firstLine="567"/>
        <w:rPr>
          <w:rFonts w:eastAsia="Times New Roman"/>
          <w:szCs w:val="24"/>
        </w:rPr>
      </w:pPr>
      <w:r w:rsidRPr="001433A7">
        <w:rPr>
          <w:rFonts w:eastAsia="Times New Roman"/>
          <w:szCs w:val="24"/>
        </w:rPr>
        <w:t>11.</w:t>
      </w:r>
      <w:r w:rsidRPr="001433A7">
        <w:rPr>
          <w:rFonts w:eastAsia="Times New Roman"/>
          <w:szCs w:val="24"/>
        </w:rPr>
        <w:tab/>
      </w:r>
      <w:r w:rsidRPr="001433A7">
        <w:rPr>
          <w:rFonts w:eastAsia="Times New Roman"/>
          <w:i/>
          <w:iCs/>
          <w:szCs w:val="24"/>
        </w:rPr>
        <w:t>Encourage</w:t>
      </w:r>
      <w:r w:rsidRPr="001433A7">
        <w:rPr>
          <w:rFonts w:eastAsia="Times New Roman"/>
          <w:szCs w:val="24"/>
        </w:rPr>
        <w:t xml:space="preserve"> les Parties remplissant les conditions requises à utiliser les ressources</w:t>
      </w:r>
      <w:r w:rsidR="002E2958" w:rsidRPr="001433A7">
        <w:rPr>
          <w:rFonts w:eastAsia="Times New Roman"/>
          <w:szCs w:val="24"/>
        </w:rPr>
        <w:t xml:space="preserve"> destinées à l’application du Protocole de Nagoya qui sont allouées par le Fonds pour l’environnement mondial par l’intermédiaire de son </w:t>
      </w:r>
      <w:r w:rsidR="002E2958" w:rsidRPr="001433A7">
        <w:t xml:space="preserve">Système d’allocation transparente des ressources et </w:t>
      </w:r>
      <w:r w:rsidR="007079FE" w:rsidRPr="001433A7">
        <w:t>à</w:t>
      </w:r>
      <w:r w:rsidR="002E2958" w:rsidRPr="001433A7">
        <w:t xml:space="preserve"> tenir compte de l’accès et du partage des avantages dans le cadre de leur</w:t>
      </w:r>
      <w:r w:rsidR="007079FE" w:rsidRPr="001433A7">
        <w:t>s</w:t>
      </w:r>
      <w:r w:rsidR="002E2958" w:rsidRPr="001433A7">
        <w:t xml:space="preserve"> projets en matière de biodiversité, conformément aux besoins et aux priorités définis au niveau national</w:t>
      </w:r>
      <w:r w:rsidR="00132965" w:rsidRPr="001433A7">
        <w:t> ;</w:t>
      </w:r>
    </w:p>
    <w:p w14:paraId="2728E12E" w14:textId="46E82300" w:rsidR="007B2E79" w:rsidRPr="001433A7" w:rsidRDefault="00327DFC" w:rsidP="007B2E79">
      <w:pPr>
        <w:tabs>
          <w:tab w:val="clear" w:pos="567"/>
          <w:tab w:val="clear" w:pos="1134"/>
        </w:tabs>
        <w:spacing w:before="120" w:after="120"/>
        <w:ind w:left="567" w:firstLine="564"/>
        <w:rPr>
          <w:rFonts w:ascii="Segoe UI" w:hAnsi="Segoe UI" w:cs="Segoe UI"/>
          <w:color w:val="000000"/>
          <w:sz w:val="20"/>
          <w:szCs w:val="20"/>
        </w:rPr>
      </w:pPr>
      <w:r w:rsidRPr="001433A7">
        <w:rPr>
          <w:color w:val="000000"/>
        </w:rPr>
        <w:t>12</w:t>
      </w:r>
      <w:r w:rsidR="007B2E79" w:rsidRPr="001433A7">
        <w:rPr>
          <w:color w:val="000000"/>
        </w:rPr>
        <w:t>.</w:t>
      </w:r>
      <w:r w:rsidR="00E67020" w:rsidRPr="001433A7">
        <w:rPr>
          <w:color w:val="000000"/>
        </w:rPr>
        <w:tab/>
      </w:r>
      <w:r w:rsidR="007B2E79" w:rsidRPr="001433A7">
        <w:rPr>
          <w:i/>
          <w:iCs/>
          <w:color w:val="000000"/>
        </w:rPr>
        <w:t>Souligne</w:t>
      </w:r>
      <w:r w:rsidR="007B2E79" w:rsidRPr="001433A7">
        <w:rPr>
          <w:color w:val="000000"/>
        </w:rPr>
        <w:t xml:space="preserve"> qu’il importe pour les Parties remplissant les conditions requises de soumettre leur lettre d’approbation du projet du Fonds pour l’environnement mondial visant à appuyer l’établissement, en temps voulu, des deuxièmes rapports nationaux</w:t>
      </w:r>
      <w:r w:rsidR="00132965" w:rsidRPr="001433A7">
        <w:rPr>
          <w:color w:val="000000"/>
        </w:rPr>
        <w:t> ;</w:t>
      </w:r>
      <w:r w:rsidR="007B2E79" w:rsidRPr="001433A7">
        <w:rPr>
          <w:rFonts w:ascii="Segoe UI" w:hAnsi="Segoe UI" w:cs="Segoe UI"/>
          <w:color w:val="000000"/>
          <w:sz w:val="20"/>
          <w:szCs w:val="20"/>
        </w:rPr>
        <w:t> </w:t>
      </w:r>
    </w:p>
    <w:p w14:paraId="665368D1" w14:textId="7FE3B3E6" w:rsidR="007B2E79" w:rsidRPr="001433A7" w:rsidRDefault="007B2E79" w:rsidP="007B2E79">
      <w:pPr>
        <w:tabs>
          <w:tab w:val="clear" w:pos="567"/>
          <w:tab w:val="clear" w:pos="1134"/>
        </w:tabs>
        <w:spacing w:before="120" w:after="120"/>
        <w:ind w:left="567" w:firstLine="564"/>
        <w:rPr>
          <w:lang w:eastAsia="en-GB"/>
        </w:rPr>
      </w:pPr>
      <w:r w:rsidRPr="001433A7">
        <w:rPr>
          <w:rFonts w:asciiTheme="majorBidi" w:hAnsiTheme="majorBidi" w:cstheme="majorBidi"/>
          <w:color w:val="000000"/>
        </w:rPr>
        <w:t>1</w:t>
      </w:r>
      <w:r w:rsidR="00327DFC" w:rsidRPr="001433A7">
        <w:rPr>
          <w:rFonts w:asciiTheme="majorBidi" w:hAnsiTheme="majorBidi" w:cstheme="majorBidi"/>
          <w:color w:val="000000"/>
        </w:rPr>
        <w:t>3</w:t>
      </w:r>
      <w:r w:rsidRPr="001433A7">
        <w:rPr>
          <w:rFonts w:asciiTheme="majorBidi" w:hAnsiTheme="majorBidi" w:cstheme="majorBidi"/>
          <w:color w:val="000000"/>
        </w:rPr>
        <w:t xml:space="preserve">. </w:t>
      </w:r>
      <w:r w:rsidRPr="001433A7">
        <w:rPr>
          <w:rFonts w:asciiTheme="majorBidi" w:hAnsiTheme="majorBidi" w:cstheme="majorBidi"/>
          <w:color w:val="000000"/>
        </w:rPr>
        <w:tab/>
      </w:r>
      <w:r w:rsidRPr="001433A7">
        <w:rPr>
          <w:i/>
          <w:iCs/>
          <w:lang w:eastAsia="en-GB"/>
        </w:rPr>
        <w:t>Est consciente</w:t>
      </w:r>
      <w:r w:rsidRPr="001433A7">
        <w:rPr>
          <w:lang w:eastAsia="en-GB"/>
        </w:rPr>
        <w:t xml:space="preserve"> qu’il importe de veiller à ce que les ressources financières nécessaires à l’élaboration des rapports nationaux </w:t>
      </w:r>
      <w:r w:rsidR="002E2958" w:rsidRPr="001433A7">
        <w:rPr>
          <w:lang w:eastAsia="en-GB"/>
        </w:rPr>
        <w:t>et à l’application effective</w:t>
      </w:r>
      <w:r w:rsidRPr="001433A7">
        <w:rPr>
          <w:lang w:eastAsia="en-GB"/>
        </w:rPr>
        <w:t xml:space="preserve"> du Protocole de Nagoya soient disponibles en temps utile</w:t>
      </w:r>
      <w:r w:rsidR="00132965" w:rsidRPr="001433A7">
        <w:rPr>
          <w:lang w:eastAsia="en-GB"/>
        </w:rPr>
        <w:t> ;</w:t>
      </w:r>
    </w:p>
    <w:p w14:paraId="28E9023A" w14:textId="1734BEEB" w:rsidR="007B2E79" w:rsidRPr="001433A7" w:rsidRDefault="007B2E79" w:rsidP="007B2E79">
      <w:pPr>
        <w:tabs>
          <w:tab w:val="clear" w:pos="567"/>
          <w:tab w:val="clear" w:pos="1134"/>
        </w:tabs>
        <w:spacing w:before="120" w:after="120"/>
        <w:ind w:left="567" w:firstLine="564"/>
        <w:rPr>
          <w:lang w:eastAsia="en-GB"/>
        </w:rPr>
      </w:pPr>
      <w:r w:rsidRPr="001433A7">
        <w:rPr>
          <w:lang w:eastAsia="en-GB"/>
        </w:rPr>
        <w:t>1</w:t>
      </w:r>
      <w:r w:rsidR="00327DFC" w:rsidRPr="001433A7">
        <w:rPr>
          <w:lang w:eastAsia="en-GB"/>
        </w:rPr>
        <w:t>4</w:t>
      </w:r>
      <w:r w:rsidRPr="001433A7">
        <w:rPr>
          <w:lang w:eastAsia="en-GB"/>
        </w:rPr>
        <w:t>.</w:t>
      </w:r>
      <w:r w:rsidRPr="001433A7">
        <w:rPr>
          <w:lang w:eastAsia="en-GB"/>
        </w:rPr>
        <w:tab/>
      </w:r>
      <w:r w:rsidRPr="001433A7">
        <w:rPr>
          <w:i/>
          <w:iCs/>
          <w:lang w:eastAsia="en-GB"/>
        </w:rPr>
        <w:t>Encourage</w:t>
      </w:r>
      <w:r w:rsidRPr="001433A7">
        <w:rPr>
          <w:lang w:eastAsia="en-GB"/>
        </w:rPr>
        <w:t xml:space="preserve"> les démarches visant à faciliter la phase initiale de conception des projets et les modalités de mise en œuvre en vue d’appuyer l’élaboration et la présentation des deuxièmes rapports nationaux au titre du Protocole de Nagoya</w:t>
      </w:r>
      <w:r w:rsidR="00132965" w:rsidRPr="001433A7">
        <w:rPr>
          <w:lang w:eastAsia="en-GB"/>
        </w:rPr>
        <w:t> ;</w:t>
      </w:r>
    </w:p>
    <w:p w14:paraId="0E073EEB" w14:textId="0FEABCCF" w:rsidR="007B2E79" w:rsidRPr="001433A7" w:rsidRDefault="007B2E79" w:rsidP="007B2E79">
      <w:pPr>
        <w:keepNext/>
        <w:tabs>
          <w:tab w:val="clear" w:pos="567"/>
          <w:tab w:val="clear" w:pos="1134"/>
          <w:tab w:val="left" w:pos="2835"/>
          <w:tab w:val="left" w:pos="3402"/>
        </w:tabs>
        <w:spacing w:after="120"/>
        <w:ind w:left="567" w:firstLine="567"/>
        <w:rPr>
          <w:rFonts w:eastAsia="Times New Roman"/>
          <w:iCs/>
          <w:szCs w:val="24"/>
        </w:rPr>
      </w:pPr>
      <w:r w:rsidRPr="001433A7">
        <w:rPr>
          <w:rFonts w:eastAsia="Times New Roman"/>
          <w:szCs w:val="24"/>
        </w:rPr>
        <w:t>1</w:t>
      </w:r>
      <w:r w:rsidR="00327DFC" w:rsidRPr="001433A7">
        <w:rPr>
          <w:rFonts w:eastAsia="Times New Roman"/>
          <w:szCs w:val="24"/>
        </w:rPr>
        <w:t>5</w:t>
      </w:r>
      <w:r w:rsidRPr="001433A7">
        <w:rPr>
          <w:rFonts w:eastAsia="Times New Roman"/>
          <w:szCs w:val="24"/>
        </w:rPr>
        <w:t>.</w:t>
      </w:r>
      <w:r w:rsidRPr="001433A7">
        <w:rPr>
          <w:rFonts w:eastAsia="Times New Roman"/>
          <w:szCs w:val="24"/>
        </w:rPr>
        <w:tab/>
      </w:r>
      <w:r w:rsidRPr="001433A7">
        <w:rPr>
          <w:rFonts w:eastAsia="Times New Roman"/>
          <w:i/>
          <w:iCs/>
          <w:szCs w:val="24"/>
        </w:rPr>
        <w:t xml:space="preserve">Prie </w:t>
      </w:r>
      <w:r w:rsidRPr="001433A7">
        <w:rPr>
          <w:rFonts w:eastAsia="Times New Roman"/>
          <w:szCs w:val="24"/>
        </w:rPr>
        <w:t xml:space="preserve">la Secrétaire exécutive de </w:t>
      </w:r>
      <w:r w:rsidRPr="001433A7">
        <w:rPr>
          <w:rFonts w:eastAsia="Times New Roman"/>
          <w:iCs/>
          <w:szCs w:val="24"/>
        </w:rPr>
        <w:t>:</w:t>
      </w:r>
    </w:p>
    <w:p w14:paraId="47057AAA" w14:textId="11524DC5" w:rsidR="007B2E79" w:rsidRPr="001433A7" w:rsidRDefault="007B2E79" w:rsidP="00772614">
      <w:pPr>
        <w:tabs>
          <w:tab w:val="clear" w:pos="567"/>
          <w:tab w:val="clear" w:pos="1134"/>
          <w:tab w:val="left" w:pos="2835"/>
          <w:tab w:val="left" w:pos="3402"/>
        </w:tabs>
        <w:spacing w:after="120"/>
        <w:ind w:left="567" w:firstLine="567"/>
        <w:rPr>
          <w:rFonts w:eastAsia="Arial Unicode MS"/>
          <w:bCs/>
          <w:color w:val="000000" w:themeColor="text1"/>
          <w:kern w:val="22"/>
          <w:u w:color="000000"/>
          <w:bdr w:val="nil"/>
        </w:rPr>
      </w:pPr>
      <w:r w:rsidRPr="001433A7">
        <w:rPr>
          <w:rFonts w:eastAsia="Arial Unicode MS"/>
          <w:bCs/>
          <w:color w:val="000000"/>
          <w:kern w:val="22"/>
          <w:u w:color="000000"/>
          <w:bdr w:val="nil"/>
        </w:rPr>
        <w:t xml:space="preserve">a) </w:t>
      </w:r>
      <w:r w:rsidRPr="001433A7">
        <w:rPr>
          <w:rFonts w:eastAsia="Arial Unicode MS"/>
          <w:bCs/>
          <w:color w:val="000000"/>
          <w:kern w:val="22"/>
          <w:u w:color="000000"/>
          <w:bdr w:val="nil"/>
        </w:rPr>
        <w:tab/>
      </w:r>
      <w:r w:rsidRPr="001433A7">
        <w:rPr>
          <w:rFonts w:eastAsia="Arial Unicode MS"/>
          <w:bCs/>
          <w:color w:val="000000" w:themeColor="text1"/>
          <w:kern w:val="22"/>
          <w:u w:color="000000"/>
          <w:bdr w:val="nil"/>
        </w:rPr>
        <w:t>Diffuser auprès des Parties, des peuples autochtones et communautés locales, des femmes et des jeunes, des informations sur les ressources financières existantes et les possibilités de financement pour l’application du Protocole de Nagoya</w:t>
      </w:r>
      <w:r w:rsidR="00132965" w:rsidRPr="001433A7">
        <w:rPr>
          <w:rFonts w:eastAsia="Arial Unicode MS"/>
          <w:bCs/>
          <w:color w:val="000000" w:themeColor="text1"/>
          <w:kern w:val="22"/>
          <w:u w:color="000000"/>
          <w:bdr w:val="nil"/>
        </w:rPr>
        <w:t> ;</w:t>
      </w:r>
    </w:p>
    <w:p w14:paraId="383F9590" w14:textId="1D7E30D9" w:rsidR="007B2E79" w:rsidRPr="001433A7" w:rsidRDefault="007B2E79" w:rsidP="00772614">
      <w:pPr>
        <w:tabs>
          <w:tab w:val="clear" w:pos="567"/>
          <w:tab w:val="clear" w:pos="1134"/>
          <w:tab w:val="left" w:pos="2835"/>
          <w:tab w:val="left" w:pos="3402"/>
        </w:tabs>
        <w:spacing w:after="120"/>
        <w:ind w:left="567" w:firstLine="567"/>
        <w:rPr>
          <w:rFonts w:eastAsia="Arial Unicode MS"/>
          <w:bCs/>
          <w:color w:val="000000" w:themeColor="text1"/>
          <w:kern w:val="22"/>
          <w:u w:color="000000"/>
          <w:bdr w:val="nil"/>
        </w:rPr>
      </w:pPr>
      <w:r w:rsidRPr="001433A7">
        <w:rPr>
          <w:rFonts w:eastAsia="Arial Unicode MS"/>
          <w:bCs/>
          <w:color w:val="000000" w:themeColor="text1"/>
          <w:kern w:val="22"/>
          <w:u w:color="000000"/>
          <w:bdr w:val="nil"/>
        </w:rPr>
        <w:t>b)</w:t>
      </w:r>
      <w:r w:rsidRPr="001433A7">
        <w:rPr>
          <w:rFonts w:eastAsia="Arial Unicode MS"/>
          <w:bCs/>
          <w:color w:val="000000" w:themeColor="text1"/>
          <w:kern w:val="22"/>
          <w:u w:color="000000"/>
          <w:bdr w:val="nil"/>
        </w:rPr>
        <w:tab/>
        <w:t xml:space="preserve">Tenir compte des résultats du deuxième exercice d’évaluation et d’examen, notamment des besoins des Parties qui sont des pays en développement, en particulier les moins avancés et les petits États insulaires en développement parmi eux, et des Parties à économie en transition, lors de l’établissement des documents relatifs au cadre quadriennal de priorités de programme axé sur les résultats pour la dixième reconstitution de la Caisse du Fonds pour l’environnement mondial qui sera transmis pour examen, à </w:t>
      </w:r>
      <w:r w:rsidRPr="001433A7">
        <w:t>sa septième réunion,</w:t>
      </w:r>
      <w:r w:rsidRPr="001433A7">
        <w:rPr>
          <w:rFonts w:eastAsia="Arial Unicode MS"/>
          <w:bCs/>
          <w:color w:val="000000" w:themeColor="text1"/>
          <w:kern w:val="22"/>
          <w:u w:color="000000"/>
          <w:bdr w:val="nil"/>
        </w:rPr>
        <w:t xml:space="preserve"> à la Conférence des Parties siégeant en tant que réunion des Parties au Protocole de Nagoya</w:t>
      </w:r>
      <w:r w:rsidR="00132965" w:rsidRPr="001433A7">
        <w:rPr>
          <w:rFonts w:eastAsia="Arial Unicode MS"/>
          <w:bCs/>
          <w:color w:val="000000" w:themeColor="text1"/>
          <w:kern w:val="22"/>
          <w:u w:color="000000"/>
          <w:bdr w:val="nil"/>
        </w:rPr>
        <w:t> ;</w:t>
      </w:r>
    </w:p>
    <w:p w14:paraId="7A598BED" w14:textId="074E1DC8" w:rsidR="007B2E79" w:rsidRPr="001433A7" w:rsidRDefault="007B2E79" w:rsidP="007B2E79">
      <w:pPr>
        <w:tabs>
          <w:tab w:val="clear" w:pos="567"/>
          <w:tab w:val="clear" w:pos="1134"/>
        </w:tabs>
        <w:spacing w:before="120" w:after="120"/>
        <w:ind w:left="567" w:firstLine="564"/>
        <w:rPr>
          <w:lang w:eastAsia="en-GB"/>
        </w:rPr>
      </w:pPr>
      <w:r w:rsidRPr="001433A7">
        <w:rPr>
          <w:lang w:eastAsia="en-GB"/>
        </w:rPr>
        <w:t>1</w:t>
      </w:r>
      <w:r w:rsidR="00327DFC" w:rsidRPr="001433A7">
        <w:rPr>
          <w:lang w:eastAsia="en-GB"/>
        </w:rPr>
        <w:t>6</w:t>
      </w:r>
      <w:r w:rsidRPr="001433A7">
        <w:rPr>
          <w:lang w:eastAsia="en-GB"/>
        </w:rPr>
        <w:t>.</w:t>
      </w:r>
      <w:r w:rsidRPr="001433A7">
        <w:rPr>
          <w:lang w:eastAsia="en-GB"/>
        </w:rPr>
        <w:tab/>
      </w:r>
      <w:r w:rsidRPr="001433A7">
        <w:rPr>
          <w:i/>
          <w:iCs/>
          <w:lang w:eastAsia="en-GB"/>
        </w:rPr>
        <w:t xml:space="preserve">Recommande </w:t>
      </w:r>
      <w:r w:rsidRPr="001433A7">
        <w:rPr>
          <w:lang w:eastAsia="en-GB"/>
        </w:rPr>
        <w:t>que la Conférence des Parties à la Convention tienne pleinement compte du Protocole de Nagoya dans le mandat qui sera adopté pour le septième examen quadriennal de l’efficacité du mécanisme de financement au titre de la Convention</w:t>
      </w:r>
      <w:r w:rsidR="002E2958" w:rsidRPr="001433A7">
        <w:rPr>
          <w:lang w:eastAsia="en-GB"/>
        </w:rPr>
        <w:t xml:space="preserve">, notamment en demandant </w:t>
      </w:r>
      <w:r w:rsidR="006358DF" w:rsidRPr="001433A7">
        <w:rPr>
          <w:lang w:eastAsia="en-GB"/>
        </w:rPr>
        <w:t xml:space="preserve">que soit réalisée une évaluation concernant l’accessibilité des ressources financières, leur efficacité et leur contribution à l’application du Protocole, ainsi que les lacunes et les difficultés liées à l’accès à de telles ressources, leur adéquation à l’égard des besoins et des priorités </w:t>
      </w:r>
      <w:r w:rsidR="00B73CF4" w:rsidRPr="001433A7">
        <w:rPr>
          <w:lang w:eastAsia="en-GB"/>
        </w:rPr>
        <w:t xml:space="preserve">au niveau </w:t>
      </w:r>
      <w:r w:rsidR="006358DF" w:rsidRPr="001433A7">
        <w:rPr>
          <w:lang w:eastAsia="en-GB"/>
        </w:rPr>
        <w:t xml:space="preserve">national, </w:t>
      </w:r>
      <w:r w:rsidR="006358DF" w:rsidRPr="001433A7">
        <w:rPr>
          <w:lang w:eastAsia="en-GB"/>
        </w:rPr>
        <w:lastRenderedPageBreak/>
        <w:t>l’efficacité des processus d’élaboration et d’exécution de</w:t>
      </w:r>
      <w:r w:rsidR="00B73CF4" w:rsidRPr="001433A7">
        <w:rPr>
          <w:lang w:eastAsia="en-GB"/>
        </w:rPr>
        <w:t>s</w:t>
      </w:r>
      <w:r w:rsidR="006358DF" w:rsidRPr="001433A7">
        <w:rPr>
          <w:lang w:eastAsia="en-GB"/>
        </w:rPr>
        <w:t xml:space="preserve"> projets, et les solutions visant à améliorer l’aide à l’application du Protocole</w:t>
      </w:r>
      <w:r w:rsidR="00132965" w:rsidRPr="001433A7">
        <w:rPr>
          <w:lang w:eastAsia="en-GB"/>
        </w:rPr>
        <w:t> ;</w:t>
      </w:r>
    </w:p>
    <w:p w14:paraId="585A0266" w14:textId="5A878322" w:rsidR="007B2E79" w:rsidRPr="001433A7" w:rsidRDefault="007B2E79" w:rsidP="007B2E79">
      <w:pPr>
        <w:tabs>
          <w:tab w:val="clear" w:pos="567"/>
          <w:tab w:val="clear" w:pos="1134"/>
        </w:tabs>
        <w:spacing w:before="120" w:after="120"/>
        <w:ind w:left="567" w:firstLine="564"/>
        <w:rPr>
          <w:i/>
          <w:iCs/>
          <w:lang w:eastAsia="en-GB"/>
        </w:rPr>
      </w:pPr>
      <w:r w:rsidRPr="001433A7">
        <w:rPr>
          <w:lang w:eastAsia="en-GB"/>
        </w:rPr>
        <w:t>1</w:t>
      </w:r>
      <w:r w:rsidR="00327DFC" w:rsidRPr="001433A7">
        <w:rPr>
          <w:lang w:eastAsia="en-GB"/>
        </w:rPr>
        <w:t>7</w:t>
      </w:r>
      <w:r w:rsidRPr="001433A7">
        <w:rPr>
          <w:lang w:eastAsia="en-GB"/>
        </w:rPr>
        <w:t>.</w:t>
      </w:r>
      <w:r w:rsidRPr="001433A7">
        <w:rPr>
          <w:lang w:eastAsia="en-GB"/>
        </w:rPr>
        <w:tab/>
      </w:r>
      <w:r w:rsidRPr="001433A7">
        <w:rPr>
          <w:i/>
          <w:iCs/>
          <w:lang w:eastAsia="en-GB"/>
        </w:rPr>
        <w:t xml:space="preserve">Invite </w:t>
      </w:r>
      <w:r w:rsidRPr="001433A7">
        <w:rPr>
          <w:lang w:eastAsia="en-GB"/>
        </w:rPr>
        <w:t xml:space="preserve">les Parties au Protocole de Nagoya à contribuer et à participer au </w:t>
      </w:r>
      <w:r w:rsidRPr="001433A7">
        <w:t>septième examen quadriennal de l’efficacité du</w:t>
      </w:r>
      <w:r w:rsidRPr="001433A7">
        <w:rPr>
          <w:lang w:eastAsia="en-GB"/>
        </w:rPr>
        <w:t xml:space="preserve"> mécanisme de financement</w:t>
      </w:r>
      <w:r w:rsidR="00840FB0" w:rsidRPr="001433A7">
        <w:rPr>
          <w:lang w:eastAsia="en-GB"/>
        </w:rPr>
        <w:t>, notamment en communiquant des informations sur la manière dont elles accèdent aux ressources disponibles et en font un usage efficace, ainsi que sur les facteurs ayant une incidence sur l’application du Protocole</w:t>
      </w:r>
      <w:r w:rsidR="00132965" w:rsidRPr="001433A7">
        <w:rPr>
          <w:lang w:eastAsia="en-GB"/>
        </w:rPr>
        <w:t> ;</w:t>
      </w:r>
    </w:p>
    <w:p w14:paraId="5234D702" w14:textId="2C87D99E" w:rsidR="004A756D" w:rsidRPr="001433A7" w:rsidRDefault="007B2E79" w:rsidP="007B2E79">
      <w:pPr>
        <w:pStyle w:val="CBDNormalNoNumber"/>
        <w:keepNext/>
        <w:tabs>
          <w:tab w:val="clear" w:pos="567"/>
          <w:tab w:val="clear" w:pos="1134"/>
        </w:tabs>
        <w:spacing w:before="120"/>
        <w:ind w:firstLine="567"/>
        <w:rPr>
          <w:rFonts w:eastAsia="Arial Unicode MS"/>
          <w:bCs/>
          <w:color w:val="000000"/>
          <w:kern w:val="22"/>
          <w:u w:color="000000"/>
          <w:bdr w:val="nil"/>
          <w:lang w:val="fr-FR"/>
        </w:rPr>
      </w:pPr>
      <w:r w:rsidRPr="001433A7">
        <w:rPr>
          <w:rFonts w:eastAsia="Times New Roman"/>
          <w:iCs/>
          <w:szCs w:val="24"/>
          <w:lang w:val="fr-FR"/>
        </w:rPr>
        <w:t>1</w:t>
      </w:r>
      <w:r w:rsidR="00327DFC" w:rsidRPr="001433A7">
        <w:rPr>
          <w:rFonts w:eastAsia="Times New Roman"/>
          <w:iCs/>
          <w:szCs w:val="24"/>
          <w:lang w:val="fr-FR"/>
        </w:rPr>
        <w:t>8</w:t>
      </w:r>
      <w:r w:rsidRPr="001433A7">
        <w:rPr>
          <w:rFonts w:eastAsia="Times New Roman"/>
          <w:iCs/>
          <w:szCs w:val="24"/>
          <w:lang w:val="fr-FR"/>
        </w:rPr>
        <w:t>.</w:t>
      </w:r>
      <w:r w:rsidRPr="001433A7">
        <w:rPr>
          <w:rFonts w:eastAsia="Times New Roman"/>
          <w:iCs/>
          <w:szCs w:val="24"/>
          <w:lang w:val="fr-FR"/>
        </w:rPr>
        <w:tab/>
      </w:r>
      <w:r w:rsidRPr="001433A7">
        <w:rPr>
          <w:i/>
          <w:iCs/>
          <w:color w:val="000000"/>
          <w:lang w:val="fr-FR"/>
        </w:rPr>
        <w:t>Invite</w:t>
      </w:r>
      <w:r w:rsidRPr="001433A7">
        <w:rPr>
          <w:color w:val="000000"/>
          <w:lang w:val="fr-FR"/>
        </w:rPr>
        <w:t xml:space="preserve"> la Conférence des Parties à la Convention à </w:t>
      </w:r>
      <w:r w:rsidR="00E15B7C">
        <w:rPr>
          <w:color w:val="000000"/>
          <w:lang w:val="fr-FR"/>
        </w:rPr>
        <w:t>prendre en compte</w:t>
      </w:r>
      <w:r w:rsidR="007979A9">
        <w:rPr>
          <w:color w:val="000000"/>
          <w:lang w:val="fr-FR"/>
        </w:rPr>
        <w:t xml:space="preserve"> </w:t>
      </w:r>
      <w:r w:rsidRPr="001433A7">
        <w:rPr>
          <w:color w:val="000000"/>
          <w:lang w:val="fr-FR"/>
        </w:rPr>
        <w:t xml:space="preserve">les fonctions essentielles du secrétariat liées au Protocole de Nagoya, </w:t>
      </w:r>
      <w:r w:rsidR="007979A9">
        <w:rPr>
          <w:color w:val="000000"/>
          <w:lang w:val="fr-FR"/>
        </w:rPr>
        <w:t>y compris</w:t>
      </w:r>
      <w:r w:rsidRPr="001433A7">
        <w:rPr>
          <w:color w:val="000000"/>
          <w:lang w:val="fr-FR"/>
        </w:rPr>
        <w:t xml:space="preserve"> le Centre d’échange sur l’accès et le partage des avantages</w:t>
      </w:r>
      <w:r w:rsidR="00E15B7C" w:rsidRPr="00E15B7C">
        <w:rPr>
          <w:color w:val="000000"/>
          <w:lang w:val="fr-FR"/>
        </w:rPr>
        <w:t xml:space="preserve">, </w:t>
      </w:r>
      <w:r w:rsidR="00D255AC">
        <w:rPr>
          <w:color w:val="000000"/>
          <w:lang w:val="fr-FR"/>
        </w:rPr>
        <w:t>dans le cadre de ses délibérations sur le</w:t>
      </w:r>
      <w:r w:rsidR="00E15B7C" w:rsidRPr="00E15B7C">
        <w:rPr>
          <w:color w:val="000000"/>
          <w:lang w:val="fr-FR"/>
        </w:rPr>
        <w:t xml:space="preserve"> programme de travail et du budget intégré</w:t>
      </w:r>
      <w:r w:rsidR="00E15B7C">
        <w:rPr>
          <w:color w:val="000000"/>
          <w:lang w:val="fr-FR"/>
        </w:rPr>
        <w:t>s</w:t>
      </w:r>
      <w:r w:rsidRPr="001433A7">
        <w:rPr>
          <w:color w:val="000000"/>
          <w:lang w:val="fr-FR"/>
        </w:rPr>
        <w:t>.</w:t>
      </w:r>
    </w:p>
    <w:p w14:paraId="5F2B403A" w14:textId="791488F9" w:rsidR="00A111D1" w:rsidRPr="001433A7" w:rsidRDefault="00A111D1" w:rsidP="00CE3E51">
      <w:pPr>
        <w:pStyle w:val="CBDNormalNoNumber"/>
        <w:spacing w:after="0"/>
        <w:jc w:val="center"/>
        <w:rPr>
          <w:lang w:val="fr-FR"/>
        </w:rPr>
      </w:pPr>
      <w:r w:rsidRPr="001433A7">
        <w:rPr>
          <w:lang w:val="fr-FR"/>
        </w:rPr>
        <w:t>__________</w:t>
      </w:r>
    </w:p>
    <w:sectPr w:rsidR="00A111D1" w:rsidRPr="001433A7" w:rsidSect="00341E39">
      <w:headerReference w:type="even" r:id="rId17"/>
      <w:headerReference w:type="default" r:id="rId18"/>
      <w:footerReference w:type="even" r:id="rId19"/>
      <w:footerReference w:type="default" r:id="rId20"/>
      <w:headerReference w:type="first" r:id="rId21"/>
      <w:pgSz w:w="12240" w:h="15840"/>
      <w:pgMar w:top="567" w:right="1440" w:bottom="1134" w:left="1440"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AE557" w14:textId="77777777" w:rsidR="003C5F05" w:rsidRPr="00EB1D50" w:rsidRDefault="003C5F05" w:rsidP="00CF1848">
      <w:r w:rsidRPr="00EB1D50">
        <w:separator/>
      </w:r>
    </w:p>
  </w:endnote>
  <w:endnote w:type="continuationSeparator" w:id="0">
    <w:p w14:paraId="13CFEAB8" w14:textId="77777777" w:rsidR="003C5F05" w:rsidRPr="00EB1D50" w:rsidRDefault="003C5F05" w:rsidP="00CF1848">
      <w:r w:rsidRPr="00EB1D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EB1D50" w:rsidRDefault="00D75CA6" w:rsidP="00D75CA6">
            <w:pPr>
              <w:pStyle w:val="Pieddepage"/>
              <w:jc w:val="left"/>
            </w:pPr>
            <w:r w:rsidRPr="00EB1D50">
              <w:rPr>
                <w:szCs w:val="20"/>
              </w:rPr>
              <w:fldChar w:fldCharType="begin"/>
            </w:r>
            <w:r w:rsidRPr="00EB1D50">
              <w:rPr>
                <w:szCs w:val="20"/>
              </w:rPr>
              <w:instrText xml:space="preserve"> PAGE </w:instrText>
            </w:r>
            <w:r w:rsidRPr="00EB1D50">
              <w:rPr>
                <w:szCs w:val="20"/>
              </w:rPr>
              <w:fldChar w:fldCharType="separate"/>
            </w:r>
            <w:r w:rsidRPr="00E67020">
              <w:rPr>
                <w:szCs w:val="20"/>
              </w:rPr>
              <w:t>2</w:t>
            </w:r>
            <w:r w:rsidRPr="00EB1D50">
              <w:rPr>
                <w:szCs w:val="20"/>
              </w:rPr>
              <w:fldChar w:fldCharType="end"/>
            </w:r>
            <w:r w:rsidRPr="00EB1D50">
              <w:rPr>
                <w:szCs w:val="20"/>
              </w:rPr>
              <w:t>/</w:t>
            </w:r>
            <w:r w:rsidRPr="00EB1D50">
              <w:rPr>
                <w:szCs w:val="20"/>
              </w:rPr>
              <w:fldChar w:fldCharType="begin"/>
            </w:r>
            <w:r w:rsidRPr="00EB1D50">
              <w:rPr>
                <w:szCs w:val="20"/>
              </w:rPr>
              <w:instrText xml:space="preserve"> NUMPAGES  </w:instrText>
            </w:r>
            <w:r w:rsidRPr="00EB1D50">
              <w:rPr>
                <w:szCs w:val="20"/>
              </w:rPr>
              <w:fldChar w:fldCharType="separate"/>
            </w:r>
            <w:r w:rsidRPr="00E67020">
              <w:rPr>
                <w:szCs w:val="20"/>
              </w:rPr>
              <w:t>2</w:t>
            </w:r>
            <w:r w:rsidRPr="00EB1D5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EB1D50" w:rsidRDefault="00D75CA6" w:rsidP="00CE3E51">
        <w:pPr>
          <w:pStyle w:val="Pieddepage"/>
          <w:jc w:val="right"/>
        </w:pPr>
        <w:r w:rsidRPr="00EB1D50">
          <w:rPr>
            <w:szCs w:val="20"/>
          </w:rPr>
          <w:fldChar w:fldCharType="begin"/>
        </w:r>
        <w:r w:rsidRPr="00EB1D50">
          <w:rPr>
            <w:szCs w:val="20"/>
          </w:rPr>
          <w:instrText xml:space="preserve"> PAGE </w:instrText>
        </w:r>
        <w:r w:rsidRPr="00EB1D50">
          <w:rPr>
            <w:szCs w:val="20"/>
          </w:rPr>
          <w:fldChar w:fldCharType="separate"/>
        </w:r>
        <w:r w:rsidRPr="00EB1D50">
          <w:rPr>
            <w:szCs w:val="20"/>
          </w:rPr>
          <w:t>2</w:t>
        </w:r>
        <w:r w:rsidRPr="00EB1D50">
          <w:rPr>
            <w:szCs w:val="20"/>
          </w:rPr>
          <w:fldChar w:fldCharType="end"/>
        </w:r>
        <w:r w:rsidRPr="00EB1D50">
          <w:rPr>
            <w:szCs w:val="20"/>
          </w:rPr>
          <w:t>/</w:t>
        </w:r>
        <w:r w:rsidRPr="00EB1D50">
          <w:rPr>
            <w:szCs w:val="20"/>
          </w:rPr>
          <w:fldChar w:fldCharType="begin"/>
        </w:r>
        <w:r w:rsidRPr="00EB1D50">
          <w:rPr>
            <w:szCs w:val="20"/>
          </w:rPr>
          <w:instrText xml:space="preserve"> NUMPAGES  </w:instrText>
        </w:r>
        <w:r w:rsidRPr="00EB1D50">
          <w:rPr>
            <w:szCs w:val="20"/>
          </w:rPr>
          <w:fldChar w:fldCharType="separate"/>
        </w:r>
        <w:r w:rsidRPr="00EB1D50">
          <w:rPr>
            <w:szCs w:val="20"/>
          </w:rPr>
          <w:t>3</w:t>
        </w:r>
        <w:r w:rsidRPr="00EB1D5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A2316" w14:textId="77777777" w:rsidR="003C5F05" w:rsidRPr="00EB1D50" w:rsidRDefault="003C5F05" w:rsidP="00CF1848">
      <w:r w:rsidRPr="00EB1D50">
        <w:separator/>
      </w:r>
    </w:p>
  </w:footnote>
  <w:footnote w:type="continuationSeparator" w:id="0">
    <w:p w14:paraId="36C64B99" w14:textId="77777777" w:rsidR="003C5F05" w:rsidRPr="00EB1D50" w:rsidRDefault="003C5F05" w:rsidP="00CF1848">
      <w:r w:rsidRPr="00EB1D50">
        <w:continuationSeparator/>
      </w:r>
    </w:p>
  </w:footnote>
  <w:footnote w:id="1">
    <w:p w14:paraId="7519E683" w14:textId="77777777" w:rsidR="007B2E79" w:rsidRPr="00EB1D50" w:rsidRDefault="007B2E79" w:rsidP="007B2E79">
      <w:pPr>
        <w:pStyle w:val="Notedebasdepage"/>
      </w:pPr>
      <w:r w:rsidRPr="00E67020">
        <w:rPr>
          <w:rStyle w:val="Appelnotedebasdep"/>
          <w:lang w:val="fr-FR"/>
        </w:rPr>
        <w:footnoteRef/>
      </w:r>
      <w:r w:rsidRPr="00EB1D50">
        <w:t xml:space="preserve"> Nations Unies, </w:t>
      </w:r>
      <w:r w:rsidRPr="00EB1D50">
        <w:rPr>
          <w:i/>
          <w:iCs/>
        </w:rPr>
        <w:t>Recueil des Traités</w:t>
      </w:r>
      <w:r w:rsidRPr="00EB1D50">
        <w:t>, vol. 3008, n° 30619.</w:t>
      </w:r>
    </w:p>
  </w:footnote>
  <w:footnote w:id="2">
    <w:p w14:paraId="75073368" w14:textId="77777777" w:rsidR="007B2E79" w:rsidRPr="00E67020" w:rsidRDefault="007B2E79" w:rsidP="007B2E79">
      <w:pPr>
        <w:pStyle w:val="Notedebasdepage"/>
      </w:pPr>
      <w:r w:rsidRPr="00EB1D50">
        <w:rPr>
          <w:rStyle w:val="Appelnotedebasdep"/>
          <w:lang w:val="fr-FR"/>
        </w:rPr>
        <w:footnoteRef/>
      </w:r>
      <w:r w:rsidRPr="00E67020">
        <w:t xml:space="preserve"> Ibid., vol. 1760, n</w:t>
      </w:r>
      <w:r w:rsidRPr="00E67020">
        <w:rPr>
          <w:vertAlign w:val="superscript"/>
        </w:rPr>
        <w:t>o</w:t>
      </w:r>
      <w:r w:rsidRPr="00E67020">
        <w:t xml:space="preserve"> 30619.</w:t>
      </w:r>
    </w:p>
  </w:footnote>
  <w:footnote w:id="3">
    <w:p w14:paraId="304C23BA" w14:textId="77777777" w:rsidR="007B2E79" w:rsidRPr="00E67020" w:rsidRDefault="007B2E79" w:rsidP="007B2E79">
      <w:pPr>
        <w:pStyle w:val="Notedebasdepage"/>
      </w:pPr>
      <w:r w:rsidRPr="00EB1D50">
        <w:rPr>
          <w:rStyle w:val="Appelnotedebasdep"/>
          <w:lang w:val="fr-FR"/>
        </w:rPr>
        <w:footnoteRef/>
      </w:r>
      <w:r w:rsidRPr="00E67020">
        <w:t xml:space="preserve"> </w:t>
      </w:r>
      <w:hyperlink r:id="rId1" w:history="1">
        <w:r w:rsidRPr="00E67020">
          <w:rPr>
            <w:rStyle w:val="Lienhypertexte"/>
            <w:lang w:val="fr-FR"/>
          </w:rPr>
          <w:t>CBD/COP/17/5/Add.1</w:t>
        </w:r>
      </w:hyperlink>
      <w:r w:rsidRPr="00E67020">
        <w:t>.</w:t>
      </w:r>
    </w:p>
  </w:footnote>
  <w:footnote w:id="4">
    <w:p w14:paraId="740375A7" w14:textId="77777777" w:rsidR="007B2E79" w:rsidRPr="00EB1D50" w:rsidRDefault="007B2E79" w:rsidP="007B2E79">
      <w:pPr>
        <w:pStyle w:val="Notedebasdepage"/>
      </w:pPr>
      <w:r w:rsidRPr="00EB1D50">
        <w:rPr>
          <w:rStyle w:val="Appelnotedebasdep"/>
          <w:lang w:val="fr-FR"/>
        </w:rPr>
        <w:footnoteRef/>
      </w:r>
      <w:r w:rsidRPr="00EB1D50">
        <w:t xml:space="preserve"> Décision </w:t>
      </w:r>
      <w:hyperlink r:id="rId2" w:history="1">
        <w:r w:rsidRPr="00EB1D50">
          <w:rPr>
            <w:rStyle w:val="Lienhypertexte"/>
            <w:lang w:val="fr-FR"/>
          </w:rPr>
          <w:t>16/33</w:t>
        </w:r>
      </w:hyperlink>
      <w:r w:rsidRPr="00EB1D50">
        <w:t>, annexe I.</w:t>
      </w:r>
    </w:p>
  </w:footnote>
  <w:footnote w:id="5">
    <w:p w14:paraId="43C574C3" w14:textId="77777777" w:rsidR="007B2E79" w:rsidRPr="00103E63" w:rsidRDefault="007B2E79" w:rsidP="007B2E79">
      <w:pPr>
        <w:pStyle w:val="Notedebasdepage"/>
      </w:pPr>
      <w:r w:rsidRPr="00E67020">
        <w:rPr>
          <w:rStyle w:val="Appelnotedebasdep"/>
          <w:lang w:val="fr-FR"/>
        </w:rPr>
        <w:footnoteRef/>
      </w:r>
      <w:r w:rsidRPr="00EB1D50">
        <w:t xml:space="preserve"> </w:t>
      </w:r>
      <w:hyperlink r:id="rId3" w:history="1">
        <w:r w:rsidRPr="00EB1D50">
          <w:rPr>
            <w:rStyle w:val="Lienhypertexte"/>
            <w:rFonts w:eastAsia="Arial Unicode MS"/>
            <w:kern w:val="22"/>
            <w:bdr w:val="nil"/>
            <w:lang w:val="fr-FR"/>
          </w:rPr>
          <w:t>CBD/SBI/7/7</w:t>
        </w:r>
      </w:hyperlink>
      <w:r w:rsidRPr="00EB1D50">
        <w:rPr>
          <w:rFonts w:eastAsia="Times New Roman"/>
          <w:iCs/>
          <w:szCs w:val="24"/>
        </w:rPr>
        <w:t>, annexes I et II</w:t>
      </w:r>
      <w:r w:rsidRPr="00EB1D50">
        <w:rPr>
          <w:rFonts w:eastAsia="Arial Unicode MS"/>
          <w:color w:val="000000"/>
          <w:kern w:val="22"/>
          <w:u w:color="000000"/>
          <w:bdr w:val="ni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94B" w14:textId="39B3EA1D" w:rsidR="00534681" w:rsidRPr="00EB1D50" w:rsidRDefault="003C5F05" w:rsidP="007C4951">
    <w:pPr>
      <w:pStyle w:val="En-tte"/>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042107" w:rsidRPr="00EB1D50">
          <w:rPr>
            <w:szCs w:val="20"/>
          </w:rPr>
          <w:t>CBD/NP/MOP/6/</w:t>
        </w:r>
        <w:r w:rsidR="00FF16FC">
          <w:rPr>
            <w:szCs w:val="20"/>
          </w:rPr>
          <w:t>L</w:t>
        </w:r>
        <w:r w:rsidR="00042107" w:rsidRPr="00EB1D50">
          <w:rPr>
            <w:szCs w:val="20"/>
          </w:rPr>
          <w:t>.</w:t>
        </w:r>
        <w:r w:rsidR="00FF16FC">
          <w:rPr>
            <w:szCs w:val="20"/>
          </w:rPr>
          <w:t>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2D135" w14:textId="644A711C" w:rsidR="009505C9" w:rsidRPr="00EB1D50" w:rsidRDefault="003C5F05" w:rsidP="007C4951">
    <w:pPr>
      <w:pStyle w:val="En-tte"/>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FF16FC">
          <w:t>CBD/NP/MOP/6/L.6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779D7" w14:textId="77777777" w:rsidR="008C7B54" w:rsidRPr="00EB1D50" w:rsidRDefault="008C7B54" w:rsidP="00CE3E51">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103E"/>
    <w:rsid w:val="0000313C"/>
    <w:rsid w:val="0000666F"/>
    <w:rsid w:val="00010DFB"/>
    <w:rsid w:val="0001610F"/>
    <w:rsid w:val="00020E5F"/>
    <w:rsid w:val="00021245"/>
    <w:rsid w:val="0002391E"/>
    <w:rsid w:val="00024892"/>
    <w:rsid w:val="000268D5"/>
    <w:rsid w:val="00030BF7"/>
    <w:rsid w:val="00032061"/>
    <w:rsid w:val="00032602"/>
    <w:rsid w:val="000368B2"/>
    <w:rsid w:val="0004043D"/>
    <w:rsid w:val="000404D3"/>
    <w:rsid w:val="00042107"/>
    <w:rsid w:val="00042C03"/>
    <w:rsid w:val="00050599"/>
    <w:rsid w:val="00050E51"/>
    <w:rsid w:val="0005472C"/>
    <w:rsid w:val="00055CF5"/>
    <w:rsid w:val="0006196C"/>
    <w:rsid w:val="00062258"/>
    <w:rsid w:val="0007171B"/>
    <w:rsid w:val="00084947"/>
    <w:rsid w:val="00085273"/>
    <w:rsid w:val="000861D3"/>
    <w:rsid w:val="000867B5"/>
    <w:rsid w:val="00087396"/>
    <w:rsid w:val="00093971"/>
    <w:rsid w:val="00096028"/>
    <w:rsid w:val="000960F3"/>
    <w:rsid w:val="00096384"/>
    <w:rsid w:val="000A33DC"/>
    <w:rsid w:val="000A69D6"/>
    <w:rsid w:val="000A706C"/>
    <w:rsid w:val="000A7A4D"/>
    <w:rsid w:val="000A7D40"/>
    <w:rsid w:val="000B3AE6"/>
    <w:rsid w:val="000C193D"/>
    <w:rsid w:val="000C1DD8"/>
    <w:rsid w:val="000D03F7"/>
    <w:rsid w:val="000D0F68"/>
    <w:rsid w:val="000D21EB"/>
    <w:rsid w:val="000D7C97"/>
    <w:rsid w:val="000E1859"/>
    <w:rsid w:val="000E2F21"/>
    <w:rsid w:val="000E430E"/>
    <w:rsid w:val="000E5B68"/>
    <w:rsid w:val="000E6328"/>
    <w:rsid w:val="000E673A"/>
    <w:rsid w:val="000F6945"/>
    <w:rsid w:val="000F74F5"/>
    <w:rsid w:val="000F78FC"/>
    <w:rsid w:val="001017B7"/>
    <w:rsid w:val="00102820"/>
    <w:rsid w:val="001031DF"/>
    <w:rsid w:val="00105372"/>
    <w:rsid w:val="001054A6"/>
    <w:rsid w:val="00105649"/>
    <w:rsid w:val="0010564B"/>
    <w:rsid w:val="00105A86"/>
    <w:rsid w:val="0010614F"/>
    <w:rsid w:val="00107364"/>
    <w:rsid w:val="001078A1"/>
    <w:rsid w:val="00107A2E"/>
    <w:rsid w:val="001106C4"/>
    <w:rsid w:val="00115F36"/>
    <w:rsid w:val="001166E0"/>
    <w:rsid w:val="001216CC"/>
    <w:rsid w:val="00123725"/>
    <w:rsid w:val="001248BE"/>
    <w:rsid w:val="00124A72"/>
    <w:rsid w:val="00124D46"/>
    <w:rsid w:val="00126C89"/>
    <w:rsid w:val="00126D73"/>
    <w:rsid w:val="001312AD"/>
    <w:rsid w:val="00131E7A"/>
    <w:rsid w:val="00132417"/>
    <w:rsid w:val="00132965"/>
    <w:rsid w:val="00133C47"/>
    <w:rsid w:val="001344F7"/>
    <w:rsid w:val="00134621"/>
    <w:rsid w:val="00134846"/>
    <w:rsid w:val="00134EA6"/>
    <w:rsid w:val="001433A7"/>
    <w:rsid w:val="00144784"/>
    <w:rsid w:val="001469CB"/>
    <w:rsid w:val="00147872"/>
    <w:rsid w:val="001479EF"/>
    <w:rsid w:val="001540A0"/>
    <w:rsid w:val="0015569E"/>
    <w:rsid w:val="00161DDB"/>
    <w:rsid w:val="00172AF6"/>
    <w:rsid w:val="0017632B"/>
    <w:rsid w:val="00176CEE"/>
    <w:rsid w:val="00181C27"/>
    <w:rsid w:val="00182452"/>
    <w:rsid w:val="00182CD1"/>
    <w:rsid w:val="001847AD"/>
    <w:rsid w:val="00186DD8"/>
    <w:rsid w:val="00191F5C"/>
    <w:rsid w:val="0019282C"/>
    <w:rsid w:val="001945EF"/>
    <w:rsid w:val="001955C6"/>
    <w:rsid w:val="00195B7F"/>
    <w:rsid w:val="001966E0"/>
    <w:rsid w:val="001967D6"/>
    <w:rsid w:val="001A05F9"/>
    <w:rsid w:val="001A35EC"/>
    <w:rsid w:val="001A390D"/>
    <w:rsid w:val="001A4170"/>
    <w:rsid w:val="001A4B58"/>
    <w:rsid w:val="001A6BFE"/>
    <w:rsid w:val="001A7D68"/>
    <w:rsid w:val="001B13FE"/>
    <w:rsid w:val="001B2FFB"/>
    <w:rsid w:val="001B7565"/>
    <w:rsid w:val="001B7ECE"/>
    <w:rsid w:val="001C0B9C"/>
    <w:rsid w:val="001C4292"/>
    <w:rsid w:val="001D001A"/>
    <w:rsid w:val="001D1711"/>
    <w:rsid w:val="001D2E79"/>
    <w:rsid w:val="001D4FAE"/>
    <w:rsid w:val="001E63A8"/>
    <w:rsid w:val="001F0B3A"/>
    <w:rsid w:val="001F15A4"/>
    <w:rsid w:val="001F34E3"/>
    <w:rsid w:val="001F767F"/>
    <w:rsid w:val="0020199E"/>
    <w:rsid w:val="00203221"/>
    <w:rsid w:val="002035B5"/>
    <w:rsid w:val="002054EB"/>
    <w:rsid w:val="00206CAC"/>
    <w:rsid w:val="00212E64"/>
    <w:rsid w:val="002152D4"/>
    <w:rsid w:val="00217810"/>
    <w:rsid w:val="00221D0C"/>
    <w:rsid w:val="00223134"/>
    <w:rsid w:val="0022436D"/>
    <w:rsid w:val="00227D0F"/>
    <w:rsid w:val="00227D4E"/>
    <w:rsid w:val="00230512"/>
    <w:rsid w:val="0023795E"/>
    <w:rsid w:val="00244788"/>
    <w:rsid w:val="00247298"/>
    <w:rsid w:val="00254B22"/>
    <w:rsid w:val="00263E2B"/>
    <w:rsid w:val="002675A5"/>
    <w:rsid w:val="00267AEB"/>
    <w:rsid w:val="0028027B"/>
    <w:rsid w:val="00281BA4"/>
    <w:rsid w:val="00284A06"/>
    <w:rsid w:val="002868F6"/>
    <w:rsid w:val="002872D6"/>
    <w:rsid w:val="00291EE5"/>
    <w:rsid w:val="00293F81"/>
    <w:rsid w:val="0029463C"/>
    <w:rsid w:val="00295120"/>
    <w:rsid w:val="002A2282"/>
    <w:rsid w:val="002A24F8"/>
    <w:rsid w:val="002A35EF"/>
    <w:rsid w:val="002B0C13"/>
    <w:rsid w:val="002B2D5E"/>
    <w:rsid w:val="002B3C97"/>
    <w:rsid w:val="002C2739"/>
    <w:rsid w:val="002D1EA0"/>
    <w:rsid w:val="002D36DB"/>
    <w:rsid w:val="002D391C"/>
    <w:rsid w:val="002D428A"/>
    <w:rsid w:val="002D664E"/>
    <w:rsid w:val="002D73EE"/>
    <w:rsid w:val="002E2958"/>
    <w:rsid w:val="002E3258"/>
    <w:rsid w:val="002F7246"/>
    <w:rsid w:val="002F745C"/>
    <w:rsid w:val="002F7FD9"/>
    <w:rsid w:val="003008FE"/>
    <w:rsid w:val="00301239"/>
    <w:rsid w:val="0030169D"/>
    <w:rsid w:val="003020A2"/>
    <w:rsid w:val="00302183"/>
    <w:rsid w:val="003060EB"/>
    <w:rsid w:val="003153EB"/>
    <w:rsid w:val="003153EE"/>
    <w:rsid w:val="0032136E"/>
    <w:rsid w:val="00321985"/>
    <w:rsid w:val="0032440D"/>
    <w:rsid w:val="003248DA"/>
    <w:rsid w:val="003268DD"/>
    <w:rsid w:val="00326B6B"/>
    <w:rsid w:val="00327466"/>
    <w:rsid w:val="00327DFC"/>
    <w:rsid w:val="00327FF1"/>
    <w:rsid w:val="00330E79"/>
    <w:rsid w:val="00331E56"/>
    <w:rsid w:val="0033435A"/>
    <w:rsid w:val="0033526D"/>
    <w:rsid w:val="0034102F"/>
    <w:rsid w:val="003412B8"/>
    <w:rsid w:val="003415F2"/>
    <w:rsid w:val="003417F9"/>
    <w:rsid w:val="00341DC0"/>
    <w:rsid w:val="00341E39"/>
    <w:rsid w:val="00343572"/>
    <w:rsid w:val="00345636"/>
    <w:rsid w:val="00346E15"/>
    <w:rsid w:val="003470DA"/>
    <w:rsid w:val="0034784D"/>
    <w:rsid w:val="0035061A"/>
    <w:rsid w:val="00351205"/>
    <w:rsid w:val="003567E1"/>
    <w:rsid w:val="003613A3"/>
    <w:rsid w:val="00365E74"/>
    <w:rsid w:val="00366A98"/>
    <w:rsid w:val="00367746"/>
    <w:rsid w:val="0037254A"/>
    <w:rsid w:val="00372F74"/>
    <w:rsid w:val="003866E4"/>
    <w:rsid w:val="00397678"/>
    <w:rsid w:val="003A053E"/>
    <w:rsid w:val="003A12FC"/>
    <w:rsid w:val="003A5AD6"/>
    <w:rsid w:val="003B1836"/>
    <w:rsid w:val="003B2809"/>
    <w:rsid w:val="003B4CB4"/>
    <w:rsid w:val="003B619E"/>
    <w:rsid w:val="003B68BA"/>
    <w:rsid w:val="003B73C6"/>
    <w:rsid w:val="003C5F05"/>
    <w:rsid w:val="003C6147"/>
    <w:rsid w:val="003D333F"/>
    <w:rsid w:val="003E5650"/>
    <w:rsid w:val="003F11AD"/>
    <w:rsid w:val="003F1A75"/>
    <w:rsid w:val="003F20F5"/>
    <w:rsid w:val="003F28C2"/>
    <w:rsid w:val="003F7224"/>
    <w:rsid w:val="003F7EBB"/>
    <w:rsid w:val="004032D9"/>
    <w:rsid w:val="00404340"/>
    <w:rsid w:val="004070AF"/>
    <w:rsid w:val="004112B3"/>
    <w:rsid w:val="00411CD8"/>
    <w:rsid w:val="00413827"/>
    <w:rsid w:val="0041436B"/>
    <w:rsid w:val="004223F8"/>
    <w:rsid w:val="00422B6B"/>
    <w:rsid w:val="00423DDC"/>
    <w:rsid w:val="00425AD4"/>
    <w:rsid w:val="00426D6F"/>
    <w:rsid w:val="00426F86"/>
    <w:rsid w:val="00427954"/>
    <w:rsid w:val="00427D21"/>
    <w:rsid w:val="00435C67"/>
    <w:rsid w:val="00437CFD"/>
    <w:rsid w:val="00440CEF"/>
    <w:rsid w:val="0044275C"/>
    <w:rsid w:val="00442D38"/>
    <w:rsid w:val="0044344A"/>
    <w:rsid w:val="00443FA0"/>
    <w:rsid w:val="00446304"/>
    <w:rsid w:val="00447C3D"/>
    <w:rsid w:val="00447F4A"/>
    <w:rsid w:val="0045375F"/>
    <w:rsid w:val="00455322"/>
    <w:rsid w:val="00456180"/>
    <w:rsid w:val="00456F67"/>
    <w:rsid w:val="004644C2"/>
    <w:rsid w:val="004660CB"/>
    <w:rsid w:val="0046637E"/>
    <w:rsid w:val="00467F9C"/>
    <w:rsid w:val="00471548"/>
    <w:rsid w:val="004747B4"/>
    <w:rsid w:val="0048239B"/>
    <w:rsid w:val="00485C5C"/>
    <w:rsid w:val="00490839"/>
    <w:rsid w:val="004911F9"/>
    <w:rsid w:val="0049161D"/>
    <w:rsid w:val="00495A0F"/>
    <w:rsid w:val="004A122B"/>
    <w:rsid w:val="004A6CF4"/>
    <w:rsid w:val="004A756D"/>
    <w:rsid w:val="004A7F63"/>
    <w:rsid w:val="004B0313"/>
    <w:rsid w:val="004B40E4"/>
    <w:rsid w:val="004B6DEB"/>
    <w:rsid w:val="004C44E0"/>
    <w:rsid w:val="004C5B66"/>
    <w:rsid w:val="004D4D99"/>
    <w:rsid w:val="004D5136"/>
    <w:rsid w:val="004D7861"/>
    <w:rsid w:val="004E0228"/>
    <w:rsid w:val="004E525F"/>
    <w:rsid w:val="004E5361"/>
    <w:rsid w:val="004E5A60"/>
    <w:rsid w:val="004E7AA6"/>
    <w:rsid w:val="004F1CF6"/>
    <w:rsid w:val="004F5B36"/>
    <w:rsid w:val="004F71C3"/>
    <w:rsid w:val="00507859"/>
    <w:rsid w:val="0051006C"/>
    <w:rsid w:val="00511920"/>
    <w:rsid w:val="005140B7"/>
    <w:rsid w:val="005146AE"/>
    <w:rsid w:val="00514E09"/>
    <w:rsid w:val="00516103"/>
    <w:rsid w:val="00521FB3"/>
    <w:rsid w:val="005256A7"/>
    <w:rsid w:val="00526783"/>
    <w:rsid w:val="00526E36"/>
    <w:rsid w:val="005344C6"/>
    <w:rsid w:val="00534681"/>
    <w:rsid w:val="00536AA3"/>
    <w:rsid w:val="00536C58"/>
    <w:rsid w:val="00537FBC"/>
    <w:rsid w:val="00545C0A"/>
    <w:rsid w:val="00547DEF"/>
    <w:rsid w:val="00550BA6"/>
    <w:rsid w:val="00555F91"/>
    <w:rsid w:val="0056068E"/>
    <w:rsid w:val="00563047"/>
    <w:rsid w:val="00563442"/>
    <w:rsid w:val="0056348E"/>
    <w:rsid w:val="005649FD"/>
    <w:rsid w:val="00565625"/>
    <w:rsid w:val="00565B42"/>
    <w:rsid w:val="0056693A"/>
    <w:rsid w:val="00574079"/>
    <w:rsid w:val="00581EAC"/>
    <w:rsid w:val="00583E5B"/>
    <w:rsid w:val="0058511B"/>
    <w:rsid w:val="005877F3"/>
    <w:rsid w:val="005A2CD4"/>
    <w:rsid w:val="005A2D38"/>
    <w:rsid w:val="005A3154"/>
    <w:rsid w:val="005A4AFC"/>
    <w:rsid w:val="005A5467"/>
    <w:rsid w:val="005A6843"/>
    <w:rsid w:val="005B188A"/>
    <w:rsid w:val="005B352D"/>
    <w:rsid w:val="005B35E2"/>
    <w:rsid w:val="005B6949"/>
    <w:rsid w:val="005C0B81"/>
    <w:rsid w:val="005C4CE6"/>
    <w:rsid w:val="005C5E2E"/>
    <w:rsid w:val="005C73E0"/>
    <w:rsid w:val="005D2C13"/>
    <w:rsid w:val="005D35DE"/>
    <w:rsid w:val="005D4FEE"/>
    <w:rsid w:val="005F0D2B"/>
    <w:rsid w:val="005F66B8"/>
    <w:rsid w:val="00602BF8"/>
    <w:rsid w:val="00604290"/>
    <w:rsid w:val="0060755D"/>
    <w:rsid w:val="006122BA"/>
    <w:rsid w:val="00617C75"/>
    <w:rsid w:val="0062108D"/>
    <w:rsid w:val="00624473"/>
    <w:rsid w:val="0062509A"/>
    <w:rsid w:val="00633F8A"/>
    <w:rsid w:val="006358DF"/>
    <w:rsid w:val="00637700"/>
    <w:rsid w:val="00642599"/>
    <w:rsid w:val="0064472F"/>
    <w:rsid w:val="006478BF"/>
    <w:rsid w:val="006513E0"/>
    <w:rsid w:val="006723C2"/>
    <w:rsid w:val="00672880"/>
    <w:rsid w:val="006823B0"/>
    <w:rsid w:val="006862CD"/>
    <w:rsid w:val="00691543"/>
    <w:rsid w:val="00693FF5"/>
    <w:rsid w:val="006A0820"/>
    <w:rsid w:val="006A34E4"/>
    <w:rsid w:val="006A60D7"/>
    <w:rsid w:val="006A73C1"/>
    <w:rsid w:val="006B2290"/>
    <w:rsid w:val="006B3C95"/>
    <w:rsid w:val="006C3B2F"/>
    <w:rsid w:val="006C4513"/>
    <w:rsid w:val="006D0BB4"/>
    <w:rsid w:val="006D11DB"/>
    <w:rsid w:val="006D1A5F"/>
    <w:rsid w:val="006D28E4"/>
    <w:rsid w:val="006D2B1D"/>
    <w:rsid w:val="006D5EA4"/>
    <w:rsid w:val="006E1FBB"/>
    <w:rsid w:val="006F354B"/>
    <w:rsid w:val="006F6A82"/>
    <w:rsid w:val="006F7F6C"/>
    <w:rsid w:val="007024BF"/>
    <w:rsid w:val="0070277A"/>
    <w:rsid w:val="00704452"/>
    <w:rsid w:val="00705884"/>
    <w:rsid w:val="007079FE"/>
    <w:rsid w:val="00707A27"/>
    <w:rsid w:val="007124F8"/>
    <w:rsid w:val="007140CE"/>
    <w:rsid w:val="00714A48"/>
    <w:rsid w:val="007156F3"/>
    <w:rsid w:val="00717535"/>
    <w:rsid w:val="00717D88"/>
    <w:rsid w:val="00720348"/>
    <w:rsid w:val="00720E54"/>
    <w:rsid w:val="00722819"/>
    <w:rsid w:val="00726A43"/>
    <w:rsid w:val="0073069C"/>
    <w:rsid w:val="007351D0"/>
    <w:rsid w:val="00735206"/>
    <w:rsid w:val="00736B52"/>
    <w:rsid w:val="00740FD8"/>
    <w:rsid w:val="00741E73"/>
    <w:rsid w:val="00742127"/>
    <w:rsid w:val="00746482"/>
    <w:rsid w:val="0075094C"/>
    <w:rsid w:val="007533C0"/>
    <w:rsid w:val="007557BA"/>
    <w:rsid w:val="007618BF"/>
    <w:rsid w:val="00761A81"/>
    <w:rsid w:val="00762241"/>
    <w:rsid w:val="00762961"/>
    <w:rsid w:val="00762D35"/>
    <w:rsid w:val="00763D7F"/>
    <w:rsid w:val="007651A1"/>
    <w:rsid w:val="00772614"/>
    <w:rsid w:val="007728F6"/>
    <w:rsid w:val="00772C64"/>
    <w:rsid w:val="00776F57"/>
    <w:rsid w:val="00780B0E"/>
    <w:rsid w:val="007815E2"/>
    <w:rsid w:val="0078196B"/>
    <w:rsid w:val="00781A88"/>
    <w:rsid w:val="007856D6"/>
    <w:rsid w:val="00786056"/>
    <w:rsid w:val="00786609"/>
    <w:rsid w:val="00792498"/>
    <w:rsid w:val="007929EB"/>
    <w:rsid w:val="007942D3"/>
    <w:rsid w:val="007979A9"/>
    <w:rsid w:val="007A3EFF"/>
    <w:rsid w:val="007A45D9"/>
    <w:rsid w:val="007A5271"/>
    <w:rsid w:val="007B2099"/>
    <w:rsid w:val="007B2E79"/>
    <w:rsid w:val="007B41CA"/>
    <w:rsid w:val="007B4B16"/>
    <w:rsid w:val="007B61A4"/>
    <w:rsid w:val="007B6C09"/>
    <w:rsid w:val="007B7741"/>
    <w:rsid w:val="007C1B4C"/>
    <w:rsid w:val="007C1D38"/>
    <w:rsid w:val="007C3CFA"/>
    <w:rsid w:val="007C40DC"/>
    <w:rsid w:val="007C4809"/>
    <w:rsid w:val="007C4951"/>
    <w:rsid w:val="007C5421"/>
    <w:rsid w:val="007D05EA"/>
    <w:rsid w:val="007D19F6"/>
    <w:rsid w:val="007D1F2D"/>
    <w:rsid w:val="007D2036"/>
    <w:rsid w:val="007D74A1"/>
    <w:rsid w:val="007D768C"/>
    <w:rsid w:val="007E09DA"/>
    <w:rsid w:val="007E0EE1"/>
    <w:rsid w:val="007E0F8A"/>
    <w:rsid w:val="007E4B47"/>
    <w:rsid w:val="007F1A6C"/>
    <w:rsid w:val="007F3287"/>
    <w:rsid w:val="007F6124"/>
    <w:rsid w:val="007F718D"/>
    <w:rsid w:val="007F731B"/>
    <w:rsid w:val="00801FAD"/>
    <w:rsid w:val="00803503"/>
    <w:rsid w:val="00804BF0"/>
    <w:rsid w:val="008165A9"/>
    <w:rsid w:val="008178B6"/>
    <w:rsid w:val="00820BA2"/>
    <w:rsid w:val="0082179C"/>
    <w:rsid w:val="0082252C"/>
    <w:rsid w:val="00826F0B"/>
    <w:rsid w:val="00840FB0"/>
    <w:rsid w:val="00846C64"/>
    <w:rsid w:val="00846D47"/>
    <w:rsid w:val="00855367"/>
    <w:rsid w:val="00856ABB"/>
    <w:rsid w:val="008614FE"/>
    <w:rsid w:val="008615B2"/>
    <w:rsid w:val="00865B74"/>
    <w:rsid w:val="00866063"/>
    <w:rsid w:val="00873BB9"/>
    <w:rsid w:val="0087796A"/>
    <w:rsid w:val="00883AB0"/>
    <w:rsid w:val="0088508E"/>
    <w:rsid w:val="008852E3"/>
    <w:rsid w:val="00887A2B"/>
    <w:rsid w:val="0089098C"/>
    <w:rsid w:val="008912FD"/>
    <w:rsid w:val="00896012"/>
    <w:rsid w:val="00896FFE"/>
    <w:rsid w:val="008974F0"/>
    <w:rsid w:val="008A0FC1"/>
    <w:rsid w:val="008A1499"/>
    <w:rsid w:val="008A2CC7"/>
    <w:rsid w:val="008B012A"/>
    <w:rsid w:val="008B4310"/>
    <w:rsid w:val="008B60A3"/>
    <w:rsid w:val="008C135C"/>
    <w:rsid w:val="008C2CE1"/>
    <w:rsid w:val="008C2CFA"/>
    <w:rsid w:val="008C3A3B"/>
    <w:rsid w:val="008C3AC2"/>
    <w:rsid w:val="008C5BEA"/>
    <w:rsid w:val="008C7B54"/>
    <w:rsid w:val="008D1233"/>
    <w:rsid w:val="008D2697"/>
    <w:rsid w:val="008E6019"/>
    <w:rsid w:val="008F1D11"/>
    <w:rsid w:val="008F1DC6"/>
    <w:rsid w:val="008F3B70"/>
    <w:rsid w:val="009029D3"/>
    <w:rsid w:val="00906E17"/>
    <w:rsid w:val="009100D9"/>
    <w:rsid w:val="00916573"/>
    <w:rsid w:val="00925305"/>
    <w:rsid w:val="00930BA1"/>
    <w:rsid w:val="00931633"/>
    <w:rsid w:val="0093169E"/>
    <w:rsid w:val="009326DE"/>
    <w:rsid w:val="0093441D"/>
    <w:rsid w:val="00940CA1"/>
    <w:rsid w:val="00940DB3"/>
    <w:rsid w:val="00941768"/>
    <w:rsid w:val="00943FA4"/>
    <w:rsid w:val="00944F19"/>
    <w:rsid w:val="009505C9"/>
    <w:rsid w:val="00950752"/>
    <w:rsid w:val="00951682"/>
    <w:rsid w:val="0095235E"/>
    <w:rsid w:val="009554EF"/>
    <w:rsid w:val="00957590"/>
    <w:rsid w:val="0096109D"/>
    <w:rsid w:val="00961571"/>
    <w:rsid w:val="00964F8C"/>
    <w:rsid w:val="00966424"/>
    <w:rsid w:val="00966AA6"/>
    <w:rsid w:val="00966E2C"/>
    <w:rsid w:val="0097009F"/>
    <w:rsid w:val="009720EF"/>
    <w:rsid w:val="00973F96"/>
    <w:rsid w:val="00974298"/>
    <w:rsid w:val="00975047"/>
    <w:rsid w:val="00982B0C"/>
    <w:rsid w:val="009843A3"/>
    <w:rsid w:val="00985B4A"/>
    <w:rsid w:val="009861C8"/>
    <w:rsid w:val="009922D5"/>
    <w:rsid w:val="0099383F"/>
    <w:rsid w:val="00997A79"/>
    <w:rsid w:val="009A059E"/>
    <w:rsid w:val="009A2A0E"/>
    <w:rsid w:val="009A4ECD"/>
    <w:rsid w:val="009B09F3"/>
    <w:rsid w:val="009B4646"/>
    <w:rsid w:val="009B6024"/>
    <w:rsid w:val="009B711C"/>
    <w:rsid w:val="009C1EF0"/>
    <w:rsid w:val="009C2DE6"/>
    <w:rsid w:val="009D0394"/>
    <w:rsid w:val="009D1E06"/>
    <w:rsid w:val="009D226F"/>
    <w:rsid w:val="009D306C"/>
    <w:rsid w:val="009D4625"/>
    <w:rsid w:val="009E0591"/>
    <w:rsid w:val="009E2BE2"/>
    <w:rsid w:val="009E459D"/>
    <w:rsid w:val="009E7B70"/>
    <w:rsid w:val="009F2757"/>
    <w:rsid w:val="00A0121A"/>
    <w:rsid w:val="00A039F8"/>
    <w:rsid w:val="00A04B57"/>
    <w:rsid w:val="00A04E93"/>
    <w:rsid w:val="00A06847"/>
    <w:rsid w:val="00A0744E"/>
    <w:rsid w:val="00A111D1"/>
    <w:rsid w:val="00A11CC2"/>
    <w:rsid w:val="00A21B75"/>
    <w:rsid w:val="00A234CD"/>
    <w:rsid w:val="00A251ED"/>
    <w:rsid w:val="00A26E6E"/>
    <w:rsid w:val="00A2716C"/>
    <w:rsid w:val="00A27D3E"/>
    <w:rsid w:val="00A30BCD"/>
    <w:rsid w:val="00A31A32"/>
    <w:rsid w:val="00A35B4B"/>
    <w:rsid w:val="00A42D49"/>
    <w:rsid w:val="00A45799"/>
    <w:rsid w:val="00A54A29"/>
    <w:rsid w:val="00A57233"/>
    <w:rsid w:val="00A603F4"/>
    <w:rsid w:val="00A61029"/>
    <w:rsid w:val="00A61C7D"/>
    <w:rsid w:val="00A6603C"/>
    <w:rsid w:val="00A670B8"/>
    <w:rsid w:val="00A813B6"/>
    <w:rsid w:val="00A82197"/>
    <w:rsid w:val="00A82738"/>
    <w:rsid w:val="00A833B9"/>
    <w:rsid w:val="00A845C9"/>
    <w:rsid w:val="00A84852"/>
    <w:rsid w:val="00A87662"/>
    <w:rsid w:val="00AA22A5"/>
    <w:rsid w:val="00AA2741"/>
    <w:rsid w:val="00AA348C"/>
    <w:rsid w:val="00AA409D"/>
    <w:rsid w:val="00AA5D20"/>
    <w:rsid w:val="00AA693C"/>
    <w:rsid w:val="00AA6F92"/>
    <w:rsid w:val="00AA7420"/>
    <w:rsid w:val="00AA77B8"/>
    <w:rsid w:val="00AB1DDA"/>
    <w:rsid w:val="00AB6319"/>
    <w:rsid w:val="00AB6703"/>
    <w:rsid w:val="00AB6934"/>
    <w:rsid w:val="00AC0B69"/>
    <w:rsid w:val="00AC3EF9"/>
    <w:rsid w:val="00AC5A11"/>
    <w:rsid w:val="00AD1D52"/>
    <w:rsid w:val="00AD38EF"/>
    <w:rsid w:val="00AD4906"/>
    <w:rsid w:val="00AE084A"/>
    <w:rsid w:val="00AE3F3C"/>
    <w:rsid w:val="00AF3E1A"/>
    <w:rsid w:val="00AF42DE"/>
    <w:rsid w:val="00AF53CC"/>
    <w:rsid w:val="00AF5481"/>
    <w:rsid w:val="00AF5EE3"/>
    <w:rsid w:val="00AF6A6D"/>
    <w:rsid w:val="00AF7480"/>
    <w:rsid w:val="00AF7536"/>
    <w:rsid w:val="00AF7F46"/>
    <w:rsid w:val="00B02592"/>
    <w:rsid w:val="00B03BA3"/>
    <w:rsid w:val="00B10A88"/>
    <w:rsid w:val="00B12B51"/>
    <w:rsid w:val="00B140CB"/>
    <w:rsid w:val="00B15CEA"/>
    <w:rsid w:val="00B1781E"/>
    <w:rsid w:val="00B3039C"/>
    <w:rsid w:val="00B333DA"/>
    <w:rsid w:val="00B3369F"/>
    <w:rsid w:val="00B35439"/>
    <w:rsid w:val="00B41E3A"/>
    <w:rsid w:val="00B450FF"/>
    <w:rsid w:val="00B50FAE"/>
    <w:rsid w:val="00B51FC6"/>
    <w:rsid w:val="00B52116"/>
    <w:rsid w:val="00B53730"/>
    <w:rsid w:val="00B5455E"/>
    <w:rsid w:val="00B628D2"/>
    <w:rsid w:val="00B667C5"/>
    <w:rsid w:val="00B67A96"/>
    <w:rsid w:val="00B73CF4"/>
    <w:rsid w:val="00B831CB"/>
    <w:rsid w:val="00B8502D"/>
    <w:rsid w:val="00B8570E"/>
    <w:rsid w:val="00B87E95"/>
    <w:rsid w:val="00B94E6C"/>
    <w:rsid w:val="00BA059F"/>
    <w:rsid w:val="00BA12B2"/>
    <w:rsid w:val="00BA3D53"/>
    <w:rsid w:val="00BB3222"/>
    <w:rsid w:val="00BB4606"/>
    <w:rsid w:val="00BB4CA9"/>
    <w:rsid w:val="00BB67AC"/>
    <w:rsid w:val="00BB7B51"/>
    <w:rsid w:val="00BC0182"/>
    <w:rsid w:val="00BC402C"/>
    <w:rsid w:val="00BC71E4"/>
    <w:rsid w:val="00BC7B7C"/>
    <w:rsid w:val="00BD1372"/>
    <w:rsid w:val="00BD42C7"/>
    <w:rsid w:val="00BD4DB3"/>
    <w:rsid w:val="00BD69C0"/>
    <w:rsid w:val="00BE183F"/>
    <w:rsid w:val="00BE312D"/>
    <w:rsid w:val="00BE56BF"/>
    <w:rsid w:val="00BF528F"/>
    <w:rsid w:val="00BF6CE2"/>
    <w:rsid w:val="00C02497"/>
    <w:rsid w:val="00C138F3"/>
    <w:rsid w:val="00C16BD1"/>
    <w:rsid w:val="00C16BF0"/>
    <w:rsid w:val="00C21B27"/>
    <w:rsid w:val="00C23D2F"/>
    <w:rsid w:val="00C2757B"/>
    <w:rsid w:val="00C3120C"/>
    <w:rsid w:val="00C31A8C"/>
    <w:rsid w:val="00C37DB0"/>
    <w:rsid w:val="00C40554"/>
    <w:rsid w:val="00C40C7A"/>
    <w:rsid w:val="00C4151E"/>
    <w:rsid w:val="00C41BEB"/>
    <w:rsid w:val="00C441E3"/>
    <w:rsid w:val="00C443BD"/>
    <w:rsid w:val="00C451C5"/>
    <w:rsid w:val="00C510DB"/>
    <w:rsid w:val="00C5194A"/>
    <w:rsid w:val="00C552CC"/>
    <w:rsid w:val="00C61B31"/>
    <w:rsid w:val="00C63927"/>
    <w:rsid w:val="00C75225"/>
    <w:rsid w:val="00C760CA"/>
    <w:rsid w:val="00C7694D"/>
    <w:rsid w:val="00C77ACF"/>
    <w:rsid w:val="00C77D3B"/>
    <w:rsid w:val="00C82674"/>
    <w:rsid w:val="00C84D66"/>
    <w:rsid w:val="00C84F29"/>
    <w:rsid w:val="00C9161D"/>
    <w:rsid w:val="00C9270B"/>
    <w:rsid w:val="00C951A9"/>
    <w:rsid w:val="00C97038"/>
    <w:rsid w:val="00CA0C1D"/>
    <w:rsid w:val="00CA6414"/>
    <w:rsid w:val="00CB1636"/>
    <w:rsid w:val="00CB3D0E"/>
    <w:rsid w:val="00CB4500"/>
    <w:rsid w:val="00CC0956"/>
    <w:rsid w:val="00CC3ACA"/>
    <w:rsid w:val="00CC5355"/>
    <w:rsid w:val="00CC5557"/>
    <w:rsid w:val="00CC59D2"/>
    <w:rsid w:val="00CC6DF8"/>
    <w:rsid w:val="00CC6FFB"/>
    <w:rsid w:val="00CC7E65"/>
    <w:rsid w:val="00CD2A65"/>
    <w:rsid w:val="00CD54F6"/>
    <w:rsid w:val="00CD6756"/>
    <w:rsid w:val="00CD7C07"/>
    <w:rsid w:val="00CE006B"/>
    <w:rsid w:val="00CE0B43"/>
    <w:rsid w:val="00CE0D1E"/>
    <w:rsid w:val="00CE38B9"/>
    <w:rsid w:val="00CE3E51"/>
    <w:rsid w:val="00CF1848"/>
    <w:rsid w:val="00CF18EB"/>
    <w:rsid w:val="00CF27AA"/>
    <w:rsid w:val="00D00AB3"/>
    <w:rsid w:val="00D00D17"/>
    <w:rsid w:val="00D01DE2"/>
    <w:rsid w:val="00D03356"/>
    <w:rsid w:val="00D06A0C"/>
    <w:rsid w:val="00D11367"/>
    <w:rsid w:val="00D12044"/>
    <w:rsid w:val="00D139FC"/>
    <w:rsid w:val="00D14F11"/>
    <w:rsid w:val="00D165DA"/>
    <w:rsid w:val="00D170D9"/>
    <w:rsid w:val="00D17338"/>
    <w:rsid w:val="00D20A7A"/>
    <w:rsid w:val="00D23811"/>
    <w:rsid w:val="00D255AC"/>
    <w:rsid w:val="00D2758A"/>
    <w:rsid w:val="00D30263"/>
    <w:rsid w:val="00D30AD4"/>
    <w:rsid w:val="00D33EFC"/>
    <w:rsid w:val="00D34449"/>
    <w:rsid w:val="00D35F4F"/>
    <w:rsid w:val="00D40DBC"/>
    <w:rsid w:val="00D42B74"/>
    <w:rsid w:val="00D4369D"/>
    <w:rsid w:val="00D439E4"/>
    <w:rsid w:val="00D46FAF"/>
    <w:rsid w:val="00D521E3"/>
    <w:rsid w:val="00D54939"/>
    <w:rsid w:val="00D55533"/>
    <w:rsid w:val="00D57EEB"/>
    <w:rsid w:val="00D60000"/>
    <w:rsid w:val="00D601C1"/>
    <w:rsid w:val="00D610A5"/>
    <w:rsid w:val="00D61C85"/>
    <w:rsid w:val="00D62BA2"/>
    <w:rsid w:val="00D62EDC"/>
    <w:rsid w:val="00D65E6D"/>
    <w:rsid w:val="00D72DAC"/>
    <w:rsid w:val="00D743E1"/>
    <w:rsid w:val="00D747B6"/>
    <w:rsid w:val="00D755D5"/>
    <w:rsid w:val="00D75CA6"/>
    <w:rsid w:val="00D76A18"/>
    <w:rsid w:val="00D80849"/>
    <w:rsid w:val="00D82E8F"/>
    <w:rsid w:val="00D83EA3"/>
    <w:rsid w:val="00D90508"/>
    <w:rsid w:val="00D9374A"/>
    <w:rsid w:val="00D94E20"/>
    <w:rsid w:val="00D97251"/>
    <w:rsid w:val="00DA5CF4"/>
    <w:rsid w:val="00DA76A1"/>
    <w:rsid w:val="00DA772E"/>
    <w:rsid w:val="00DB0050"/>
    <w:rsid w:val="00DB4C04"/>
    <w:rsid w:val="00DB5E0F"/>
    <w:rsid w:val="00DB71E6"/>
    <w:rsid w:val="00DC05C5"/>
    <w:rsid w:val="00DC2C5A"/>
    <w:rsid w:val="00DC402C"/>
    <w:rsid w:val="00DC475D"/>
    <w:rsid w:val="00DD118C"/>
    <w:rsid w:val="00DD1FE2"/>
    <w:rsid w:val="00DE1FD9"/>
    <w:rsid w:val="00DE5871"/>
    <w:rsid w:val="00DE65A5"/>
    <w:rsid w:val="00DE765C"/>
    <w:rsid w:val="00DF0777"/>
    <w:rsid w:val="00DF4DFB"/>
    <w:rsid w:val="00E005B7"/>
    <w:rsid w:val="00E044FF"/>
    <w:rsid w:val="00E04775"/>
    <w:rsid w:val="00E0691E"/>
    <w:rsid w:val="00E06CF3"/>
    <w:rsid w:val="00E07FFA"/>
    <w:rsid w:val="00E10703"/>
    <w:rsid w:val="00E108CB"/>
    <w:rsid w:val="00E10BA2"/>
    <w:rsid w:val="00E116E0"/>
    <w:rsid w:val="00E13DB7"/>
    <w:rsid w:val="00E15B7C"/>
    <w:rsid w:val="00E164C5"/>
    <w:rsid w:val="00E179E4"/>
    <w:rsid w:val="00E20CDE"/>
    <w:rsid w:val="00E278A9"/>
    <w:rsid w:val="00E32622"/>
    <w:rsid w:val="00E32A35"/>
    <w:rsid w:val="00E33FE9"/>
    <w:rsid w:val="00E4301F"/>
    <w:rsid w:val="00E5040D"/>
    <w:rsid w:val="00E54B5A"/>
    <w:rsid w:val="00E560D9"/>
    <w:rsid w:val="00E57F39"/>
    <w:rsid w:val="00E62818"/>
    <w:rsid w:val="00E63795"/>
    <w:rsid w:val="00E66235"/>
    <w:rsid w:val="00E67020"/>
    <w:rsid w:val="00E70D8E"/>
    <w:rsid w:val="00E716FA"/>
    <w:rsid w:val="00E7245A"/>
    <w:rsid w:val="00E72FFC"/>
    <w:rsid w:val="00E73713"/>
    <w:rsid w:val="00E74C30"/>
    <w:rsid w:val="00E8261E"/>
    <w:rsid w:val="00E82C97"/>
    <w:rsid w:val="00E83C24"/>
    <w:rsid w:val="00E83D02"/>
    <w:rsid w:val="00E86496"/>
    <w:rsid w:val="00E91D01"/>
    <w:rsid w:val="00E9280F"/>
    <w:rsid w:val="00E9309D"/>
    <w:rsid w:val="00E9318D"/>
    <w:rsid w:val="00E93F3E"/>
    <w:rsid w:val="00E95DC0"/>
    <w:rsid w:val="00E973E3"/>
    <w:rsid w:val="00EA2484"/>
    <w:rsid w:val="00EA4857"/>
    <w:rsid w:val="00EA79B7"/>
    <w:rsid w:val="00EB1D50"/>
    <w:rsid w:val="00EB426D"/>
    <w:rsid w:val="00EB66E5"/>
    <w:rsid w:val="00EB7286"/>
    <w:rsid w:val="00EC0FA0"/>
    <w:rsid w:val="00EC26EE"/>
    <w:rsid w:val="00EC32A6"/>
    <w:rsid w:val="00EC49FF"/>
    <w:rsid w:val="00EC61B8"/>
    <w:rsid w:val="00ED037F"/>
    <w:rsid w:val="00ED1620"/>
    <w:rsid w:val="00ED49DE"/>
    <w:rsid w:val="00EE3BBB"/>
    <w:rsid w:val="00EE488B"/>
    <w:rsid w:val="00EE6C42"/>
    <w:rsid w:val="00EF1E58"/>
    <w:rsid w:val="00EF23B5"/>
    <w:rsid w:val="00EF7402"/>
    <w:rsid w:val="00EF7F57"/>
    <w:rsid w:val="00F0265A"/>
    <w:rsid w:val="00F063C2"/>
    <w:rsid w:val="00F24C21"/>
    <w:rsid w:val="00F25DBB"/>
    <w:rsid w:val="00F30684"/>
    <w:rsid w:val="00F33C73"/>
    <w:rsid w:val="00F34FBD"/>
    <w:rsid w:val="00F36D97"/>
    <w:rsid w:val="00F36F75"/>
    <w:rsid w:val="00F37BA6"/>
    <w:rsid w:val="00F40EAF"/>
    <w:rsid w:val="00F422E5"/>
    <w:rsid w:val="00F425FC"/>
    <w:rsid w:val="00F426FD"/>
    <w:rsid w:val="00F430D1"/>
    <w:rsid w:val="00F4381F"/>
    <w:rsid w:val="00F438CC"/>
    <w:rsid w:val="00F443C2"/>
    <w:rsid w:val="00F5094C"/>
    <w:rsid w:val="00F52D6E"/>
    <w:rsid w:val="00F53193"/>
    <w:rsid w:val="00F5357E"/>
    <w:rsid w:val="00F56436"/>
    <w:rsid w:val="00F57901"/>
    <w:rsid w:val="00F6586C"/>
    <w:rsid w:val="00F672C0"/>
    <w:rsid w:val="00F713B6"/>
    <w:rsid w:val="00F71AED"/>
    <w:rsid w:val="00F7266D"/>
    <w:rsid w:val="00F80203"/>
    <w:rsid w:val="00F8055E"/>
    <w:rsid w:val="00F82AA2"/>
    <w:rsid w:val="00F9038B"/>
    <w:rsid w:val="00F90719"/>
    <w:rsid w:val="00F94774"/>
    <w:rsid w:val="00F96465"/>
    <w:rsid w:val="00FA0FFF"/>
    <w:rsid w:val="00FA663B"/>
    <w:rsid w:val="00FA7100"/>
    <w:rsid w:val="00FB0EC4"/>
    <w:rsid w:val="00FB56DF"/>
    <w:rsid w:val="00FB6890"/>
    <w:rsid w:val="00FB689F"/>
    <w:rsid w:val="00FC0286"/>
    <w:rsid w:val="00FC06C3"/>
    <w:rsid w:val="00FC13F0"/>
    <w:rsid w:val="00FC1864"/>
    <w:rsid w:val="00FC4B32"/>
    <w:rsid w:val="00FC53DB"/>
    <w:rsid w:val="00FC5A71"/>
    <w:rsid w:val="00FE378F"/>
    <w:rsid w:val="00FE3824"/>
    <w:rsid w:val="00FE38CE"/>
    <w:rsid w:val="00FE3B4D"/>
    <w:rsid w:val="00FE3B88"/>
    <w:rsid w:val="00FE4B0B"/>
    <w:rsid w:val="00FE573E"/>
    <w:rsid w:val="00FE59CE"/>
    <w:rsid w:val="00FE6F52"/>
    <w:rsid w:val="00FF02EF"/>
    <w:rsid w:val="00FF04B7"/>
    <w:rsid w:val="00FF16FC"/>
    <w:rsid w:val="00FF3D35"/>
    <w:rsid w:val="00FF3EF8"/>
    <w:rsid w:val="00FF7DB0"/>
    <w:rsid w:val="00FF7E2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3FFA1671-6333-459B-87B2-81F445680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basedOn w:val="Policepardfaut"/>
    <w:link w:val="BVIfnrChar"/>
    <w:uiPriority w:val="99"/>
    <w:unhideWhenUsed/>
    <w:qFormat/>
    <w:rsid w:val="003F1A75"/>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4A756D"/>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A756D"/>
    <w:pPr>
      <w:outlineLvl w:val="1"/>
    </w:pPr>
    <w:rPr>
      <w:sz w:val="24"/>
    </w:rPr>
  </w:style>
  <w:style w:type="character" w:customStyle="1" w:styleId="Title1">
    <w:name w:val="Title1"/>
    <w:basedOn w:val="Policepardfaut"/>
    <w:rsid w:val="004112B3"/>
  </w:style>
  <w:style w:type="character" w:customStyle="1" w:styleId="admitted">
    <w:name w:val="admitted"/>
    <w:basedOn w:val="Policepardfaut"/>
    <w:rsid w:val="00EB1D50"/>
  </w:style>
  <w:style w:type="character" w:customStyle="1" w:styleId="preferred">
    <w:name w:val="preferred"/>
    <w:basedOn w:val="Policepardfaut"/>
    <w:rsid w:val="00DA7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4"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7"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8256FD">
          <w:pPr>
            <w:pStyle w:val="231655F7C16F4CD6AA12DCC7F4399906"/>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050E51"/>
    <w:rsid w:val="001017B7"/>
    <w:rsid w:val="0010614F"/>
    <w:rsid w:val="001E462A"/>
    <w:rsid w:val="00267AEB"/>
    <w:rsid w:val="002D5EC4"/>
    <w:rsid w:val="003268DD"/>
    <w:rsid w:val="00337072"/>
    <w:rsid w:val="00463284"/>
    <w:rsid w:val="00477770"/>
    <w:rsid w:val="00581EAC"/>
    <w:rsid w:val="00690EB4"/>
    <w:rsid w:val="00691471"/>
    <w:rsid w:val="00761A81"/>
    <w:rsid w:val="007D19F6"/>
    <w:rsid w:val="008256FD"/>
    <w:rsid w:val="00835894"/>
    <w:rsid w:val="00997A79"/>
    <w:rsid w:val="00B26A57"/>
    <w:rsid w:val="00B50FAE"/>
    <w:rsid w:val="00BC3C2D"/>
    <w:rsid w:val="00CF0FCF"/>
    <w:rsid w:val="00D20F42"/>
    <w:rsid w:val="00DD3DB8"/>
    <w:rsid w:val="00EB7993"/>
    <w:rsid w:val="00FB56D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3417D76E-6C14-49A1-BB85-5C8CCF7D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111</TotalTime>
  <Pages>4</Pages>
  <Words>1737</Words>
  <Characters>9556</Characters>
  <Application>Microsoft Office Word</Application>
  <DocSecurity>0</DocSecurity>
  <Lines>79</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Mécanisme de financement et ressources financières</vt:lpstr>
      <vt:lpstr>Financial mechanism and resources</vt:lpstr>
    </vt:vector>
  </TitlesOfParts>
  <Company>SCBD</Company>
  <LinksUpToDate>false</LinksUpToDate>
  <CharactersWithSpaces>11271</CharactersWithSpaces>
  <SharedDoc>false</SharedDoc>
  <HLinks>
    <vt:vector size="30" baseType="variant">
      <vt:variant>
        <vt:i4>5439581</vt:i4>
      </vt:variant>
      <vt:variant>
        <vt:i4>3</vt:i4>
      </vt:variant>
      <vt:variant>
        <vt:i4>0</vt:i4>
      </vt:variant>
      <vt:variant>
        <vt:i4>5</vt:i4>
      </vt:variant>
      <vt:variant>
        <vt:lpwstr>https://www.cbd.int/decisions/np-mop/?m=np-mop-05</vt:lpwstr>
      </vt:variant>
      <vt:variant>
        <vt:lpwstr/>
      </vt:variant>
      <vt:variant>
        <vt:i4>5505089</vt:i4>
      </vt:variant>
      <vt:variant>
        <vt:i4>0</vt:i4>
      </vt:variant>
      <vt:variant>
        <vt:i4>0</vt:i4>
      </vt:variant>
      <vt:variant>
        <vt:i4>5</vt:i4>
      </vt:variant>
      <vt:variant>
        <vt:lpwstr>https://www.cbd.int/decisions/np-mop?m=np-mop-04</vt:lpwstr>
      </vt:variant>
      <vt:variant>
        <vt:lpwstr/>
      </vt:variant>
      <vt:variant>
        <vt:i4>5111815</vt:i4>
      </vt:variant>
      <vt:variant>
        <vt:i4>6</vt:i4>
      </vt:variant>
      <vt:variant>
        <vt:i4>0</vt:i4>
      </vt:variant>
      <vt:variant>
        <vt:i4>5</vt:i4>
      </vt:variant>
      <vt:variant>
        <vt:lpwstr>https://www.cbd.int/documents/CBD/SBI/7/7</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7012460</vt:i4>
      </vt:variant>
      <vt:variant>
        <vt:i4>0</vt:i4>
      </vt:variant>
      <vt:variant>
        <vt:i4>0</vt:i4>
      </vt:variant>
      <vt:variant>
        <vt:i4>5</vt:i4>
      </vt:variant>
      <vt:variant>
        <vt:lpwstr>https://www.cbd.int/documents/CBD/COP/17/5/ADD1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 et ressources financières</dc:title>
  <dc:subject>CBD/NP/MOP/6/L.6</dc:subject>
  <dc:creator>Veronique Lefebvre</dc:creator>
  <cp:keywords>Convention on Biological Diversity</cp:keywords>
  <cp:lastModifiedBy>Lucas MAGDALENA</cp:lastModifiedBy>
  <cp:revision>41</cp:revision>
  <cp:lastPrinted>2020-01-22T04:56:00Z</cp:lastPrinted>
  <dcterms:created xsi:type="dcterms:W3CDTF">2026-10-21T07:50:00Z</dcterms:created>
  <dcterms:modified xsi:type="dcterms:W3CDTF">2026-10-23T13:05:00Z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